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jc w:val="right"/>
        <w:spacing w:after="0" w:line="221" w:lineRule="auto"/>
        <w:rPr>
          <w:sz w:val="20"/>
          <w:szCs w:val="20"/>
          <w:color w:val="auto"/>
        </w:rPr>
      </w:pPr>
      <w:r>
        <w:rPr>
          <w:rFonts w:ascii="Arial" w:cs="Arial" w:eastAsia="Arial" w:hAnsi="Arial"/>
          <w:sz w:val="18"/>
          <w:szCs w:val="18"/>
          <w:b w:val="1"/>
          <w:bCs w:val="1"/>
          <w:color w:val="auto"/>
        </w:rPr>
        <w:t>Registration No. 333-257774</w:t>
      </w:r>
    </w:p>
    <w:p>
      <w:pPr>
        <w:spacing w:after="0" w:line="219" w:lineRule="auto"/>
        <w:rPr>
          <w:sz w:val="20"/>
          <w:szCs w:val="20"/>
          <w:color w:val="auto"/>
        </w:rPr>
      </w:pPr>
      <w:r>
        <w:rPr>
          <w:rFonts w:ascii="Arial" w:cs="Arial" w:eastAsia="Arial" w:hAnsi="Arial"/>
          <w:sz w:val="18"/>
          <w:szCs w:val="18"/>
          <w:b w:val="1"/>
          <w:bCs w:val="1"/>
          <w:color w:val="auto"/>
        </w:rPr>
        <w:t>Prospectus Supplement No. 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150495</wp:posOffset>
            </wp:positionV>
            <wp:extent cx="3215005"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500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both"/>
        <w:ind w:firstLine="360"/>
        <w:spacing w:after="0" w:line="228" w:lineRule="auto"/>
        <w:rPr>
          <w:sz w:val="20"/>
          <w:szCs w:val="20"/>
          <w:color w:val="auto"/>
        </w:rPr>
      </w:pPr>
      <w:r>
        <w:rPr>
          <w:rFonts w:ascii="Arial" w:cs="Arial" w:eastAsia="Arial" w:hAnsi="Arial"/>
          <w:sz w:val="18"/>
          <w:szCs w:val="18"/>
          <w:color w:val="auto"/>
        </w:rPr>
        <w:t>This prospectus supplement updates and supplements the prospectus dated July 20, 2021 (the “Prospectus”), which forms a part of our Registration Statement on Form S-1, as amended (Registration No. 333-257774). This prospectus supplement is being filed to update and supplement the information in the Prospectus with the information contained in our Quarterly Report on Form 10-Q covering the quarter ended June 30, 2021, filed with the Securities and Exchange Commission on August 13, 2021 (the “Quarterly Report on Form 10-Q”). Accordingly, we have attached the Quarterly Report on Form 10-Q to this prospectus supplement.</w:t>
      </w:r>
    </w:p>
    <w:p>
      <w:pPr>
        <w:spacing w:after="0" w:line="205" w:lineRule="exact"/>
        <w:rPr>
          <w:sz w:val="24"/>
          <w:szCs w:val="24"/>
          <w:color w:val="auto"/>
        </w:rPr>
      </w:pPr>
    </w:p>
    <w:p>
      <w:pPr>
        <w:jc w:val="both"/>
        <w:ind w:firstLine="360"/>
        <w:spacing w:after="0" w:line="255" w:lineRule="auto"/>
        <w:rPr>
          <w:sz w:val="20"/>
          <w:szCs w:val="20"/>
          <w:color w:val="auto"/>
        </w:rPr>
      </w:pPr>
      <w:r>
        <w:rPr>
          <w:rFonts w:ascii="Arial" w:cs="Arial" w:eastAsia="Arial" w:hAnsi="Arial"/>
          <w:sz w:val="16"/>
          <w:szCs w:val="16"/>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191" w:lineRule="exact"/>
        <w:rPr>
          <w:sz w:val="24"/>
          <w:szCs w:val="24"/>
          <w:color w:val="auto"/>
        </w:rPr>
      </w:pPr>
    </w:p>
    <w:p>
      <w:pPr>
        <w:jc w:val="both"/>
        <w:ind w:firstLine="360"/>
        <w:spacing w:after="0" w:line="235" w:lineRule="auto"/>
        <w:rPr>
          <w:sz w:val="20"/>
          <w:szCs w:val="20"/>
          <w:color w:val="auto"/>
        </w:rPr>
      </w:pPr>
      <w:r>
        <w:rPr>
          <w:rFonts w:ascii="Arial" w:cs="Arial" w:eastAsia="Arial" w:hAnsi="Arial"/>
          <w:sz w:val="18"/>
          <w:szCs w:val="18"/>
          <w:color w:val="auto"/>
        </w:rPr>
        <w:t>Our Class A Common Stock and Public Warrants are listed on The Nasdaq Global Select Market (“Nasdaq”) under the symbols “MAPS” and “MAPSW,” respectively. On August 12, 2021, the closing price of our Class A Common Stock was $13.86 and the closing price for our Public Warrants was $4.87.</w:t>
      </w:r>
    </w:p>
    <w:p>
      <w:pPr>
        <w:spacing w:after="0" w:line="198" w:lineRule="exact"/>
        <w:rPr>
          <w:sz w:val="24"/>
          <w:szCs w:val="24"/>
          <w:color w:val="auto"/>
        </w:rPr>
      </w:pPr>
    </w:p>
    <w:p>
      <w:pPr>
        <w:jc w:val="both"/>
        <w:ind w:firstLine="360"/>
        <w:spacing w:after="0" w:line="232" w:lineRule="auto"/>
        <w:rPr>
          <w:sz w:val="20"/>
          <w:szCs w:val="20"/>
          <w:color w:val="auto"/>
        </w:rPr>
      </w:pPr>
      <w:r>
        <w:rPr>
          <w:rFonts w:ascii="Arial" w:cs="Arial" w:eastAsia="Arial" w:hAnsi="Arial"/>
          <w:sz w:val="18"/>
          <w:szCs w:val="18"/>
          <w:b w:val="1"/>
          <w:bCs w:val="1"/>
          <w:color w:val="auto"/>
        </w:rPr>
        <w:t>SEE THE SECTION ENTITLED “RISK FACTORS” BEGINNING ON PAGE 7 OF THE PROSPECTUS, AS UPDATED AND SUPPLEMENTED BY THE SECTION ENTITLED “RISK FACTORS” IN THIS PROSPECTUS SUPPLEMENT AND UNDER SIMILAR HEADINGS IN ANY FURTHER AMENDMENTS OR SUPPLEMENTS TO THE PROSPECTUS TO READ ABOUT FACTORS YOU SHOULD CONSIDER BEFORE BUYING OUR SECURITIES.</w:t>
      </w:r>
    </w:p>
    <w:p>
      <w:pPr>
        <w:spacing w:after="0" w:line="199" w:lineRule="exact"/>
        <w:rPr>
          <w:sz w:val="24"/>
          <w:szCs w:val="24"/>
          <w:color w:val="auto"/>
        </w:rPr>
      </w:pPr>
    </w:p>
    <w:p>
      <w:pPr>
        <w:jc w:val="both"/>
        <w:ind w:right="20" w:firstLine="360"/>
        <w:spacing w:after="0" w:line="31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13, 2021.</w:t>
      </w:r>
    </w:p>
    <w:p>
      <w:pPr>
        <w:sectPr>
          <w:pgSz w:w="11900" w:h="16838" w:orient="portrait"/>
          <w:cols w:equalWidth="0" w:num="1">
            <w:col w:w="11240"/>
          </w:cols>
          <w:pgMar w:left="320" w:top="1026"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Arial" w:cs="Arial" w:eastAsia="Arial" w:hAnsi="Arial"/>
                <w:sz w:val="29"/>
                <w:szCs w:val="29"/>
                <w:b w:val="1"/>
                <w:bCs w:val="1"/>
                <w:color w:val="auto"/>
                <w:w w:val="98"/>
              </w:rPr>
              <w:t>UNITED STATES</w:t>
            </w:r>
          </w:p>
        </w:tc>
      </w:tr>
      <w:tr>
        <w:trPr>
          <w:trHeight w:val="375"/>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9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Arial" w:cs="Arial" w:eastAsia="Arial" w:hAnsi="Arial"/>
                <w:sz w:val="18"/>
                <w:szCs w:val="18"/>
                <w:b w:val="1"/>
                <w:bCs w:val="1"/>
                <w:color w:val="auto"/>
                <w:w w:val="91"/>
              </w:rPr>
              <w:t>Washington, D.C. 20549</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394"/>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Arial" w:cs="Arial" w:eastAsia="Arial" w:hAnsi="Arial"/>
                <w:sz w:val="29"/>
                <w:szCs w:val="29"/>
                <w:b w:val="1"/>
                <w:bCs w:val="1"/>
                <w:color w:val="auto"/>
                <w:w w:val="98"/>
              </w:rPr>
              <w:t>FORM 10-Q</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38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w w:val="99"/>
              </w:rPr>
              <w:t>QUARTERLY REPORT PURSUANT TO SECTION 13 OR 15(d) OF THE SECURITIES EXCHANGE ACT OF 1934</w:t>
            </w:r>
          </w:p>
        </w:tc>
      </w:tr>
      <w:tr>
        <w:trPr>
          <w:trHeight w:val="271"/>
        </w:trPr>
        <w:tc>
          <w:tcPr>
            <w:tcW w:w="900" w:type="dxa"/>
            <w:vAlign w:val="bottom"/>
          </w:tcPr>
          <w:p>
            <w:pPr>
              <w:spacing w:after="0"/>
              <w:rPr>
                <w:sz w:val="23"/>
                <w:szCs w:val="23"/>
                <w:color w:val="auto"/>
              </w:rPr>
            </w:pPr>
          </w:p>
        </w:tc>
        <w:tc>
          <w:tcPr>
            <w:tcW w:w="9000" w:type="dxa"/>
            <w:vAlign w:val="bottom"/>
          </w:tcPr>
          <w:p>
            <w:pPr>
              <w:jc w:val="center"/>
              <w:ind w:left="328"/>
              <w:spacing w:after="0"/>
              <w:rPr>
                <w:sz w:val="20"/>
                <w:szCs w:val="20"/>
                <w:color w:val="auto"/>
              </w:rPr>
            </w:pPr>
            <w:r>
              <w:rPr>
                <w:rFonts w:ascii="Arial" w:cs="Arial" w:eastAsia="Arial" w:hAnsi="Arial"/>
                <w:sz w:val="16"/>
                <w:szCs w:val="16"/>
                <w:b w:val="1"/>
                <w:bCs w:val="1"/>
                <w:color w:val="auto"/>
                <w:w w:val="92"/>
              </w:rPr>
              <w:t>For the quarterly period ended June 30, 2021</w:t>
            </w:r>
          </w:p>
        </w:tc>
      </w:tr>
      <w:tr>
        <w:trPr>
          <w:trHeight w:val="264"/>
        </w:trPr>
        <w:tc>
          <w:tcPr>
            <w:tcW w:w="900" w:type="dxa"/>
            <w:vAlign w:val="bottom"/>
          </w:tcPr>
          <w:p>
            <w:pPr>
              <w:spacing w:after="0"/>
              <w:rPr>
                <w:sz w:val="22"/>
                <w:szCs w:val="22"/>
                <w:color w:val="auto"/>
              </w:rPr>
            </w:pPr>
          </w:p>
        </w:tc>
        <w:tc>
          <w:tcPr>
            <w:tcW w:w="9000" w:type="dxa"/>
            <w:vAlign w:val="bottom"/>
          </w:tcPr>
          <w:p>
            <w:pPr>
              <w:jc w:val="center"/>
              <w:ind w:left="328"/>
              <w:spacing w:after="0"/>
              <w:rPr>
                <w:sz w:val="20"/>
                <w:szCs w:val="20"/>
                <w:color w:val="auto"/>
              </w:rPr>
            </w:pPr>
            <w:r>
              <w:rPr>
                <w:rFonts w:ascii="Arial" w:cs="Arial" w:eastAsia="Arial" w:hAnsi="Arial"/>
                <w:sz w:val="14"/>
                <w:szCs w:val="14"/>
                <w:b w:val="1"/>
                <w:bCs w:val="1"/>
                <w:color w:val="auto"/>
              </w:rPr>
              <w:t>OR</w:t>
            </w:r>
          </w:p>
        </w:tc>
      </w:tr>
      <w:tr>
        <w:trPr>
          <w:trHeight w:val="38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38"/>
        </w:trPr>
        <w:tc>
          <w:tcPr>
            <w:tcW w:w="900" w:type="dxa"/>
            <w:vAlign w:val="bottom"/>
          </w:tcPr>
          <w:p>
            <w:pPr>
              <w:spacing w:after="0"/>
              <w:rPr>
                <w:sz w:val="20"/>
                <w:szCs w:val="20"/>
                <w:color w:val="auto"/>
              </w:rPr>
            </w:pPr>
          </w:p>
        </w:tc>
        <w:tc>
          <w:tcPr>
            <w:tcW w:w="90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For the transition period from ____ to ____</w:t>
            </w:r>
          </w:p>
        </w:tc>
      </w:tr>
      <w:tr>
        <w:trPr>
          <w:trHeight w:val="246"/>
        </w:trPr>
        <w:tc>
          <w:tcPr>
            <w:tcW w:w="900" w:type="dxa"/>
            <w:vAlign w:val="bottom"/>
          </w:tcPr>
          <w:p>
            <w:pPr>
              <w:spacing w:after="0"/>
              <w:rPr>
                <w:sz w:val="21"/>
                <w:szCs w:val="21"/>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Commission file number 001-39021</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WM TECHNOLOGY,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Arial" w:cs="Arial" w:eastAsia="Arial" w:hAnsi="Arial"/>
                <w:sz w:val="14"/>
                <w:szCs w:val="14"/>
                <w:b w:val="1"/>
                <w:bCs w:val="1"/>
                <w:color w:val="auto"/>
              </w:rPr>
              <w:t>98-1605615</w:t>
            </w:r>
          </w:p>
        </w:tc>
        <w:tc>
          <w:tcPr>
            <w:tcW w:w="0" w:type="dxa"/>
            <w:vAlign w:val="bottom"/>
          </w:tcPr>
          <w:p>
            <w:pPr>
              <w:spacing w:after="0"/>
              <w:rPr>
                <w:sz w:val="1"/>
                <w:szCs w:val="1"/>
                <w:color w:val="auto"/>
              </w:rPr>
            </w:pPr>
          </w:p>
        </w:tc>
      </w:tr>
      <w:tr>
        <w:trPr>
          <w:trHeight w:val="203"/>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40" w:type="dxa"/>
            <w:vAlign w:val="bottom"/>
          </w:tcPr>
          <w:p>
            <w:pPr>
              <w:spacing w:after="0"/>
              <w:rPr>
                <w:sz w:val="17"/>
                <w:szCs w:val="17"/>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19"/>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41 Discovery</w:t>
            </w:r>
          </w:p>
        </w:tc>
        <w:tc>
          <w:tcPr>
            <w:tcW w:w="2440" w:type="dxa"/>
            <w:vAlign w:val="bottom"/>
          </w:tcPr>
          <w:p>
            <w:pPr>
              <w:spacing w:after="0"/>
              <w:rPr>
                <w:sz w:val="19"/>
                <w:szCs w:val="19"/>
                <w:color w:val="auto"/>
              </w:rPr>
            </w:pPr>
          </w:p>
        </w:tc>
        <w:tc>
          <w:tcPr>
            <w:tcW w:w="3740" w:type="dxa"/>
            <w:vAlign w:val="bottom"/>
            <w:vMerge w:val="restart"/>
          </w:tcPr>
          <w:p>
            <w:pPr>
              <w:jc w:val="center"/>
              <w:ind w:right="1348"/>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86"/>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Irvine, California</w:t>
            </w:r>
          </w:p>
        </w:tc>
        <w:tc>
          <w:tcPr>
            <w:tcW w:w="2440" w:type="dxa"/>
            <w:vAlign w:val="bottom"/>
          </w:tcPr>
          <w:p>
            <w:pPr>
              <w:spacing w:after="0"/>
              <w:rPr>
                <w:sz w:val="16"/>
                <w:szCs w:val="16"/>
                <w:color w:val="auto"/>
              </w:rPr>
            </w:pP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(Address of Principal Executive Offices)</w:t>
            </w:r>
          </w:p>
        </w:tc>
        <w:tc>
          <w:tcPr>
            <w:tcW w:w="2440" w:type="dxa"/>
            <w:vAlign w:val="bottom"/>
          </w:tcPr>
          <w:p>
            <w:pPr>
              <w:spacing w:after="0"/>
              <w:rPr>
                <w:sz w:val="17"/>
                <w:szCs w:val="17"/>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58"/>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Arial" w:cs="Arial" w:eastAsia="Arial" w:hAnsi="Arial"/>
                <w:sz w:val="14"/>
                <w:szCs w:val="14"/>
                <w:b w:val="1"/>
                <w:bCs w:val="1"/>
                <w:color w:val="auto"/>
                <w:w w:val="93"/>
              </w:rPr>
              <w:t>(844) 933-3627</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500" w:type="dxa"/>
            <w:vAlign w:val="bottom"/>
            <w:gridSpan w:val="2"/>
          </w:tcPr>
          <w:p>
            <w:pPr>
              <w:jc w:val="center"/>
              <w:ind w:left="3668"/>
              <w:spacing w:after="0"/>
              <w:rPr>
                <w:sz w:val="20"/>
                <w:szCs w:val="20"/>
                <w:color w:val="auto"/>
              </w:rPr>
            </w:pPr>
            <w:r>
              <w:rPr>
                <w:rFonts w:ascii="Arial" w:cs="Arial" w:eastAsia="Arial" w:hAnsi="Arial"/>
                <w:sz w:val="14"/>
                <w:szCs w:val="14"/>
                <w:color w:val="auto"/>
                <w:w w:val="93"/>
              </w:rPr>
              <w:t>(Registrant’ telephone number, including area code)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500" w:type="dxa"/>
            <w:vAlign w:val="bottom"/>
            <w:gridSpan w:val="2"/>
          </w:tcPr>
          <w:p>
            <w:pPr>
              <w:jc w:val="center"/>
              <w:ind w:left="366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4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bottom w:val="single" w:sz="8" w:color="auto"/>
            </w:tcBorders>
          </w:tcPr>
          <w:p>
            <w:pPr>
              <w:jc w:val="center"/>
              <w:ind w:right="6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0"/>
        </w:trPr>
        <w:tc>
          <w:tcPr>
            <w:tcW w:w="5060" w:type="dxa"/>
            <w:vAlign w:val="bottom"/>
          </w:tcPr>
          <w:p>
            <w:pPr>
              <w:jc w:val="center"/>
              <w:spacing w:after="0"/>
              <w:rPr>
                <w:sz w:val="20"/>
                <w:szCs w:val="20"/>
                <w:color w:val="auto"/>
              </w:rPr>
            </w:pPr>
            <w:r>
              <w:rPr>
                <w:rFonts w:ascii="Arial" w:cs="Arial" w:eastAsia="Arial" w:hAnsi="Arial"/>
                <w:sz w:val="14"/>
                <w:szCs w:val="14"/>
                <w:color w:val="auto"/>
                <w:w w:val="92"/>
              </w:rPr>
              <w:t>Class A Common Stock, $0.0001 par value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w w:val="95"/>
              </w:rPr>
              <w:t>MAPS</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69"/>
        </w:trPr>
        <w:tc>
          <w:tcPr>
            <w:tcW w:w="5060" w:type="dxa"/>
            <w:vAlign w:val="bottom"/>
          </w:tcPr>
          <w:p>
            <w:pPr>
              <w:jc w:val="center"/>
              <w:spacing w:after="0"/>
              <w:rPr>
                <w:sz w:val="20"/>
                <w:szCs w:val="20"/>
                <w:color w:val="auto"/>
              </w:rPr>
            </w:pPr>
            <w:r>
              <w:rPr>
                <w:rFonts w:ascii="Arial" w:cs="Arial" w:eastAsia="Arial" w:hAnsi="Arial"/>
                <w:sz w:val="14"/>
                <w:szCs w:val="14"/>
                <w:color w:val="auto"/>
                <w:w w:val="92"/>
              </w:rPr>
              <w:t>Warrants, each whole warrant exercisable for one share of Class A Common Stock at</w:t>
            </w:r>
          </w:p>
        </w:tc>
        <w:tc>
          <w:tcPr>
            <w:tcW w:w="24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60" w:type="dxa"/>
            <w:vAlign w:val="bottom"/>
          </w:tcPr>
          <w:p>
            <w:pPr>
              <w:jc w:val="center"/>
              <w:spacing w:after="0"/>
              <w:rPr>
                <w:sz w:val="20"/>
                <w:szCs w:val="20"/>
                <w:color w:val="auto"/>
              </w:rPr>
            </w:pPr>
            <w:r>
              <w:rPr>
                <w:rFonts w:ascii="Arial" w:cs="Arial" w:eastAsia="Arial" w:hAnsi="Arial"/>
                <w:sz w:val="14"/>
                <w:szCs w:val="14"/>
                <w:color w:val="auto"/>
                <w:w w:val="90"/>
              </w:rPr>
              <w:t>an exercise price of $11.50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rPr>
              <w:t>MAPSW</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00" w:lineRule="exact"/>
        <w:rPr>
          <w:sz w:val="20"/>
          <w:szCs w:val="20"/>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0"/>
          <w:szCs w:val="20"/>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0"/>
          <w:szCs w:val="20"/>
          <w:color w:val="auto"/>
        </w:rPr>
      </w:pPr>
    </w:p>
    <w:p>
      <w:pPr>
        <w:sectPr>
          <w:pgSz w:w="11900" w:h="16838" w:orient="portrait"/>
          <w:cols w:equalWidth="0" w:num="6">
            <w:col w:w="2380" w:space="720"/>
            <w:col w:w="120" w:space="540"/>
            <w:col w:w="2360" w:space="720"/>
            <w:col w:w="140" w:space="520"/>
            <w:col w:w="2380" w:space="720"/>
            <w:col w:w="640"/>
          </w:cols>
          <w:pgMar w:left="320" w:top="1440" w:right="339" w:bottom="1440" w:gutter="0" w:footer="0" w:header="0"/>
          <w:type w:val="continuous"/>
        </w:sectPr>
      </w:pPr>
    </w:p>
    <w:p>
      <w:pPr>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0"/>
          <w:szCs w:val="20"/>
          <w:color w:val="auto"/>
        </w:rPr>
      </w:pPr>
    </w:p>
    <w:p>
      <w:pPr>
        <w:spacing w:after="0" w:line="161" w:lineRule="exact"/>
        <w:tabs>
          <w:tab w:leader="none" w:pos="6100" w:val="left"/>
          <w:tab w:leader="none" w:pos="67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As of August 9, 2021, there were 63,738,563 shares of the registrant’s Class A common stock outstanding and 65,502,347 shares of Class V common stock outstanding.</w:t>
      </w:r>
    </w:p>
    <w:p>
      <w:pPr>
        <w:sectPr>
          <w:pgSz w:w="11900" w:h="16838" w:orient="portrait"/>
          <w:cols w:equalWidth="0" w:num="1">
            <w:col w:w="11240"/>
          </w:cols>
          <w:pgMar w:left="320" w:top="144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WM TECHNOLOGY, INC.</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Page</w:t>
            </w:r>
          </w:p>
        </w:tc>
      </w:tr>
      <w:tr>
        <w:trPr>
          <w:trHeight w:val="446"/>
        </w:trPr>
        <w:tc>
          <w:tcPr>
            <w:tcW w:w="10340" w:type="dxa"/>
            <w:vAlign w:val="bottom"/>
            <w:gridSpan w:val="18"/>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 Financial Information</w:t>
              </w:r>
            </w:hyperlink>
          </w:p>
        </w:tc>
        <w:tc>
          <w:tcPr>
            <w:tcW w:w="480" w:type="dxa"/>
            <w:vAlign w:val="bottom"/>
            <w:gridSpan w:val="2"/>
          </w:tcPr>
          <w:p>
            <w:pPr>
              <w:jc w:val="center"/>
              <w:ind w:left="31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4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79"/>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00" w:type="dxa"/>
            <w:vAlign w:val="bottom"/>
            <w:gridSpan w:val="3"/>
          </w:tcPr>
          <w:p>
            <w:pPr>
              <w:spacing w:after="0"/>
              <w:rPr>
                <w:sz w:val="24"/>
                <w:szCs w:val="24"/>
                <w:color w:val="auto"/>
              </w:rPr>
            </w:pPr>
          </w:p>
        </w:tc>
        <w:tc>
          <w:tcPr>
            <w:tcW w:w="9220" w:type="dxa"/>
            <w:vAlign w:val="bottom"/>
            <w:gridSpan w:val="14"/>
          </w:tcPr>
          <w:p>
            <w:pPr>
              <w:spacing w:after="0"/>
              <w:rPr>
                <w:rFonts w:ascii="Arial" w:cs="Arial" w:eastAsia="Arial" w:hAnsi="Arial"/>
                <w:sz w:val="18"/>
                <w:szCs w:val="18"/>
                <w:color w:val="0000EE"/>
              </w:rPr>
            </w:pPr>
            <w:r>
              <w:rPr>
                <w:rFonts w:ascii="Arial" w:cs="Arial" w:eastAsia="Arial" w:hAnsi="Arial"/>
                <w:sz w:val="18"/>
                <w:szCs w:val="18"/>
                <w:color w:val="0000EE"/>
              </w:rPr>
              <w:t xml:space="preserve">Condensed Consolidated </w:t>
            </w:r>
            <w:hyperlink w:anchor="page4">
              <w:r>
                <w:rPr>
                  <w:rFonts w:ascii="Arial" w:cs="Arial" w:eastAsia="Arial" w:hAnsi="Arial"/>
                  <w:sz w:val="18"/>
                  <w:szCs w:val="18"/>
                  <w:color w:val="0000EE"/>
                </w:rPr>
                <w:t xml:space="preserve">Financial Statements </w:t>
              </w:r>
            </w:hyperlink>
            <w:r>
              <w:rPr>
                <w:rFonts w:ascii="Arial" w:cs="Arial" w:eastAsia="Arial" w:hAnsi="Arial"/>
                <w:sz w:val="18"/>
                <w:szCs w:val="18"/>
                <w:color w:val="0000EE"/>
              </w:rPr>
              <w:t>(Unaudited)</w:t>
            </w:r>
          </w:p>
        </w:tc>
        <w:tc>
          <w:tcPr>
            <w:tcW w:w="480" w:type="dxa"/>
            <w:vAlign w:val="bottom"/>
            <w:gridSpan w:val="2"/>
          </w:tcPr>
          <w:p>
            <w:pPr>
              <w:jc w:val="center"/>
              <w:ind w:left="3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4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 xml:space="preserve">Condensed Consolidated Balance </w:t>
              </w:r>
            </w:hyperlink>
            <w:r>
              <w:rPr>
                <w:rFonts w:ascii="Arial" w:cs="Arial" w:eastAsia="Arial" w:hAnsi="Arial"/>
                <w:sz w:val="18"/>
                <w:szCs w:val="18"/>
                <w:color w:val="0000EE"/>
                <w:w w:val="87"/>
              </w:rPr>
              <w:t>Sheets as of June 30, 2021 and December 31, 2020</w:t>
            </w:r>
          </w:p>
        </w:tc>
        <w:tc>
          <w:tcPr>
            <w:tcW w:w="3100" w:type="dxa"/>
            <w:vAlign w:val="bottom"/>
            <w:gridSpan w:val="5"/>
          </w:tcPr>
          <w:p>
            <w:pPr>
              <w:spacing w:after="0"/>
              <w:rPr>
                <w:sz w:val="20"/>
                <w:szCs w:val="20"/>
                <w:color w:val="auto"/>
              </w:rPr>
            </w:pPr>
          </w:p>
        </w:tc>
        <w:tc>
          <w:tcPr>
            <w:tcW w:w="480" w:type="dxa"/>
            <w:vAlign w:val="bottom"/>
            <w:gridSpan w:val="2"/>
          </w:tcPr>
          <w:p>
            <w:pPr>
              <w:jc w:val="center"/>
              <w:ind w:left="3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400" w:type="dxa"/>
            <w:vAlign w:val="bottom"/>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 xml:space="preserve">Condensed Consolidated Statements of Income </w:t>
              </w:r>
            </w:hyperlink>
            <w:r>
              <w:rPr>
                <w:rFonts w:ascii="Arial" w:cs="Arial" w:eastAsia="Arial" w:hAnsi="Arial"/>
                <w:sz w:val="18"/>
                <w:szCs w:val="18"/>
                <w:color w:val="0000EE"/>
                <w:w w:val="89"/>
              </w:rPr>
              <w:t>for the Three and Six Months Ended June 30, 2021 and 2020</w:t>
            </w:r>
          </w:p>
        </w:tc>
        <w:tc>
          <w:tcPr>
            <w:tcW w:w="1400" w:type="dxa"/>
            <w:vAlign w:val="bottom"/>
            <w:gridSpan w:val="2"/>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40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 xml:space="preserve">Condensed Consolidated Statements of Equity (Deficit) </w:t>
              </w:r>
            </w:hyperlink>
            <w:r>
              <w:rPr>
                <w:rFonts w:ascii="Arial" w:cs="Arial" w:eastAsia="Arial" w:hAnsi="Arial"/>
                <w:sz w:val="18"/>
                <w:szCs w:val="18"/>
                <w:color w:val="0000EE"/>
                <w:w w:val="98"/>
              </w:rPr>
              <w:t>for the Three and Six Months Ended June 30, 2021 and 2020</w:t>
            </w:r>
          </w:p>
        </w:tc>
        <w:tc>
          <w:tcPr>
            <w:tcW w:w="480" w:type="dxa"/>
            <w:vAlign w:val="bottom"/>
            <w:gridSpan w:val="2"/>
          </w:tcPr>
          <w:p>
            <w:pPr>
              <w:jc w:val="center"/>
              <w:ind w:left="3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4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60" w:type="dxa"/>
            <w:vAlign w:val="bottom"/>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 xml:space="preserve">Condensed Consolidated Statements of Cash Flows </w:t>
              </w:r>
            </w:hyperlink>
            <w:r>
              <w:rPr>
                <w:rFonts w:ascii="Arial" w:cs="Arial" w:eastAsia="Arial" w:hAnsi="Arial"/>
                <w:sz w:val="18"/>
                <w:szCs w:val="18"/>
                <w:color w:val="0000EE"/>
                <w:w w:val="89"/>
              </w:rPr>
              <w:t>for the Six Months Ended June 30, 2021 and 2020</w:t>
            </w:r>
          </w:p>
        </w:tc>
        <w:tc>
          <w:tcPr>
            <w:tcW w:w="10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center"/>
              <w:ind w:left="3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4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80" w:type="dxa"/>
            <w:vAlign w:val="bottom"/>
            <w:gridSpan w:val="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80" w:type="dxa"/>
            <w:vAlign w:val="bottom"/>
            <w:gridSpan w:val="5"/>
          </w:tcPr>
          <w:p>
            <w:pPr>
              <w:spacing w:after="0"/>
              <w:rPr>
                <w:sz w:val="19"/>
                <w:szCs w:val="19"/>
                <w:color w:val="auto"/>
              </w:rPr>
            </w:pPr>
          </w:p>
        </w:tc>
        <w:tc>
          <w:tcPr>
            <w:tcW w:w="1860" w:type="dxa"/>
            <w:vAlign w:val="bottom"/>
            <w:gridSpan w:val="3"/>
          </w:tcPr>
          <w:p>
            <w:pPr>
              <w:spacing w:after="0"/>
              <w:rPr>
                <w:sz w:val="19"/>
                <w:szCs w:val="19"/>
                <w:color w:val="auto"/>
              </w:rPr>
            </w:pPr>
          </w:p>
        </w:tc>
        <w:tc>
          <w:tcPr>
            <w:tcW w:w="480" w:type="dxa"/>
            <w:vAlign w:val="bottom"/>
            <w:gridSpan w:val="2"/>
          </w:tcPr>
          <w:p>
            <w:pPr>
              <w:jc w:val="center"/>
              <w:ind w:left="3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4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00" w:type="dxa"/>
            <w:vAlign w:val="bottom"/>
          </w:tcPr>
          <w:p>
            <w:pPr>
              <w:spacing w:after="0"/>
              <w:rPr>
                <w:sz w:val="19"/>
                <w:szCs w:val="19"/>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43"/>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600" w:type="dxa"/>
            <w:vAlign w:val="bottom"/>
            <w:gridSpan w:val="3"/>
          </w:tcPr>
          <w:p>
            <w:pPr>
              <w:spacing w:after="0"/>
              <w:rPr>
                <w:sz w:val="21"/>
                <w:szCs w:val="21"/>
                <w:color w:val="auto"/>
              </w:rPr>
            </w:pPr>
          </w:p>
        </w:tc>
        <w:tc>
          <w:tcPr>
            <w:tcW w:w="922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c>
          <w:tcPr>
            <w:tcW w:w="400" w:type="dxa"/>
            <w:vAlign w:val="bottom"/>
          </w:tcPr>
          <w:p>
            <w:pPr>
              <w:spacing w:after="0"/>
              <w:rPr>
                <w:sz w:val="21"/>
                <w:szCs w:val="2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4900" w:type="dxa"/>
            <w:vAlign w:val="bottom"/>
            <w:tcBorders>
              <w:left w:val="single" w:sz="8" w:color="0000EE"/>
            </w:tcBorders>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520" w:type="dxa"/>
            <w:vAlign w:val="bottom"/>
          </w:tcPr>
          <w:p>
            <w:pPr>
              <w:spacing w:after="0" w:line="183"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600" w:type="dxa"/>
            <w:vAlign w:val="bottom"/>
            <w:gridSpan w:val="3"/>
          </w:tcPr>
          <w:p>
            <w:pPr>
              <w:spacing w:after="0"/>
              <w:rPr>
                <w:sz w:val="15"/>
                <w:szCs w:val="15"/>
                <w:color w:val="auto"/>
              </w:rPr>
            </w:pPr>
          </w:p>
        </w:tc>
        <w:tc>
          <w:tcPr>
            <w:tcW w:w="9220" w:type="dxa"/>
            <w:vAlign w:val="bottom"/>
            <w:gridSpan w:val="14"/>
          </w:tcPr>
          <w:p>
            <w:pPr>
              <w:spacing w:after="0" w:line="183"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480" w:type="dxa"/>
            <w:vAlign w:val="bottom"/>
            <w:gridSpan w:val="2"/>
          </w:tcPr>
          <w:p>
            <w:pPr>
              <w:jc w:val="center"/>
              <w:ind w:left="210"/>
              <w:spacing w:after="0" w:line="183"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400" w:type="dxa"/>
            <w:vAlign w:val="bottom"/>
          </w:tcPr>
          <w:p>
            <w:pPr>
              <w:spacing w:after="0"/>
              <w:rPr>
                <w:sz w:val="15"/>
                <w:szCs w:val="15"/>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479"/>
        </w:trPr>
        <w:tc>
          <w:tcPr>
            <w:tcW w:w="10340" w:type="dxa"/>
            <w:vAlign w:val="bottom"/>
            <w:gridSpan w:val="18"/>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Part II - Other Information</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400" w:type="dxa"/>
            <w:vAlign w:val="bottom"/>
          </w:tcPr>
          <w:p>
            <w:pPr>
              <w:spacing w:after="0"/>
              <w:rPr>
                <w:sz w:val="24"/>
                <w:szCs w:val="24"/>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479"/>
        </w:trPr>
        <w:tc>
          <w:tcPr>
            <w:tcW w:w="520" w:type="dxa"/>
            <w:vAlign w:val="bottom"/>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1.</w:t>
              </w:r>
            </w:hyperlink>
          </w:p>
        </w:tc>
        <w:tc>
          <w:tcPr>
            <w:tcW w:w="600" w:type="dxa"/>
            <w:vAlign w:val="bottom"/>
            <w:gridSpan w:val="3"/>
          </w:tcPr>
          <w:p>
            <w:pPr>
              <w:spacing w:after="0"/>
              <w:rPr>
                <w:sz w:val="24"/>
                <w:szCs w:val="24"/>
                <w:color w:val="auto"/>
              </w:rPr>
            </w:pPr>
          </w:p>
        </w:tc>
        <w:tc>
          <w:tcPr>
            <w:tcW w:w="922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4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23"/>
        </w:trPr>
        <w:tc>
          <w:tcPr>
            <w:tcW w:w="112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922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400" w:type="dxa"/>
            <w:vAlign w:val="bottom"/>
          </w:tcPr>
          <w:p>
            <w:pPr>
              <w:spacing w:after="0"/>
              <w:rPr>
                <w:sz w:val="19"/>
                <w:szCs w:val="19"/>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2.</w:t>
              </w:r>
            </w:hyperlink>
          </w:p>
        </w:tc>
        <w:tc>
          <w:tcPr>
            <w:tcW w:w="1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400" w:type="dxa"/>
            <w:vAlign w:val="bottom"/>
          </w:tcPr>
          <w:p>
            <w:pPr>
              <w:spacing w:after="0"/>
              <w:rPr>
                <w:sz w:val="19"/>
                <w:szCs w:val="19"/>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3.</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Defaults Upon Senior Securities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400" w:type="dxa"/>
            <w:vAlign w:val="bottom"/>
          </w:tcPr>
          <w:p>
            <w:pPr>
              <w:spacing w:after="0"/>
              <w:rPr>
                <w:sz w:val="19"/>
                <w:szCs w:val="19"/>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4.</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Mine Safety Disclosures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73</w:t>
              </w:r>
            </w:hyperlink>
          </w:p>
        </w:tc>
        <w:tc>
          <w:tcPr>
            <w:tcW w:w="400" w:type="dxa"/>
            <w:vAlign w:val="bottom"/>
          </w:tcPr>
          <w:p>
            <w:pPr>
              <w:spacing w:after="0"/>
              <w:rPr>
                <w:sz w:val="19"/>
                <w:szCs w:val="19"/>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5.</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73</w:t>
              </w:r>
            </w:hyperlink>
          </w:p>
        </w:tc>
        <w:tc>
          <w:tcPr>
            <w:tcW w:w="400" w:type="dxa"/>
            <w:vAlign w:val="bottom"/>
          </w:tcPr>
          <w:p>
            <w:pPr>
              <w:spacing w:after="0"/>
              <w:rPr>
                <w:sz w:val="19"/>
                <w:szCs w:val="19"/>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Item 6.</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400" w:type="dxa"/>
            <w:vAlign w:val="bottom"/>
          </w:tcPr>
          <w:p>
            <w:pPr>
              <w:spacing w:after="0"/>
              <w:rPr>
                <w:sz w:val="19"/>
                <w:szCs w:val="19"/>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r>
        <w:trPr>
          <w:trHeight w:val="223"/>
        </w:trPr>
        <w:tc>
          <w:tcPr>
            <w:tcW w:w="112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400" w:type="dxa"/>
            <w:vAlign w:val="bottom"/>
          </w:tcPr>
          <w:p>
            <w:pPr>
              <w:spacing w:after="0"/>
              <w:rPr>
                <w:sz w:val="19"/>
                <w:szCs w:val="19"/>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120,644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34,167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38,779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25,512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Notes payable to members</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42,206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156,187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362,043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4)</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Stockholders’ equity/Members’ equity</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Preferred Stock - $0.0001 par value; 75,000,000 shares authorized; — shares issued and</w:t>
            </w:r>
          </w:p>
        </w:tc>
        <w:tc>
          <w:tcPr>
            <w:tcW w:w="26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June 30, 2021</w:t>
            </w:r>
          </w:p>
        </w:tc>
        <w:tc>
          <w:tcPr>
            <w:tcW w:w="260" w:type="dxa"/>
            <w:vAlign w:val="bottom"/>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line="176" w:lineRule="exact"/>
              <w:rPr>
                <w:sz w:val="20"/>
                <w:szCs w:val="20"/>
                <w:color w:val="auto"/>
              </w:rPr>
            </w:pPr>
            <w:r>
              <w:rPr>
                <w:rFonts w:ascii="Arial" w:cs="Arial" w:eastAsia="Arial" w:hAnsi="Arial"/>
                <w:sz w:val="18"/>
                <w:szCs w:val="18"/>
                <w:color w:val="auto"/>
                <w:w w:val="90"/>
              </w:rPr>
              <w:t>Class A Common Stock - $0.0001 par value; 1,500,000,000 shares authorized; 63,738,563 shares</w:t>
            </w: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issued and outstanding at June 30, 2021</w:t>
            </w: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Class V Common Stock - $0.0001 par value; 500,000,000 shares authorized, 65,502,347 shares</w:t>
            </w:r>
          </w:p>
        </w:tc>
        <w:tc>
          <w:tcPr>
            <w:tcW w:w="2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June 30, 2021</w:t>
            </w:r>
          </w:p>
        </w:tc>
        <w:tc>
          <w:tcPr>
            <w:tcW w:w="2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(20,212)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WM Technology, Inc. stockholders’ deficit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Members’ equity</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(deficit) equity</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320" w:type="dxa"/>
            <w:vAlign w:val="bottom"/>
          </w:tcPr>
          <w:p>
            <w:pPr>
              <w:ind w:left="460"/>
              <w:spacing w:after="0"/>
              <w:rPr>
                <w:sz w:val="20"/>
                <w:szCs w:val="20"/>
                <w:color w:val="auto"/>
              </w:rPr>
            </w:pPr>
            <w:r>
              <w:rPr>
                <w:rFonts w:ascii="Arial" w:cs="Arial" w:eastAsia="Arial" w:hAnsi="Arial"/>
                <w:sz w:val="18"/>
                <w:szCs w:val="18"/>
                <w:color w:val="auto"/>
              </w:rPr>
              <w:t>Total liabilities and (deficit)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326,328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14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880" w:type="dxa"/>
            <w:vAlign w:val="bottom"/>
            <w:gridSpan w:val="8"/>
          </w:tcPr>
          <w:p>
            <w:pPr>
              <w:jc w:val="center"/>
              <w:ind w:left="1730"/>
              <w:spacing w:after="0"/>
              <w:rPr>
                <w:sz w:val="20"/>
                <w:szCs w:val="20"/>
                <w:color w:val="auto"/>
              </w:rPr>
            </w:pPr>
            <w:r>
              <w:rPr>
                <w:rFonts w:ascii="Arial" w:cs="Arial" w:eastAsia="Arial" w:hAnsi="Arial"/>
                <w:sz w:val="18"/>
                <w:szCs w:val="18"/>
                <w:b w:val="1"/>
                <w:bCs w:val="1"/>
                <w:color w:val="auto"/>
              </w:rPr>
              <w:t>WM TECHNOLOGY, INC. AND SUBSIDIARIES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80" w:type="dxa"/>
            <w:vAlign w:val="bottom"/>
            <w:gridSpan w:val="8"/>
          </w:tcPr>
          <w:p>
            <w:pPr>
              <w:jc w:val="center"/>
              <w:ind w:left="17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(Unaudited)</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4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(In thousands, except for share data)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4"/>
                <w:szCs w:val="24"/>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57"/>
        </w:trPr>
        <w:tc>
          <w:tcPr>
            <w:tcW w:w="40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Product development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13,402</w:t>
            </w: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13,817</w:t>
            </w: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0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0"/>
              </w:rPr>
              <w:t>(158)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5"/>
              </w:rPr>
              <w:t>(615)</w:t>
            </w:r>
          </w:p>
        </w:tc>
      </w:tr>
      <w:tr>
        <w:trPr>
          <w:trHeight w:val="223"/>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 from income taxes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4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Net income attributable to noncontrolling interests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gridSpan w:val="2"/>
          </w:tcPr>
          <w:p>
            <w:pPr>
              <w:ind w:left="240"/>
              <w:spacing w:after="0"/>
              <w:rPr>
                <w:sz w:val="20"/>
                <w:szCs w:val="20"/>
                <w:color w:val="auto"/>
              </w:rPr>
            </w:pPr>
            <w:r>
              <w:rPr>
                <w:rFonts w:ascii="Arial" w:cs="Arial" w:eastAsia="Arial" w:hAnsi="Arial"/>
                <w:sz w:val="18"/>
                <w:szCs w:val="18"/>
                <w:color w:val="auto"/>
                <w:w w:val="99"/>
              </w:rPr>
              <w:t>Net income attributable to WM Technology, Inc.</w:t>
            </w:r>
          </w:p>
        </w:tc>
        <w:tc>
          <w:tcPr>
            <w:tcW w:w="1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income per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N/A¹</w:t>
            </w: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Diluted loss per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N/A¹</w:t>
            </w:r>
          </w:p>
        </w:tc>
      </w:tr>
      <w:tr>
        <w:trPr>
          <w:trHeight w:val="256"/>
        </w:trPr>
        <w:tc>
          <w:tcPr>
            <w:tcW w:w="4040" w:type="dxa"/>
            <w:vAlign w:val="bottom"/>
            <w:gridSpan w:val="2"/>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N/A¹</w:t>
            </w: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71,347,746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71,347,746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-3909060</wp:posOffset>
            </wp:positionV>
            <wp:extent cx="60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jc w:val="both"/>
        <w:ind w:firstLine="8"/>
        <w:spacing w:after="0" w:line="257" w:lineRule="auto"/>
        <w:tabs>
          <w:tab w:leader="none" w:pos="85" w:val="left"/>
        </w:tabs>
        <w:numPr>
          <w:ilvl w:val="0"/>
          <w:numId w:val="1"/>
        </w:numPr>
        <w:rPr>
          <w:rFonts w:ascii="Arial" w:cs="Arial" w:eastAsia="Arial" w:hAnsi="Arial"/>
          <w:sz w:val="14"/>
          <w:szCs w:val="14"/>
          <w:color w:val="auto"/>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16"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and Six Months Ended June 30,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WM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w w:val="93"/>
              </w:rPr>
              <w:t>Class A</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w w:val="94"/>
              </w:rPr>
              <w:t>Class V</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3"/>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Technology, Inc.</w:t>
            </w:r>
          </w:p>
        </w:tc>
        <w:tc>
          <w:tcPr>
            <w:tcW w:w="100" w:type="dxa"/>
            <w:vAlign w:val="bottom"/>
          </w:tcPr>
          <w:p>
            <w:pPr>
              <w:spacing w:after="0"/>
              <w:rPr>
                <w:sz w:val="4"/>
                <w:szCs w:val="4"/>
                <w:color w:val="auto"/>
              </w:rPr>
            </w:pPr>
          </w:p>
        </w:tc>
        <w:tc>
          <w:tcPr>
            <w:tcW w:w="9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7"/>
              </w:rPr>
              <w:t>Par</w:t>
            </w: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ind w:left="20"/>
              <w:spacing w:after="0" w:line="155" w:lineRule="exact"/>
              <w:rPr>
                <w:sz w:val="20"/>
                <w:szCs w:val="20"/>
                <w:color w:val="auto"/>
              </w:rPr>
            </w:pPr>
            <w:r>
              <w:rPr>
                <w:rFonts w:ascii="Arial" w:cs="Arial" w:eastAsia="Arial" w:hAnsi="Arial"/>
                <w:sz w:val="14"/>
                <w:szCs w:val="14"/>
                <w:b w:val="1"/>
                <w:bCs w:val="1"/>
                <w:color w:val="auto"/>
              </w:rPr>
              <w:t>Retained</w:t>
            </w:r>
          </w:p>
        </w:tc>
        <w:tc>
          <w:tcPr>
            <w:tcW w:w="12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Members’</w:t>
            </w:r>
          </w:p>
        </w:tc>
        <w:tc>
          <w:tcPr>
            <w:tcW w:w="140" w:type="dxa"/>
            <w:vAlign w:val="bottom"/>
          </w:tcPr>
          <w:p>
            <w:pPr>
              <w:spacing w:after="0" w:line="20" w:lineRule="exact"/>
              <w:rPr>
                <w:sz w:val="1"/>
                <w:szCs w:val="1"/>
                <w:color w:val="auto"/>
              </w:rPr>
            </w:pPr>
          </w:p>
        </w:tc>
        <w:tc>
          <w:tcPr>
            <w:tcW w:w="1000" w:type="dxa"/>
            <w:vAlign w:val="bottom"/>
            <w:vMerge w:val="restart"/>
          </w:tcPr>
          <w:p>
            <w:pPr>
              <w:jc w:val="center"/>
              <w:ind w:right="88"/>
              <w:spacing w:after="0" w:line="155" w:lineRule="exact"/>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line="20" w:lineRule="exact"/>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As of December 31,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7,731</w:t>
            </w:r>
          </w:p>
        </w:tc>
        <w:tc>
          <w:tcPr>
            <w:tcW w:w="0" w:type="dxa"/>
            <w:vAlign w:val="bottom"/>
          </w:tcPr>
          <w:p>
            <w:pPr>
              <w:spacing w:after="0"/>
              <w:rPr>
                <w:sz w:val="1"/>
                <w:szCs w:val="1"/>
                <w:color w:val="auto"/>
              </w:rPr>
            </w:pPr>
          </w:p>
        </w:tc>
      </w:tr>
      <w:tr>
        <w:trPr>
          <w:trHeight w:val="186"/>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Share-based</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Proceeds and shares</w:t>
            </w: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6"/>
              </w:rPr>
              <w:t>issued in the Business</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63,738,563</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65,502,347</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w w:val="95"/>
              </w:rPr>
              <w:t>(20,212)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(20,674)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(85,312)</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Combination (Note 6)</w:t>
            </w:r>
          </w:p>
        </w:tc>
        <w:tc>
          <w:tcPr>
            <w:tcW w:w="10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7,347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16,837</w:t>
            </w:r>
          </w:p>
        </w:tc>
        <w:tc>
          <w:tcPr>
            <w:tcW w:w="0" w:type="dxa"/>
            <w:vAlign w:val="bottom"/>
          </w:tcPr>
          <w:p>
            <w:pPr>
              <w:spacing w:after="0"/>
              <w:rPr>
                <w:sz w:val="1"/>
                <w:szCs w:val="1"/>
                <w:color w:val="auto"/>
              </w:rPr>
            </w:pPr>
          </w:p>
        </w:tc>
      </w:tr>
      <w:tr>
        <w:trPr>
          <w:trHeight w:val="211"/>
        </w:trPr>
        <w:tc>
          <w:tcPr>
            <w:tcW w:w="1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63,738,563 $</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7"/>
              </w:rPr>
              <w:t>65,502,347 $</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5"/>
              </w:rPr>
              <w:t>(20,212)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15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and Six Months Ended June 30, 2020</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WM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w w:val="93"/>
              </w:rPr>
              <w:t>Class A</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ind w:left="480"/>
              <w:spacing w:after="0" w:line="135" w:lineRule="exact"/>
              <w:rPr>
                <w:sz w:val="20"/>
                <w:szCs w:val="20"/>
                <w:color w:val="auto"/>
              </w:rPr>
            </w:pPr>
            <w:r>
              <w:rPr>
                <w:rFonts w:ascii="Arial" w:cs="Arial" w:eastAsia="Arial" w:hAnsi="Arial"/>
                <w:sz w:val="14"/>
                <w:szCs w:val="14"/>
                <w:b w:val="1"/>
                <w:bCs w:val="1"/>
                <w:color w:val="auto"/>
                <w:w w:val="98"/>
              </w:rPr>
              <w:t>Class V</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3"/>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Technology, Inc.</w:t>
            </w:r>
          </w:p>
        </w:tc>
        <w:tc>
          <w:tcPr>
            <w:tcW w:w="100" w:type="dxa"/>
            <w:vAlign w:val="bottom"/>
          </w:tcPr>
          <w:p>
            <w:pPr>
              <w:spacing w:after="0"/>
              <w:rPr>
                <w:sz w:val="4"/>
                <w:szCs w:val="4"/>
                <w:color w:val="auto"/>
              </w:rPr>
            </w:pPr>
          </w:p>
        </w:tc>
        <w:tc>
          <w:tcPr>
            <w:tcW w:w="9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Par</w:t>
            </w: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Retained</w:t>
            </w:r>
          </w:p>
        </w:tc>
        <w:tc>
          <w:tcPr>
            <w:tcW w:w="12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Members’</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As of December 31,</w:t>
            </w:r>
          </w:p>
        </w:tc>
        <w:tc>
          <w:tcPr>
            <w:tcW w:w="100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0" w:type="dxa"/>
            <w:vAlign w:val="bottom"/>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3,809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186"/>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10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0" w:type="dxa"/>
            <w:vAlign w:val="bottom"/>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9,393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9,393</w:t>
            </w:r>
          </w:p>
        </w:tc>
        <w:tc>
          <w:tcPr>
            <w:tcW w:w="0" w:type="dxa"/>
            <w:vAlign w:val="bottom"/>
          </w:tcPr>
          <w:p>
            <w:pPr>
              <w:spacing w:after="0"/>
              <w:rPr>
                <w:sz w:val="1"/>
                <w:szCs w:val="1"/>
                <w:color w:val="auto"/>
              </w:rPr>
            </w:pPr>
          </w:p>
        </w:tc>
      </w:tr>
      <w:tr>
        <w:trPr>
          <w:trHeight w:val="211"/>
        </w:trPr>
        <w:tc>
          <w:tcPr>
            <w:tcW w:w="1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2020</w:t>
            </w:r>
          </w:p>
        </w:tc>
        <w:tc>
          <w:tcPr>
            <w:tcW w:w="10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 $</w:t>
            </w:r>
          </w:p>
        </w:tc>
        <w:tc>
          <w:tcPr>
            <w:tcW w:w="4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4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rPr>
              <w:t>WM TECHNOLOGY, INC. AND SUBSIDIARIES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8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7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7000" w:type="dxa"/>
            <w:vAlign w:val="bottom"/>
          </w:tcPr>
          <w:p>
            <w:pPr>
              <w:jc w:val="center"/>
              <w:ind w:left="1590"/>
              <w:spacing w:after="0"/>
              <w:rPr>
                <w:sz w:val="20"/>
                <w:szCs w:val="20"/>
                <w:color w:val="auto"/>
              </w:rPr>
            </w:pPr>
            <w:r>
              <w:rPr>
                <w:rFonts w:ascii="Arial" w:cs="Arial" w:eastAsia="Arial" w:hAnsi="Arial"/>
                <w:sz w:val="18"/>
                <w:szCs w:val="18"/>
                <w:color w:val="auto"/>
                <w:w w:val="90"/>
              </w:rPr>
              <w:t>(In thousands)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Impairment loss on right-of-use asset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w:t>
            </w:r>
          </w:p>
        </w:tc>
      </w:tr>
      <w:tr>
        <w:trPr>
          <w:trHeight w:val="236"/>
        </w:trPr>
        <w:tc>
          <w:tcPr>
            <w:tcW w:w="12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37"/>
        </w:trPr>
        <w:tc>
          <w:tcPr>
            <w:tcW w:w="12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Proceeds from the Business Combination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 of note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Distributions to members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(5,867)</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Repurchase of Class B Units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r>
      <w:tr>
        <w:trPr>
          <w:trHeight w:val="236"/>
        </w:trPr>
        <w:tc>
          <w:tcPr>
            <w:tcW w:w="1280" w:type="dxa"/>
            <w:vAlign w:val="bottom"/>
            <w:shd w:val="clear" w:color="auto" w:fill="CCEEFF"/>
          </w:tcPr>
          <w:p>
            <w:pPr>
              <w:spacing w:after="0"/>
              <w:rPr>
                <w:sz w:val="20"/>
                <w:szCs w:val="20"/>
                <w:color w:val="auto"/>
              </w:rPr>
            </w:pPr>
          </w:p>
        </w:tc>
        <w:tc>
          <w:tcPr>
            <w:tcW w:w="7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increase in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71,743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7,841</w:t>
            </w: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Cash –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91,662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Warranty liability assumed from the Business Combination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Tax receivable agreement liability recognized in connection with the Business Combination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assets recognized in connection with the Business Combination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Other assets assumed from the Business Combination</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-5366385</wp:posOffset>
            </wp:positionV>
            <wp:extent cx="60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16"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WM Technology, Inc.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the Company has a limited number of non-monetized listings in several international countries including Austria, Canada,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the Company imposed regardless of whether the proposed order was canceled or completed. As of January 1, 2021, the Company migrated all standard listing subscription clients to its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w:t>
      </w:r>
    </w:p>
    <w:p>
      <w:pPr>
        <w:spacing w:after="0" w:line="166"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statements have been omitted or condensed and these interim financial statements should be read in conjunction with the Company’s audited financial statements and accompanying notes included in the Company’s Registration Statement on Form S-1 filed with the SEC on July 8, 2021. The condensed financial statements of the Company include all adjustments of a normal recurring nature which, in the opinion of management, are necessary for a fair statement of the Company’s financial position as of June 30, 2021, and results of its operations and its cash flows for the interim periods presented. The results of operations for the six months ended June 30, 2021 are not necessarily indicative of the results to be expected for the entire year. There have been no significant changes in the Company’s accounting policies from those described in the Company’s audited consolidated financial statements and the related notes to those statements, other than the adoption of the lease accounting guidance.</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117" w:lineRule="exact"/>
        <w:rPr>
          <w:sz w:val="20"/>
          <w:szCs w:val="20"/>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is the larger entity based on historical operating activity and has the larger employee base.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condensed consolidated financial statements include the accounts of WM Technology, Inc. and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and Weedmaps Germany GmbH. All significant intercompany balance and transactions have been eliminated upon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2020 and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4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and tax receivable agreement liability, revenue recognition, stock-based compensation, and the recognition and disclosure of contingent liabilities.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we reserve for all balance in outstanding in excess of ninety days. Account balances are written off against the allowance when it is determined that it is probable that the receivable will not be recovered. The Company recorded an allowance for bad debt of $0.7 million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revenues are derived primarily from monthly subscriptions and additional offerings for access to the Company’s Weedmaps platform and the Company’s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Substantially all of the Company’s revenue is generated by providing standard listing and software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5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deferred revenue balance as of June 30, 2021 of $6.9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disaggregated net revenue information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53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1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 over time</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68,156</w:t>
            </w:r>
          </w:p>
        </w:tc>
      </w:tr>
      <w:tr>
        <w:trPr>
          <w:trHeight w:val="338"/>
        </w:trPr>
        <w:tc>
          <w:tcPr>
            <w:tcW w:w="5320" w:type="dxa"/>
            <w:vAlign w:val="bottom"/>
          </w:tcPr>
          <w:p>
            <w:pPr>
              <w:ind w:left="20"/>
              <w:spacing w:after="0"/>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3"/>
                <w:szCs w:val="23"/>
                <w:color w:val="auto"/>
                <w:vertAlign w:val="superscript"/>
              </w:rPr>
              <w:t>(2)</w:t>
            </w:r>
          </w:p>
        </w:tc>
        <w:tc>
          <w:tcPr>
            <w:tcW w:w="20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2,809</w:t>
            </w:r>
          </w:p>
        </w:tc>
      </w:tr>
      <w:tr>
        <w:trPr>
          <w:trHeight w:val="248"/>
        </w:trPr>
        <w:tc>
          <w:tcPr>
            <w:tcW w:w="5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-616585</wp:posOffset>
            </wp:positionV>
            <wp:extent cx="6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-616585</wp:posOffset>
            </wp:positionV>
            <wp:extent cx="5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53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56,398</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Foreign revenues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14,567</w:t>
            </w:r>
          </w:p>
        </w:tc>
      </w:tr>
      <w:tr>
        <w:trPr>
          <w:trHeight w:val="248"/>
        </w:trPr>
        <w:tc>
          <w:tcPr>
            <w:tcW w:w="5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-487680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-487680</wp:posOffset>
            </wp:positionV>
            <wp:extent cx="59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The Company uses the asset and liability method of accounting for income taxes under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and tax law developments.</w:t>
      </w: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9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For the three and six months ended June 30, 2021, the Company recorded an income tax benefit of $0.4 million and $0.2 million, respectively. The tax benefit related to U.S. federal and state tax benefits from certain Business Combination-related expenses offset, in part, by income taxes recorded during the period ended March 31, 2021 as a result of an audit performed by the Canada Revenue Agency on prior years income taxes paid by the Company’s subsidiary, WM Canada Holdings, Inc. The effective tax rates differ from the federal statutory rate of 21% primarily due to flow-through income not subject to tax, permanent stock based compensation and warrant impacts, and state taxes.</w:t>
      </w:r>
    </w:p>
    <w:p>
      <w:pPr>
        <w:spacing w:after="0" w:line="2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expenses the cost of advertising in the period incurred. Advertising expense totaled $4.8 million and $2.6 million for the three months ended June 30, 2021 and 2020, respectively, and $7.8 million and $4.3 million for the six months ended June 30, 2021 and 2020, respectively, and are included in sales and marketing expense in the accompanying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Contributions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expenses the costs of all political contributions in the period incurred. Political contributions totaled $0.3 million and $0.1 million for the three months ended June 30, 2021 and 2020, respectively, $0.3 million for each of the six months ended June 30, 2021 and 2020, and are included in other expense in the accompanying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measures fair value of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 Company has accounted for the issuance of Class A-3 and Class B Units in accordance with ASC 718 - </w:t>
      </w:r>
      <w:r>
        <w:rPr>
          <w:rFonts w:ascii="Arial" w:cs="Arial" w:eastAsia="Arial" w:hAnsi="Arial"/>
          <w:sz w:val="18"/>
          <w:szCs w:val="18"/>
          <w:i w:val="1"/>
          <w:iCs w:val="1"/>
          <w:color w:val="auto"/>
        </w:rPr>
        <w:t>Stock Based Compensation</w:t>
      </w:r>
      <w:r>
        <w:rPr>
          <w:rFonts w:ascii="Arial" w:cs="Arial" w:eastAsia="Arial" w:hAnsi="Arial"/>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of June 30, 2021, total remaining stock-based compensation expense for non-vested Class P Units was $5.7 million, which is expected to be recognized over a weighted-average period of 2.4 years. For the three and six months ended June 30, 2021, the Company recorded stock-based compensation expense of $19.4 million, which represents the life-to-date expense on the Company’s equity awards through June 30, 2021. Due to the Business Combination completed in the second quarter of 2021, certain limitations on exercisability related to the Company’s equity awards issued to employees and consultants were removed. As a result, the Company recognized share-based compensation expense through June 30, 2021 on those equity awards. The stock-based compensation expense recognized during the period also includes a one-time incremental expense of $4.1 million related to an award modification as a result of an advisory agreement entered into with a former executive.</w:t>
      </w:r>
    </w:p>
    <w:p>
      <w:pPr>
        <w:spacing w:after="0" w:line="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recorded stock-based compensation in the following expense categories on the accompanying condensed consolidated statements of income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Three and Six Months Ended June 30,</w:t>
            </w:r>
          </w:p>
        </w:tc>
      </w:tr>
      <w:tr>
        <w:trPr>
          <w:trHeight w:val="229"/>
        </w:trPr>
        <w:tc>
          <w:tcPr>
            <w:tcW w:w="8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2021</w:t>
            </w:r>
          </w:p>
        </w:tc>
      </w:tr>
      <w:tr>
        <w:trPr>
          <w:trHeight w:val="223"/>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r>
      <w:tr>
        <w:trPr>
          <w:trHeight w:val="223"/>
        </w:trPr>
        <w:tc>
          <w:tcPr>
            <w:tcW w:w="806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19,433</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Basic net earnings per share is computed by dividing net earnings attributable to WM Technology, Inc. for the period from June 16, 2021 (Closing Date) to June 30, 2021 by the weighted-average number of shares of Class A Common Stock outstanding during the same period.</w:t>
      </w:r>
    </w:p>
    <w:p>
      <w:pPr>
        <w:spacing w:after="0" w:line="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Diluted net earnings per share is computed giving effect to all potential weighted-average dilutive shares for the period. The dilutive effect of outstanding awards or financial instruments, if any, is reflected in diluted earnings per share by application of the treasury stock method or if-converted method, as applicable.</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The basic and diluted earnings (loss) per share for the three and six months ended June 30, 2021 represent only the period from June 16, 2021 to June 30, 2021.</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assumed 12,499,933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June 30,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become Public Warrants and be redeemable by the Company and exercisable by such holders on the same basis as the other Public Warrants.</w:t>
      </w:r>
    </w:p>
    <w:p>
      <w:pPr>
        <w:spacing w:after="0" w:line="2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income at each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ind w:left="820" w:hanging="326"/>
        <w:spacing w:after="0" w:line="308"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rFonts w:ascii="Arial" w:cs="Arial" w:eastAsia="Arial" w:hAnsi="Arial"/>
          <w:sz w:val="17"/>
          <w:szCs w:val="17"/>
          <w:color w:val="auto"/>
        </w:rPr>
      </w:pPr>
    </w:p>
    <w:p>
      <w:pPr>
        <w:ind w:left="820" w:right="20" w:hanging="326"/>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Business Combination was accomplished through what is commonly referred to as an “Up-C” structure, which is often used by partnerships and limited liability companies undertaking an initial public offering. The Up-C structure allows the Legacy WMH Unit holders to retain their equity ownership in WMH LLC, an entity that is classified as a partnership for U.S. federal income tax purposes, in the form of Units and provides potential future tax benefits for both the Company and the WMH LLC Unit holders when they ultimately exchange their pass-through interests for shares of Class A Common Stock. Additionally, the Company could obtain future increases in its tax basis of the assets of WMH LLC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2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The remaining 15% is recorded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Effective January 1, 2021, the Company accounts for its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The Company continues to account for leases in the prior period financial statements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 right-of-use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On January 1, 2021, the Company adopted ASC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related expense for the three and six months ended June 30, 2021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tcPr>
          <w:p>
            <w:pPr>
              <w:spacing w:after="0"/>
              <w:rPr>
                <w:sz w:val="18"/>
                <w:szCs w:val="18"/>
                <w:color w:val="auto"/>
              </w:rPr>
            </w:pPr>
          </w:p>
        </w:tc>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Three Months Ended June</w:t>
            </w:r>
          </w:p>
        </w:tc>
        <w:tc>
          <w:tcPr>
            <w:tcW w:w="12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Six Months Ended June</w:t>
            </w:r>
          </w:p>
        </w:tc>
      </w:tr>
      <w:tr>
        <w:trPr>
          <w:trHeight w:val="229"/>
        </w:trPr>
        <w:tc>
          <w:tcPr>
            <w:tcW w:w="69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30, 2021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30, 2021</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23"/>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expense</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rent expense</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rent expense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-788035</wp:posOffset>
            </wp:positionV>
            <wp:extent cx="60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three and six months ended June 30, 2021, the Company made cash payments of $2.4 million and $3.5 million, respectively, on its operating leases, all of which were included in cash flows from operating activities within the condensed consolidated statements of cash flows. During the six months ended June 30, 2021, ROU assets obtained in exchange for operating lease liabilities were $43.3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500"/>
              <w:spacing w:after="0"/>
              <w:rPr>
                <w:sz w:val="20"/>
                <w:szCs w:val="20"/>
                <w:color w:val="auto"/>
              </w:rPr>
            </w:pPr>
            <w:r>
              <w:rPr>
                <w:rFonts w:ascii="Arial" w:cs="Arial" w:eastAsia="Arial" w:hAnsi="Arial"/>
                <w:sz w:val="18"/>
                <w:szCs w:val="18"/>
                <w:color w:val="auto"/>
                <w:w w:val="94"/>
              </w:rPr>
              <w:t>As of June 30, 2021, future minimum payments for the next five years and thereafter are as follows (in thousands):</w:t>
            </w: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64"/>
        </w:trPr>
        <w:tc>
          <w:tcPr>
            <w:tcW w:w="9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Operating Leases</w:t>
            </w: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period in 2021 (six months)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9,597</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9,405</w:t>
            </w: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29,732</w:t>
            </w:r>
          </w:p>
        </w:tc>
      </w:tr>
      <w:tr>
        <w:trPr>
          <w:trHeight w:val="223"/>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Future minimum lease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69,136</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(21,878)</w:t>
            </w:r>
          </w:p>
        </w:tc>
      </w:tr>
      <w:tr>
        <w:trPr>
          <w:trHeight w:val="248"/>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of June 30, 2021, the Company’s operating leases had a weighted average remaining lease term of 7.8 years and a weighted-average discount rate of 9.8%. The Company’s lease agreements do not provide an implicit rate, so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three and six ended June 30,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condensed consolidated statements of income.</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(“DOJ”).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2021.The Company believes that these allegations are without merit. These matters are in the early stages and we are unable to reasonably determine the outcome or estimate the loss, if any, and as such, have not recorded a loss contingency.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indicates the fair value hierarchy of the valuation inputs the Company utilized to determine such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w:t>
            </w:r>
          </w:p>
        </w:tc>
        <w:tc>
          <w:tcPr>
            <w:tcW w:w="26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Warrant liability – Public Warrants</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79,375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color w:val="auto"/>
              </w:rPr>
              <w:t>Total warrant liability</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-624840</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-624840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-624840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center"/>
              <w:ind w:right="350"/>
              <w:spacing w:after="0"/>
              <w:rPr>
                <w:sz w:val="20"/>
                <w:szCs w:val="20"/>
                <w:color w:val="auto"/>
              </w:rPr>
            </w:pPr>
            <w:r>
              <w:rPr>
                <w:rFonts w:ascii="Arial" w:cs="Arial" w:eastAsia="Arial" w:hAnsi="Arial"/>
                <w:sz w:val="18"/>
                <w:szCs w:val="18"/>
                <w:b w:val="1"/>
                <w:bCs w:val="1"/>
                <w:color w:val="auto"/>
                <w:w w:val="89"/>
              </w:rPr>
              <w:t>Three months ended June 30, 2021</w:t>
            </w: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3"/>
              </w:rPr>
              <w:t>Private</w:t>
            </w:r>
          </w:p>
        </w:tc>
        <w:tc>
          <w:tcPr>
            <w:tcW w:w="220" w:type="dxa"/>
            <w:vAlign w:val="bottom"/>
          </w:tcPr>
          <w:p>
            <w:pPr>
              <w:spacing w:after="0"/>
              <w:rPr>
                <w:sz w:val="14"/>
                <w:szCs w:val="14"/>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Public Warrants</w:t>
            </w:r>
          </w:p>
        </w:tc>
        <w:tc>
          <w:tcPr>
            <w:tcW w:w="220" w:type="dxa"/>
            <w:vAlign w:val="bottom"/>
          </w:tcPr>
          <w:p>
            <w:pPr>
              <w:spacing w:after="0"/>
              <w:rPr>
                <w:sz w:val="15"/>
                <w:szCs w:val="15"/>
                <w:color w:val="auto"/>
              </w:rPr>
            </w:pPr>
          </w:p>
        </w:tc>
        <w:tc>
          <w:tcPr>
            <w:tcW w:w="13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Placement</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Warrant liability acquired</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93,228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(37,791)</w:t>
            </w:r>
          </w:p>
        </w:tc>
        <w:tc>
          <w:tcPr>
            <w:tcW w:w="0" w:type="dxa"/>
            <w:vAlign w:val="bottom"/>
          </w:tcPr>
          <w:p>
            <w:pPr>
              <w:spacing w:after="0"/>
              <w:rPr>
                <w:sz w:val="1"/>
                <w:szCs w:val="1"/>
                <w:color w:val="auto"/>
              </w:rPr>
            </w:pPr>
          </w:p>
        </w:tc>
      </w:tr>
      <w:tr>
        <w:trPr>
          <w:trHeight w:val="223"/>
        </w:trPr>
        <w:tc>
          <w:tcPr>
            <w:tcW w:w="6760" w:type="dxa"/>
            <w:vAlign w:val="bottom"/>
          </w:tcPr>
          <w:p>
            <w:pPr>
              <w:ind w:left="140"/>
              <w:spacing w:after="0"/>
              <w:rPr>
                <w:sz w:val="20"/>
                <w:szCs w:val="20"/>
                <w:color w:val="auto"/>
              </w:rPr>
            </w:pPr>
            <w:r>
              <w:rPr>
                <w:rFonts w:ascii="Arial" w:cs="Arial" w:eastAsia="Arial" w:hAnsi="Arial"/>
                <w:sz w:val="18"/>
                <w:szCs w:val="18"/>
                <w:color w:val="auto"/>
              </w:rPr>
              <w:t>Fair value, end of period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156,187</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-633730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$100.8 million and $79.4 million as of June 16, 2021 and June 30, 2021,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Private Placement Warrants were valued as of June 16, 2021 (Closing Date) and June 30, 2021.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16, 2021</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76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Stock price</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20.55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17.86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17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4.96</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fair value of the Private Placement Warrants was $93.2 million and $76.8 million as of June 16, 2020 and June 30, 2021, respectively.</w:t>
      </w:r>
    </w:p>
    <w:p>
      <w:pPr>
        <w:spacing w:after="0" w:line="1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Warrants were accounted for as liabilities in accordance with ASC 815- Derivatives and Hedging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income.</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further discussed in Note 1, on June 16, 2021, the Company consummated the Business Combination pursuant to the Merger Agreement.</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75"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38"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reconciles the elements of the Business Combination to the condensed consolidated statements of cash flows and the condensed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color w:val="auto"/>
                <w:w w:val="99"/>
              </w:rPr>
              <w:t>consolidated statements of changes in stockholders’ (deficit) equity for the six months ended June 30, 2021 (in thousands):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Combination</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Silver Spike trust and cash, net of redemptions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254,203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Cash - PIPE Financing</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consideration paid to Legacy WMH equity holders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(455,182)</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transaction costs and advisory fees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(43,737)</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the Business Combination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80,284</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transaction costs allocated to Warrants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Add: non-cash assets assumed from Silver Spike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deferred tax asset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147,973</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tax receivable agreement liability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(126,150)</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adjustment to total equity from the Business Combination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(85,312)</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number of shares of common stock issued immediately following the Closing: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9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outstanding prior to the Business Combination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24,998,575</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shares of Silver Spike’s Class A common 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of Silver Spike’s Class A common stock</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24,988,563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Shares of Class A Common Stock held by Silver Spike’s Sponsor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Class A Common Stock issued in the PIPE Financing</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0" w:type="dxa"/>
            <w:vAlign w:val="bottom"/>
          </w:tcPr>
          <w:p>
            <w:pPr>
              <w:spacing w:after="0"/>
              <w:rPr>
                <w:sz w:val="1"/>
                <w:szCs w:val="1"/>
                <w:color w:val="auto"/>
              </w:rPr>
            </w:pPr>
          </w:p>
        </w:tc>
      </w:tr>
      <w:tr>
        <w:trPr>
          <w:trHeight w:val="223"/>
        </w:trPr>
        <w:tc>
          <w:tcPr>
            <w:tcW w:w="9800" w:type="dxa"/>
            <w:vAlign w:val="bottom"/>
          </w:tcPr>
          <w:p>
            <w:pPr>
              <w:ind w:left="14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63,738,563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0" w:type="dxa"/>
            <w:vAlign w:val="bottom"/>
          </w:tcPr>
          <w:p>
            <w:pPr>
              <w:spacing w:after="0"/>
              <w:rPr>
                <w:sz w:val="1"/>
                <w:szCs w:val="1"/>
                <w:color w:val="auto"/>
              </w:rPr>
            </w:pPr>
          </w:p>
        </w:tc>
      </w:tr>
      <w:tr>
        <w:trPr>
          <w:trHeight w:val="223"/>
        </w:trPr>
        <w:tc>
          <w:tcPr>
            <w:tcW w:w="9800" w:type="dxa"/>
            <w:vAlign w:val="bottom"/>
          </w:tcPr>
          <w:p>
            <w:pPr>
              <w:ind w:left="140"/>
              <w:spacing w:after="0"/>
              <w:rPr>
                <w:sz w:val="20"/>
                <w:szCs w:val="20"/>
                <w:color w:val="auto"/>
              </w:rPr>
            </w:pPr>
            <w:r>
              <w:rPr>
                <w:rFonts w:ascii="Arial" w:cs="Arial" w:eastAsia="Arial" w:hAnsi="Arial"/>
                <w:sz w:val="18"/>
                <w:szCs w:val="18"/>
                <w:color w:val="auto"/>
              </w:rPr>
              <w:t>Total shares of common stock issued in the Business Combination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129,240,910</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Net income for the period from June 16, 2021 (Closing Date) to June 30, 2021 was $9.5 million, which includes change in fair value of warrant liability of $37.8 million, share-based compensation expense of $19.4 million and transaction costs related to the warrant liability of $5.5 million. The transaction costs related to the warrant liability is included in other expense, net on the accompanying condensed consolidated statements of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 Liability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2021, there were 12,499,933 Public Warrants outstanding and 7,000,000 Private Placement Warrants outstanding.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issued upon exercise of the warrants. The Public Warrants will expire at 5:00 p.m. New York City time on June 16, 2026, or earlier upon redemption or liquidation. The Public Warrants are listed on the NYSE under the symbol “MAPSW.”</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21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19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concluded the Public Warrants and Private Placement Warrants, or the Warrants, meet the definition of a derivative under ASC 815-</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(as described in Note 2) and are recorded as liabilities. Upon the Closing, the fair value of the Warrants was recorded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The fair value of the Warrants was remeasured as of June 30, 2021, resulting in a $37.8 million non-cash change in fair value of the Warrant liabilities in the condensed consolidated statements of income during the three and six months ended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2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2021, there were no shares of preferred stock issued or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noncontrolling interest represents the Units held by holders other than the Company. As of June 30, 2021, the noncontrolling interests owned 57.5%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condensed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Basic net earnings per share of Class A Common Stock is computed by dividing net earnings attributable to the Company by the weighted-average number of shares of Class A Common Stock outstanding during the period from June 16, 2021 (Closing Date) to June 30, 2021. Diluted net earnings per share of Class A Common Stock is computed by dividing net income attributable to the Company, adjusted for the assumed exchange of all potentially dilutive securities, by the weighted-average number of shares of Class A Common Stock outstanding adjusted to give effect to potentially dilutive shares.</w:t>
      </w:r>
    </w:p>
    <w:p>
      <w:pPr>
        <w:spacing w:after="0" w:line="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 The basic and diluted earnings (loss) per share for the three and six months ended June 30, 2021 represent only the period from June 16, 2021 to June 30,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computation of net earnings per share attributable to WM Technology, Inc. and weighted-average shares of the Company’s Class A Common Stock outstanding for period from June 16, 2021 (Closing Date) to June 30, 2021 are as follows (amounts in thousands, except for share and per share</w:t>
      </w: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amounts):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232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Three Months Ended June</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30, 2021</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16,837</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24,568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Less: net income attributable to noncontrolling interests after the Business Combination</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WM Technology, Inc. - basic</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fair value change of Public and Private Placement Warrants, net of amounts</w:t>
            </w:r>
          </w:p>
        </w:tc>
        <w:tc>
          <w:tcPr>
            <w:tcW w:w="4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color w:val="auto"/>
              </w:rPr>
              <w:t>Net loss attributable to WM Technology, Inc. - diluted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63,738,563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63,738,563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effect of dilutive securities: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Public Warrants¹</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4,877,681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4,877,681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Placement Warrants¹</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2,731,502</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2,731,502</w:t>
            </w:r>
          </w:p>
        </w:tc>
        <w:tc>
          <w:tcPr>
            <w:tcW w:w="0" w:type="dxa"/>
            <w:vAlign w:val="bottom"/>
          </w:tcPr>
          <w:p>
            <w:pPr>
              <w:spacing w:after="0"/>
              <w:rPr>
                <w:sz w:val="1"/>
                <w:szCs w:val="1"/>
                <w:color w:val="auto"/>
              </w:rPr>
            </w:pP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71,347,746</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71,347,746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of Class A Common Stock - basic</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of Class A Common Stock - diluted</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¹Calculated using the treasury stock method.</w:t>
      </w:r>
    </w:p>
    <w:p>
      <w:pPr>
        <w:spacing w:after="0" w:line="11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excluded the following securities from its computation of diluted shares outstanding, as their effect would have been anti-dilutive: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CCEEFF"/>
            </w:tcBorders>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w w:val="92"/>
              </w:rPr>
              <w:t>Class A Units</w:t>
            </w:r>
          </w:p>
        </w:tc>
        <w:tc>
          <w:tcPr>
            <w:tcW w:w="534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0" w:type="dxa"/>
            <w:vAlign w:val="bottom"/>
          </w:tcPr>
          <w:p>
            <w:pPr>
              <w:spacing w:after="0"/>
              <w:rPr>
                <w:sz w:val="1"/>
                <w:szCs w:val="1"/>
                <w:color w:val="auto"/>
              </w:rPr>
            </w:pPr>
          </w:p>
        </w:tc>
      </w:tr>
      <w:tr>
        <w:trPr>
          <w:trHeight w:val="230"/>
        </w:trPr>
        <w:tc>
          <w:tcPr>
            <w:tcW w:w="3280" w:type="dxa"/>
            <w:vAlign w:val="bottom"/>
          </w:tcPr>
          <w:p>
            <w:pPr>
              <w:jc w:val="center"/>
              <w:ind w:right="2170"/>
              <w:spacing w:after="0"/>
              <w:rPr>
                <w:sz w:val="20"/>
                <w:szCs w:val="20"/>
                <w:color w:val="auto"/>
              </w:rPr>
            </w:pPr>
            <w:r>
              <w:rPr>
                <w:rFonts w:ascii="Arial" w:cs="Arial" w:eastAsia="Arial" w:hAnsi="Arial"/>
                <w:sz w:val="18"/>
                <w:szCs w:val="18"/>
                <w:color w:val="auto"/>
                <w:w w:val="90"/>
              </w:rPr>
              <w:t>Class P Units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25,679,121</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jc w:val="center"/>
              <w:ind w:right="2110"/>
              <w:spacing w:after="0"/>
              <w:rPr>
                <w:sz w:val="20"/>
                <w:szCs w:val="20"/>
                <w:color w:val="auto"/>
              </w:rPr>
            </w:pPr>
            <w:r>
              <w:rPr>
                <w:rFonts w:ascii="Arial" w:cs="Arial" w:eastAsia="Arial" w:hAnsi="Arial"/>
                <w:sz w:val="18"/>
                <w:szCs w:val="18"/>
                <w:color w:val="auto"/>
                <w:w w:val="92"/>
              </w:rPr>
              <w:t>Total Units</w:t>
            </w:r>
          </w:p>
        </w:tc>
        <w:tc>
          <w:tcPr>
            <w:tcW w:w="534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91,181,468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20</w:t>
            </w: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28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The following discussion and analysis of financial condition and results of operations should be read in conjunction with the condensed consolidated financial statements and related notes thereto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in the section titled “Risk Factors” included elsewhere in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WM Technology, Inc. is a technology and software infrastructure provider to retailers and brands in the U.S. state-legal and Canadian cannabis markets. We also provide information on the cannabis plant and the industry and advocate for legalization.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by participating retailers. We sell our offerings in the United States, and have a limited number of non-monetized listings in several international countries including Austria, Canada, Germany, the Netherlands, Spain, and Switzerland. Through December 31, 2020, we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We operate in the United States, Canada, and other foreign jurisdictions where medical and/or adult use cannabis is legal under state or applicable national law. We are headquartered in Irvine, California.</w:t>
      </w:r>
    </w:p>
    <w:p>
      <w:pPr>
        <w:spacing w:after="0" w:line="6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Founded in 2008, we operate a leading listings marketplace with one of the most comprehensive SaaS subscription offerings sold to retailers and brands in the U.S. state-legal and Canadian cannabis markets.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over 12 million MAUs on the demand-side and more than 4,300 paying business clients on the supply-side of our marketplace as of June 30, 2021. These paying clients include retailers, brands and other client types (such as doctors). Further, these clients, who can choose to purchase multiple listings solutions for each business, had purchased approximately 8,900 listing pages as of June 30, 2021 (of the over 17,800 listing pages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w:t>
      </w:r>
    </w:p>
    <w:p>
      <w:pPr>
        <w:spacing w:after="0" w:line="5" w:lineRule="exact"/>
        <w:rPr>
          <w:sz w:val="20"/>
          <w:szCs w:val="20"/>
          <w:color w:val="auto"/>
        </w:rPr>
      </w:pPr>
    </w:p>
    <w:p>
      <w:pPr>
        <w:jc w:val="both"/>
        <w:ind w:firstLine="8"/>
        <w:spacing w:after="0" w:line="255" w:lineRule="auto"/>
        <w:tabs>
          <w:tab w:leader="none" w:pos="367"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June 30, 2021, we actively operated in 24 U.S. states and territories that have adult-use and/or medical-use regulations in place. We define actively operated markets as those with greater than $1,000 monthly recurring revenue.</w:t>
      </w:r>
    </w:p>
    <w:p>
      <w:pPr>
        <w:spacing w:after="0" w:line="5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2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21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36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monitor the following key financial and operational metrics to evaluate our business, measure our performance, identify trends affecting our business, formulate business plans, and make strategic decisions. As of this quarterly filing, we have modified the definition and calculation of three of our Key Operating and Financial Metrics: (a) average monthly revenue per paying client, (b) average monthly paying clients, and (c) monthly active users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2019, 2018 and 2017 using our modified definitions, as well as a comparison to what the results were using our prior definitions, please refer to our earnings release included as exhibit 99.1 in our Current Report on Form 8-K, filed August 12, 2021.</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30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6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20" w:type="dxa"/>
            <w:vAlign w:val="bottom"/>
            <w:gridSpan w:val="7"/>
          </w:tcPr>
          <w:p>
            <w:pPr>
              <w:jc w:val="right"/>
              <w:ind w:right="90"/>
              <w:spacing w:after="0"/>
              <w:rPr>
                <w:sz w:val="20"/>
                <w:szCs w:val="20"/>
                <w:color w:val="auto"/>
              </w:rPr>
            </w:pPr>
            <w:r>
              <w:rPr>
                <w:rFonts w:ascii="Arial" w:cs="Arial" w:eastAsia="Arial" w:hAnsi="Arial"/>
                <w:sz w:val="14"/>
                <w:szCs w:val="14"/>
                <w:b w:val="1"/>
                <w:bCs w:val="1"/>
                <w:color w:val="auto"/>
                <w:w w:val="99"/>
              </w:rPr>
              <w:t>(dollars in thousands, except for revenue per paying client)</w:t>
            </w:r>
          </w:p>
        </w:tc>
        <w:tc>
          <w:tcPr>
            <w:tcW w:w="102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46,931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88,085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16,837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24,568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3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17,433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26,407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r>
      <w:tr>
        <w:trPr>
          <w:trHeight w:val="338"/>
        </w:trPr>
        <w:tc>
          <w:tcPr>
            <w:tcW w:w="52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17,477</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15,191</w:t>
            </w:r>
          </w:p>
        </w:tc>
      </w:tr>
      <w:tr>
        <w:trPr>
          <w:trHeight w:val="3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(2)</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338"/>
        </w:trPr>
        <w:tc>
          <w:tcPr>
            <w:tcW w:w="5240" w:type="dxa"/>
            <w:vAlign w:val="bottom"/>
          </w:tcPr>
          <w:p>
            <w:pPr>
              <w:ind w:left="20"/>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(3)</w:t>
            </w: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4,068</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4,168</w:t>
            </w:r>
          </w:p>
        </w:tc>
      </w:tr>
      <w:tr>
        <w:trPr>
          <w:trHeight w:val="3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12,302</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12,302</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r>
      <w:tr>
        <w:trPr>
          <w:trHeight w:val="310"/>
        </w:trPr>
        <w:tc>
          <w:tcPr>
            <w:tcW w:w="524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31" w:lineRule="exact"/>
        <w:rPr>
          <w:sz w:val="20"/>
          <w:szCs w:val="20"/>
          <w:color w:val="auto"/>
        </w:rPr>
      </w:pPr>
    </w:p>
    <w:p>
      <w:pPr>
        <w:ind w:left="340" w:right="20" w:hanging="332"/>
        <w:spacing w:after="0" w:line="23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further information about how we calculate EBITDA and Adjusted EBITDA as well as limitations of its use and a reconciliation of EBITDA and Adjusted EBITDA to net income, see “—EBITDA and Adjusted EBITDA” below.</w:t>
      </w:r>
    </w:p>
    <w:p>
      <w:pPr>
        <w:jc w:val="both"/>
        <w:ind w:left="340" w:hanging="332"/>
        <w:spacing w:after="0" w:line="244"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40" w:hanging="332"/>
        <w:spacing w:after="0" w:line="22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2" w:lineRule="exact"/>
        <w:rPr>
          <w:rFonts w:ascii="Arial" w:cs="Arial" w:eastAsia="Arial" w:hAnsi="Arial"/>
          <w:sz w:val="16"/>
          <w:szCs w:val="16"/>
          <w:color w:val="auto"/>
        </w:rPr>
      </w:pPr>
    </w:p>
    <w:p>
      <w:pPr>
        <w:jc w:val="both"/>
        <w:ind w:left="340" w:hanging="332"/>
        <w:spacing w:after="0" w:line="23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9" w:lineRule="exact"/>
        <w:rPr>
          <w:sz w:val="20"/>
          <w:szCs w:val="20"/>
          <w:color w:val="auto"/>
        </w:rPr>
      </w:pPr>
    </w:p>
    <w:p>
      <w:pPr>
        <w:jc w:val="both"/>
        <w:ind w:left="820" w:hanging="326"/>
        <w:spacing w:after="0" w:line="235"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66"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1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net income to non-GAAP EBITDA and Adjusted EBITDA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7"/>
                <w:szCs w:val="17"/>
                <w:color w:val="auto"/>
              </w:rPr>
            </w:pPr>
          </w:p>
        </w:tc>
        <w:tc>
          <w:tcPr>
            <w:tcW w:w="24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524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15,191</w:t>
            </w: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Impairment of right-of-use asset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bonus payment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15,191</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definition: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8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42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233"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definition¹:</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8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42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revenue per paying client</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19" w:lineRule="exact"/>
        <w:rPr>
          <w:sz w:val="20"/>
          <w:szCs w:val="20"/>
          <w:color w:val="auto"/>
        </w:rPr>
      </w:pPr>
    </w:p>
    <w:p>
      <w:pPr>
        <w:jc w:val="both"/>
        <w:ind w:firstLine="8"/>
        <w:spacing w:after="0" w:line="250" w:lineRule="auto"/>
        <w:tabs>
          <w:tab w:leader="none" w:pos="1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Metric was previously calculated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36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definition: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gridSpan w:val="9"/>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7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648"/>
        </w:trPr>
        <w:tc>
          <w:tcPr>
            <w:tcW w:w="6520" w:type="dxa"/>
            <w:vAlign w:val="bottom"/>
            <w:gridSpan w:val="3"/>
          </w:tcPr>
          <w:p>
            <w:pPr>
              <w:spacing w:after="0"/>
              <w:rPr>
                <w:sz w:val="20"/>
                <w:szCs w:val="20"/>
                <w:color w:val="auto"/>
              </w:rPr>
            </w:pPr>
            <w:r>
              <w:rPr>
                <w:rFonts w:ascii="Arial" w:cs="Arial" w:eastAsia="Arial" w:hAnsi="Arial"/>
                <w:sz w:val="18"/>
                <w:szCs w:val="18"/>
                <w:i w:val="1"/>
                <w:iCs w:val="1"/>
                <w:color w:val="auto"/>
              </w:rPr>
              <w:t>Prior definition¹:</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88"/>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gridSpan w:val="9"/>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7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Paying clients</w:t>
            </w:r>
          </w:p>
        </w:tc>
        <w:tc>
          <w:tcPr>
            <w:tcW w:w="820" w:type="dxa"/>
            <w:vAlign w:val="bottom"/>
            <w:gridSpan w:val="2"/>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4" w:lineRule="exact"/>
        <w:rPr>
          <w:sz w:val="20"/>
          <w:szCs w:val="20"/>
          <w:color w:val="auto"/>
        </w:rPr>
      </w:pPr>
    </w:p>
    <w:p>
      <w:pPr>
        <w:jc w:val="both"/>
        <w:ind w:firstLine="8"/>
        <w:spacing w:after="0" w:line="258" w:lineRule="auto"/>
        <w:tabs>
          <w:tab w:leader="none" w:pos="92" w:val="left"/>
        </w:tabs>
        <w:numPr>
          <w:ilvl w:val="0"/>
          <w:numId w:val="11"/>
        </w:numPr>
        <w:rPr>
          <w:rFonts w:ascii="Arial" w:cs="Arial" w:eastAsia="Arial" w:hAnsi="Arial"/>
          <w:sz w:val="15"/>
          <w:szCs w:val="15"/>
          <w:color w:val="auto"/>
        </w:rPr>
      </w:pPr>
      <w:r>
        <w:rPr>
          <w:rFonts w:ascii="Arial" w:cs="Arial" w:eastAsia="Arial" w:hAnsi="Arial"/>
          <w:sz w:val="15"/>
          <w:szCs w:val="15"/>
          <w:color w:val="auto"/>
        </w:rPr>
        <w:t>Metric was previously defined as the number of clients billed during the last month of a particular period. We changed our definition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MAUs</w:t>
      </w:r>
    </w:p>
    <w:p>
      <w:pPr>
        <w:spacing w:after="0" w:line="3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233"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3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Since the beginning of the pandemic, we have continued to grow our MAUs, reaching 12.3 million in June 2021. While we believe, like other industries, the pandemic accelerated existing trends towards consumer adoption of online platforms, we cannot be certain to what impact, if any, the end of the pandemic will have on our MAUs or MAU growth.</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as we increase MAUs, we increase the value of our bundled SaaS solutions to business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definition:</w:t>
      </w:r>
    </w:p>
    <w:p>
      <w:pPr>
        <w:spacing w:after="0" w:line="200" w:lineRule="exact"/>
        <w:rPr>
          <w:sz w:val="20"/>
          <w:szCs w:val="20"/>
          <w:color w:val="auto"/>
        </w:rPr>
      </w:pPr>
    </w:p>
    <w:p>
      <w:pPr>
        <w:spacing w:after="0" w:line="314"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0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definition¹:</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1860" w:type="dxa"/>
            <w:vAlign w:val="bottom"/>
            <w:gridSpan w:val="3"/>
          </w:tcPr>
          <w:p>
            <w:pPr>
              <w:ind w:left="940"/>
              <w:spacing w:after="0"/>
              <w:rPr>
                <w:sz w:val="20"/>
                <w:szCs w:val="20"/>
                <w:color w:val="auto"/>
              </w:rPr>
            </w:pPr>
            <w:r>
              <w:rPr>
                <w:rFonts w:ascii="Arial" w:cs="Arial" w:eastAsia="Arial" w:hAnsi="Arial"/>
                <w:sz w:val="14"/>
                <w:szCs w:val="14"/>
                <w:b w:val="1"/>
                <w:bCs w:val="1"/>
                <w:color w:val="auto"/>
                <w:w w:val="94"/>
              </w:rPr>
              <w:t>As of June 30,</w:t>
            </w:r>
          </w:p>
        </w:tc>
        <w:tc>
          <w:tcPr>
            <w:tcW w:w="880" w:type="dxa"/>
            <w:vAlign w:val="bottom"/>
          </w:tcPr>
          <w:p>
            <w:pPr>
              <w:spacing w:after="0"/>
              <w:rPr>
                <w:sz w:val="16"/>
                <w:szCs w:val="16"/>
                <w:color w:val="auto"/>
              </w:rPr>
            </w:pPr>
          </w:p>
        </w:tc>
      </w:tr>
      <w:tr>
        <w:trPr>
          <w:trHeight w:val="25"/>
        </w:trPr>
        <w:tc>
          <w:tcPr>
            <w:tcW w:w="8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85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 w:lineRule="exact"/>
        <w:rPr>
          <w:sz w:val="20"/>
          <w:szCs w:val="20"/>
          <w:color w:val="auto"/>
        </w:rPr>
      </w:pPr>
    </w:p>
    <w:p>
      <w:pPr>
        <w:ind w:firstLine="8"/>
        <w:spacing w:after="0" w:line="271" w:lineRule="auto"/>
        <w:tabs>
          <w:tab w:leader="none" w:pos="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Metric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Our Two-Sided Weedmaps Listings Marketplace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for clients in a given month who were paying clients in the immediately preceding month, has averaged at 100% for the eleven months between February 1 and December 31, 2020 (we exclude January 2020 given the high level of client churn that we experienced as a result of our decision to remove clients in California who failed to provide valid licensing information at the end of 2019). In the first half of 2021, our net dollar retention averaged 101%, as we removed our paid Canada-based retail operator clients who failed to provide valid license information beginning in September 2020 (following the earlier removal of</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233"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Canada-based clients who were receiving free listing subscriptions), which resulted in a decrease in our overall net dollar retention for the period from February 2020 to December 2020. For fiscal years 2018-2019, our monthly net dollar retention averaged 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Thirty-six U.S. states, the District of Columbia, Puerto Rico, and several U.S. territories have legalized some form of whole-plant cannabis cultivation, sales, and use for certain medical purposes. Nineteen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8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make focused investments to grow our revenue and scale operations to support that growth. 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build new CRM and loyalty functionality, evolve our current listings and software offerings to our brand clients, among other areas. We anticipate undertaking such investments in order to be positioned to capitalize on the rapidly expanding cannabis market. As operating expenses and capital expenditures fluctuate over time, we may accordingly experience short-term, negative impacts to our operating results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Other expense consists primarily of political contributions, interest expense, legal settlements, financing fees and other tax related expenses. Other income consists of change in fair value of warrant liability.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2"/>
                <w:szCs w:val="22"/>
                <w:color w:val="auto"/>
              </w:rPr>
            </w:pPr>
          </w:p>
        </w:tc>
        <w:tc>
          <w:tcPr>
            <w:tcW w:w="26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4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56"/>
        </w:trPr>
        <w:tc>
          <w:tcPr>
            <w:tcW w:w="4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29"/>
        </w:trPr>
        <w:tc>
          <w:tcPr>
            <w:tcW w:w="48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13,402</w:t>
            </w:r>
          </w:p>
        </w:tc>
      </w:tr>
      <w:tr>
        <w:trPr>
          <w:trHeight w:val="22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r>
      <w:tr>
        <w:trPr>
          <w:trHeight w:val="23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w:t>
            </w: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13,817</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Net income attributable to WM Technology,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00" w:type="dxa"/>
            <w:vAlign w:val="bottom"/>
          </w:tcPr>
          <w:p>
            <w:pPr>
              <w:spacing w:after="0"/>
              <w:rPr>
                <w:sz w:val="22"/>
                <w:szCs w:val="22"/>
                <w:color w:val="auto"/>
              </w:rPr>
            </w:pPr>
          </w:p>
        </w:tc>
        <w:tc>
          <w:tcPr>
            <w:tcW w:w="30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Borders>
              <w:bottom w:val="single" w:sz="8" w:color="auto"/>
            </w:tcBorders>
          </w:tcPr>
          <w:p>
            <w:pPr>
              <w:spacing w:after="0"/>
              <w:rPr>
                <w:sz w:val="22"/>
                <w:szCs w:val="22"/>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6"/>
        </w:trPr>
        <w:tc>
          <w:tcPr>
            <w:tcW w:w="4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4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Operating (loss) income</w:t>
            </w:r>
          </w:p>
        </w:tc>
        <w:tc>
          <w:tcPr>
            <w:tcW w:w="10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WM Technology, Inc.</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233"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9"/>
              </w:rPr>
              <w:t>Comparison of Three Months Ended June 30, 2021 and 2020</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5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8,176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Total revenue increased by $8.2 million, or 21% for the three months ended June 30, 2021 compared to the same period in 2020. The increase was driven by a 24% increase in average monthly revenue per paying client, which was partially offset by a 2% decrease in monthly average paying clients as a result of factors described below. Our growth in average monthly revenue per paying client reflects continued growth in the average price paid for our featured listings,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WM Business subscription offering represented 23% of our total revenue for the three months ended June 30, 2021. Our Featured Listing product made up of 55% of our total revenue and together with our other ad solutions, they make up the balance of our revenue for the three months ended June 30, 2021. These impacts were partially offset by the removal of Canada-based clients who had higher monthly spend than our average client base as well as the elimination of our technology services fee on all delivery orders.</w:t>
      </w:r>
    </w:p>
    <w:p>
      <w:pPr>
        <w:spacing w:after="0" w:line="7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$46.9 million for the three months ended June 30, 2021 compared $30.4 million in the same period in 2020. The increase of approximately $16.6 million, or 55%, in total revenue excluding Canada was primarily driven by a 21% increase in the average monthly revenue per paying client and a 28% increase in average monthly paying clients.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(dollars in thousands)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1,908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increased by $0.1 million, or 3% for the three months ended June 30, 2021 compared to the same period in 2020. The increase was due to an increase in web hosting and internet services of $0.3 million as traffic to our website continues to increase requiring us to increase our server capacity. The increase was partially offset by a decrease of $0.2 million in payment processing fees, as we provided more cost effective payment options to our clients.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15,271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7"/>
              </w:rPr>
              <w:t>7,849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Sales and marketing expenses increased by $7.8 million, or 106% for the three months ended June 30, 2021 compared to the same period in 2020. Personnel-related cost increased by $5.3 million, which included share-based compensation expense of $3.8 million. The $3.8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an increase in headcount and an increase in sales incentive plan compensation due to higher revenues. We also incurred additional events cost of $1.9 million for a large event held in the second quarter of fiscal year 2021. Online advertising increased by $0.4 million as more advertising options continue to become available in the cannabis industry and we continue to invest in marketing spend. We also incurred additional costs of $0.2 million related to outside consultants assisting with various marketing related projects.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10,271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22 %</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Product development expenses increased by $3.6 million, or 53% for the three months ended June 30, 2021 compared to the same period in 2020. This increase was primarily due to an increase in personnel-related cost of $3.3 million, which includes share-based compensation expense of $2.0 million. The $2.0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as headcount increased. There was also an increase in outside development services of $0.3 million. Increase in headcount and outside development services was driven by development of new products and features.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33,770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0"/>
              </w:rPr>
              <w:t>21,528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General and administrative expenses increased by $21.5 million, or 176% for the three months ended June 30, 2021 compared to the same period in 2020. This increase was primarily due to an increase in personnel-related cost of $17.2 million, which includes share-based compensation expense of $13.6 million. The $13.6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bonuses paid related to the completion of the Business Combination. We also recorded an impairment charge of $2.4 million related to our right-of-use assets. The impairment charge was a result of ongoing negotiations to sublease one of our office locations. Insurance cost also increased by $0.7 million due to the completion of the Business Combination as we had to obtain additional insurance coverage as a public company. Software cost increase by $0.5 million as we entered into new software service agreements to effectively operate the business. We also recorded additional bad debt expense of $0.3 million, facilities cost of $0.3 million and additional donations of $0.2 million, compared to the prior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33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100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(dollars in thousands)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988</w:t>
            </w:r>
          </w:p>
        </w:tc>
        <w:tc>
          <w:tcPr>
            <w:tcW w:w="10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990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2 %</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and amortization were consistent for the three months ended June 30, 2021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4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Change</w:t>
            </w:r>
          </w:p>
        </w:tc>
        <w:tc>
          <w:tcPr>
            <w:tcW w:w="1120" w:type="dxa"/>
            <w:vAlign w:val="bottom"/>
            <w:tcBorders>
              <w:bottom w:val="single" w:sz="8" w:color="auto"/>
            </w:tcBorders>
          </w:tcPr>
          <w:p>
            <w:pPr>
              <w:spacing w:after="0"/>
              <w:rPr>
                <w:sz w:val="24"/>
                <w:szCs w:val="24"/>
                <w:color w:val="auto"/>
              </w:rPr>
            </w:pPr>
          </w:p>
        </w:tc>
      </w:tr>
      <w:tr>
        <w:trPr>
          <w:trHeight w:val="223"/>
        </w:trPr>
        <w:tc>
          <w:tcPr>
            <w:tcW w:w="4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3"/>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37,791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(6,069)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w:t>
            </w:r>
          </w:p>
        </w:tc>
        <w:tc>
          <w:tcPr>
            <w:tcW w:w="960" w:type="dxa"/>
            <w:vAlign w:val="bottom"/>
            <w:tcBorders>
              <w:bottom w:val="single" w:sz="8" w:color="CCEEFF"/>
            </w:tcBorders>
            <w:gridSpan w:val="2"/>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(5,911)</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3741 %</w:t>
            </w:r>
          </w:p>
        </w:tc>
      </w:tr>
      <w:tr>
        <w:trPr>
          <w:trHeight w:val="22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31,880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(20177)%</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w w:val="97"/>
              </w:rPr>
              <w:t>—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net increased by $31.9 million for the three months ended June 30, 2021 as compared expense, net in the same period in 2020. The increase in other income is due to change in fair value of warrant liability of $37.8 million, partially offset by transaction costs of $5.5 million related to the Business Combination included in other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w w:val="99"/>
              </w:rPr>
              <w:t>Comparison of Six Months Ended June 30, 2021 and 2020</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4"/>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8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9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88,085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0"/>
              </w:rPr>
              <w:t>17,120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17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Total revenue increased by $17.1 million, or 24% for the six months ended June 30, 2021 as compared to the same period in 2020. The increase was driven by a 27% increase in average monthly revenue per paying client, which was partially offset by a 2% decrease in average monthly paying clients in the period as a result of factors described below. Our growth in average monthly revenue per paying client reflects continued growth in the average price paid for our featured listings,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WM Business subscription offering represented 23% of our total revenue for the six months ended June 30, 2021. Our Featured Listing product made up 55% of our total revenue and together with our other ad solutions, they make up the balance of our revenue for the six months ended June 30, 2021. These impacts were partially offset by the removal of Canada-based clients who had higher monthly spend than our average client base as well as the elimination of our technology services fee on all delivery orders.</w:t>
      </w:r>
    </w:p>
    <w:p>
      <w:pPr>
        <w:spacing w:after="0" w:line="7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$88.1 million for the six months ended June 30, 2021 compared to $56.4 million in the same period in 2020. The increase of $31.7 million, or 56%, in total revenue excluding Canada was primarily driven by a 26% increase in average monthly revenue per paying client and a 24% increase in average monthly paying clients.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4"/>
        </w:trPr>
        <w:tc>
          <w:tcPr>
            <w:tcW w:w="4820" w:type="dxa"/>
            <w:vAlign w:val="bottom"/>
          </w:tcPr>
          <w:p>
            <w:pPr>
              <w:spacing w:after="0"/>
              <w:rPr>
                <w:sz w:val="24"/>
                <w:szCs w:val="24"/>
                <w:color w:val="auto"/>
              </w:rPr>
            </w:pPr>
          </w:p>
        </w:tc>
        <w:tc>
          <w:tcPr>
            <w:tcW w:w="3400" w:type="dxa"/>
            <w:vAlign w:val="bottom"/>
            <w:gridSpan w:val="5"/>
          </w:tcPr>
          <w:p>
            <w:pPr>
              <w:ind w:left="600"/>
              <w:spacing w:after="0"/>
              <w:rPr>
                <w:sz w:val="20"/>
                <w:szCs w:val="20"/>
                <w:color w:val="auto"/>
              </w:rPr>
            </w:pPr>
            <w:r>
              <w:rPr>
                <w:rFonts w:ascii="Arial" w:cs="Arial" w:eastAsia="Arial" w:hAnsi="Arial"/>
                <w:sz w:val="18"/>
                <w:szCs w:val="18"/>
                <w:b w:val="1"/>
                <w:bCs w:val="1"/>
                <w:color w:val="auto"/>
              </w:rPr>
              <w:t>Six Months Ended June 30,</w:t>
            </w:r>
          </w:p>
        </w:tc>
        <w:tc>
          <w:tcPr>
            <w:tcW w:w="9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79"/>
              </w:rPr>
              <w:t>2021</w:t>
            </w:r>
          </w:p>
        </w:tc>
        <w:tc>
          <w:tcPr>
            <w:tcW w:w="6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(dollars in thousands)</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8"/>
              </w:rPr>
              <w:t>3,765</w:t>
            </w:r>
          </w:p>
        </w:tc>
        <w:tc>
          <w:tcPr>
            <w:tcW w:w="1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3,463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96 %</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Cost of revenues increased by $0.3 million, or 9% for the six months ended June 30, 2021 as compared to the same period in 2020. The increase was due to an increase in web hosting and internet services of $0.4 million as traffic to our website continues to increase requiring us to increase our server capacity. The increase was partially offset by a decrease of $0.3 million in payment processing fees, as we provided more cost effective payment options to our clients. Cost of revenues also included an additional cost of $0.2 million related to the cost of hardware to operate our point of sales software.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4"/>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4"/>
          </w:tcPr>
          <w:p>
            <w:pPr>
              <w:ind w:left="260"/>
              <w:spacing w:after="0"/>
              <w:rPr>
                <w:sz w:val="20"/>
                <w:szCs w:val="20"/>
                <w:color w:val="auto"/>
              </w:rPr>
            </w:pPr>
            <w:r>
              <w:rPr>
                <w:rFonts w:ascii="Arial" w:cs="Arial" w:eastAsia="Arial" w:hAnsi="Arial"/>
                <w:sz w:val="18"/>
                <w:szCs w:val="18"/>
                <w:b w:val="1"/>
                <w:bCs w:val="1"/>
                <w:color w:val="auto"/>
              </w:rPr>
              <w:t>Six Months Ended June 30,</w:t>
            </w:r>
          </w:p>
        </w:tc>
        <w:tc>
          <w:tcPr>
            <w:tcW w:w="8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24,388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0"/>
              </w:rPr>
              <w:t>10,335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Sales and marketing expenses increased by $10.3 million, or 74% for the six months ended June 30, 2021 as compared to the same period in 2020. Personnel-related cost increased by $6.6 million, which included share-based compensation expense of $3.8 million. The $3.8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an increase in headcount and an increase in sales incentive plan compensation due to higher revenues. We also incurred additional events cost of $1.9 million for a large event held in the second quarter of fiscal year 2021. Branding and advertising expense, which mostly consisted of out-of-home advertising, increased by $0.3 million and online advertising increased by $1.2 million as more advertising options became available in the cannabis industry and we continued to invest in marketing spend. We also incurred additional costs of $0.3 million related to outside consultants assisting with various marketing related projects.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8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18,139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7"/>
              </w:rPr>
              <w:t>4,737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Product development expenses increased by $4.7 million, or 35% for the six months ended June 30, 2021 as compared to the same period in 2020. Personnel-related cost increased by $4.2 million, which included share-based compensation expense of $2.0 million. The $2.0 million expense represents the life-to-date expense on our equity awards through June 30, 2021. Due to the recent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as headcount increased. There was also an increase in outside development services of $0.5 million. Increase in headcount and outside development services was driven by development of new products and features.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8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r>
      <w:tr>
        <w:trPr>
          <w:trHeight w:val="223"/>
        </w:trPr>
        <w:tc>
          <w:tcPr>
            <w:tcW w:w="5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b w:val="1"/>
                <w:bCs w:val="1"/>
                <w:color w:val="auto"/>
                <w:w w:val="96"/>
              </w:rPr>
              <w:t>(dollars in thousands)</w:t>
            </w: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47,136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24,241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7"/>
              </w:rPr>
              <w:t>22,895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54 %</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General and administrative expenses increased by $22.9 million, or 94% for the six months ended June 30, 2021 as compared to the same period in 2020. This increase was primarily due to an increase in personnel-related cost of $17.2 million, which includes share-based compensation expense of $13.6 million. The $13.6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bonuses paid related to the completion of the Business Combination and additional severance cost. We also recorded an impairment charge of $2.4 million related to our right-of-use assets. The impairment charge was a result of ongoing negotiations to sublease one of our office locations. Insurance cost also increased by $0.7 million due to the completion of the Business Combination as we had to obtain additional insurance coverage as a public company. Rent expense increased by $1.0 million due to a new office lease that commenced in March 2020 together with an increased software cost of $0.7 million as we entered into new software service agreements to effectively operate the business. There was an increase in outside and professional services of $0.5 million due to higher legal and lobbying expenses as well as additional cost for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consultants to implement new software solutions. We also recorded additional bad debt expense of $0.4 million compared to the prior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9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9"/>
              </w:rPr>
              <w:t>(dollars in thousands)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1,990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and amortization were consistent for the six months ended June 30, 2021 as compared to the same period in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23"/>
        </w:trPr>
        <w:tc>
          <w:tcPr>
            <w:tcW w:w="5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37,791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(615)</w:t>
            </w:r>
          </w:p>
        </w:tc>
        <w:tc>
          <w:tcPr>
            <w:tcW w:w="920" w:type="dxa"/>
            <w:vAlign w:val="bottom"/>
            <w:tcBorders>
              <w:bottom w:val="single" w:sz="8" w:color="CCEEFF"/>
            </w:tcBorders>
            <w:gridSpan w:val="2"/>
          </w:tcPr>
          <w:p>
            <w:pPr>
              <w:jc w:val="right"/>
              <w:ind w:right="6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(5,426)</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(615)</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32,365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Other income, net was $31.8 million for the six months ended June 30, 2021 as compared other expense, net of $0.6 million in the same period in 2020. The increase in other income is due to change in fair value of warrant liability of $37.8 million, partially offset by transaction costs of $5.5 million related to the Business Combination included in other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show our cash, accounts receivable and working capital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187"/>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3"/>
          </w:tcPr>
          <w:p>
            <w:pPr>
              <w:jc w:val="right"/>
              <w:ind w:right="109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91,662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10,872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83,144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bl>
    <w:p>
      <w:pPr>
        <w:spacing w:after="0" w:line="200" w:lineRule="exact"/>
        <w:rPr>
          <w:sz w:val="20"/>
          <w:szCs w:val="20"/>
          <w:color w:val="auto"/>
        </w:rPr>
      </w:pPr>
    </w:p>
    <w:p>
      <w:pPr>
        <w:spacing w:after="0" w:line="2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June 30, 2021, we have cash of $91.7 million. During the second quarter of fiscal year 2021, we completed the Business Combination, resulting in proceeds of approximately $80.3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captioned “Risk Factors.” We may not be able to secure additional financing to meet our operating requirements on acceptable terms, or at all.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7"/>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16,175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56,404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fair value of warrant liability, impairment loss, share-based compensation and deferred taxes, and the effect of changes in working capital.</w:t>
      </w:r>
    </w:p>
    <w:p>
      <w:pPr>
        <w:spacing w:after="0" w:line="3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Net cash from operating activities for the six months ended June 30, 2021 was $16.2 million, which resulted from net income of $24.6 million, together with a net cash inflows of $6.0 million from changes in operating assets and liabilities, and non-cash items of $14.4 million, consisting of depreciation and amortization of $2.0 million, fair value of warrant liability of $37.8 million, impairment loss of $2.4 million, share-based compensation of $19.4 million, and deferred tax assets of $0.4 million. The net cash inflows from changes in operating assets and liabilities were primarily due to an increase in accounts receivable of $1.4 million, offset by a decrease in prepaid and other current assets of $3.7 million, an increase in accounts payable and accrued expenses of $2.0 million and an increase in deferred revenue of $1.7 million. The changes in operating assets and liabilities are mostly due to fluctuations in timing of cash receipts and payments.</w:t>
      </w:r>
    </w:p>
    <w:p>
      <w:pPr>
        <w:spacing w:after="0" w:line="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Net cash from operating activities for the six months ended June 30, 2020 was $14.4 million, which resulted from net income of $13.2 million, together with a net cash outflows of $0.8 million from changes in operating assets and liabilities, and non-cash items of $2.0 million, consisting of depreciation and amortization. The net cash outflows from changes in operating assets and liabilities were primarily due to an increase in accounts receivables of $1.4 million, an increase in accounts payable and accrued expenses of $1.1 million, and an increase in prepaid expenses and other current assets of $0.5 million. These changes were partially offset by an increase in deferred revenue of $1.8 million and a decrease in other assets of $0.5 million. The changes in operating assets and liabilities are mostly due to fluctuations in timing of cash receipts and payments.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was $0.8 million and $0.5 million for the six months ended June 30, 2021 and 2020, respectively, for purchases of property and equipment.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was $56.4 million, which resulted from net proceeds from Business Combination of $80.3 million, offset by $18.1 million distribution payments to members, $5.6 million paid for the repurchase of Class B Units, and $0.2 million repayment of notes payable to members.</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2020 was $6.1 million, which resulted from $5.9 million distributions to members and $0.2 million paid for the repurchase of Class B Units.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We did not have any off-balance sheet arrangements in any of the periods presented in this quarterly report, except for operating leases as of December 31, 2020 prior to the adoption of Accounting Standards Codification (“ASC”) 842 - </w:t>
      </w:r>
      <w:r>
        <w:rPr>
          <w:rFonts w:ascii="Arial" w:cs="Arial" w:eastAsia="Arial" w:hAnsi="Arial"/>
          <w:sz w:val="18"/>
          <w:szCs w:val="18"/>
          <w:i w:val="1"/>
          <w:iCs w:val="1"/>
          <w:color w:val="auto"/>
        </w:rPr>
        <w:t>Leases</w:t>
      </w:r>
      <w:r>
        <w:rPr>
          <w:rFonts w:ascii="Arial" w:cs="Arial" w:eastAsia="Arial" w:hAnsi="Arial"/>
          <w:sz w:val="18"/>
          <w:szCs w:val="18"/>
          <w:color w:val="auto"/>
        </w:rPr>
        <w:t>,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the assumptions and estimates associated with revenue recognition, website and internal-use software development costs, income taxes, fair value measurements and equity-based compensation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84"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Website and Internal-Use Software Development Costs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have historically capitalized certain costs related to the development of our POS solution.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No cost related to the development of software applications have been capitalized for the six months ended June 30,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We follow the guidance in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our financial assets and liabilities that are re-measured and reported at fair value at each reporting period.</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its assets and liabilities, we seek to maximize the use of observable inputs (market data obtained from independent sources) and to minimize the use of unobservable inputs (internal assumptions about how market participants would price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Effective January 1, 2021, we adopted ASC 842 - </w:t>
      </w:r>
      <w:r>
        <w:rPr>
          <w:rFonts w:ascii="Arial" w:cs="Arial" w:eastAsia="Arial" w:hAnsi="Arial"/>
          <w:sz w:val="16"/>
          <w:szCs w:val="16"/>
          <w:i w:val="1"/>
          <w:iCs w:val="1"/>
          <w:color w:val="auto"/>
        </w:rPr>
        <w:t>Leases</w:t>
      </w:r>
      <w:r>
        <w:rPr>
          <w:rFonts w:ascii="Arial" w:cs="Arial" w:eastAsia="Arial" w:hAnsi="Arial"/>
          <w:sz w:val="16"/>
          <w:szCs w:val="16"/>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We continued to account for leases in the prior period financial statements under ASC 840 -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to our condensed consolidated financial statements included herein.</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As of June 30, 2021, we did not have any cash equivalents.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233"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during the period covered by this report, our disclosure controls and procedures were not effective.</w:t>
      </w:r>
    </w:p>
    <w:p>
      <w:pPr>
        <w:spacing w:after="0" w:line="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September 2019, we received a grand jury subpoena prepared by the United States Attorney’s Office for the Eastern District of California (“DOJ”). The subpoena demanded certain categories of information from us, some of which we have already provided. Management believes that the outcome of such inquiry will not have a material adverse impact of our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21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We have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2021.We believe that these allegations are without merit. These matters are in the early stages and we are unable to reasonably determine the outcome or estimate the loss, if any, and as such, have not recorded a loss contingency.</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w:t>
      </w:r>
    </w:p>
    <w:p>
      <w:pPr>
        <w:spacing w:after="0" w:line="22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expand effectively into new markets, our revenue and business will be adversely affected.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business is concentrated in California, and, as a result, our performance may be affected by factors unique to the California market.</w:t>
      </w:r>
    </w:p>
    <w:p>
      <w:pPr>
        <w:spacing w:after="0" w:line="236" w:lineRule="exact"/>
        <w:rPr>
          <w:rFonts w:ascii="Arial" w:cs="Arial" w:eastAsia="Arial" w:hAnsi="Arial"/>
          <w:sz w:val="17"/>
          <w:szCs w:val="17"/>
          <w:color w:val="auto"/>
        </w:rPr>
      </w:pPr>
    </w:p>
    <w:p>
      <w:pPr>
        <w:jc w:val="both"/>
        <w:ind w:left="660" w:hanging="328"/>
        <w:spacing w:after="0" w:line="23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201"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233"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660" w:hanging="328"/>
        <w:spacing w:after="0" w:line="242"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202" w:lineRule="exact"/>
        <w:rPr>
          <w:rFonts w:ascii="Arial" w:cs="Arial" w:eastAsia="Arial" w:hAnsi="Arial"/>
          <w:sz w:val="17"/>
          <w:szCs w:val="17"/>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manage our growth effectively, our brand, business and operating results could be harmed.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22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91" w:lineRule="exact"/>
        <w:rPr>
          <w:rFonts w:ascii="Arial" w:cs="Arial" w:eastAsia="Arial" w:hAnsi="Arial"/>
          <w:sz w:val="17"/>
          <w:szCs w:val="17"/>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payment system and the payment systems of our clients depend on third-party providers and are subject to evolving laws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 our costs increase, we may not be able to generate sufficient revenue to maintain profitability in the future.</w:t>
      </w:r>
    </w:p>
    <w:p>
      <w:pPr>
        <w:spacing w:after="0" w:line="225"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20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233"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of additional employees, including our product and engineering teams;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client usage, client base, and our sales to our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 and</w:t>
      </w:r>
    </w:p>
    <w:p>
      <w:pPr>
        <w:spacing w:after="0" w:line="225"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202"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75"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97"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208"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In addition, the costs associated with client and consumer retention are substantially lower than costs associated with the acquisition of new clients or consumers. We have incurred significant costs to attract clients to our platform and expect to incur significant additional costs to attract and retain clients for the foreseeable future. Because expenditures on our platform can represent a significant financial investment for our clients, our ability to retain clients depends in part on our ability to create and maintain high levels of client satisfaction, which we may not always be capable of providing, including for reasons outside of our control. Our clients generally do not have long-term obligations to purchase our products and solutions and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225"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We have limited experience in determining the optimal pricing of our products and solutions, and we may need to change our pricing model from time to time. For example, we recently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fail to expand effectively into new markets, our revenue and business will be adversely affected.</w:t>
      </w:r>
    </w:p>
    <w:p>
      <w:pPr>
        <w:spacing w:after="0" w:line="225"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For example, in 2020, we re-launched our sales and marketing efforts in the state of Oregon, and we have incurred and expect to continue to incur significant expenses selling our business solutions and marketing our platform in that market. These efforts may prove more expensive than we currently anticipate,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may not succeed in increasing our revenues sufficiently to offset these expenses. Our current and any future expansion plans will require significant resources and management attention.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business is concentrated in California, and, as a result, our performance may be affected by factors unique to the California market.</w:t>
      </w:r>
    </w:p>
    <w:p>
      <w:pPr>
        <w:spacing w:after="0" w:line="248"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California represents one of the largest state legal cannabis markets in the United States, and approximately 64.1% of our revenue for the six months ended June 30, 2021, was generated in California. As new markets develop and our current markets expand, we anticipate that there will be a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w:t>
      </w:r>
    </w:p>
    <w:p>
      <w:pPr>
        <w:spacing w:after="0" w:line="20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202"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208"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20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6"/>
          <w:szCs w:val="16"/>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8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6"/>
          <w:szCs w:val="16"/>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licensed status of our clients operating cannabis retail businesses, where we have historically and currently require such clients who request access to our WM Orders, WM Store’s orders feature, WM Ads, WM Retail, or WM Exchange products to provide evidence of a valid state or provincial cannabis license prior to their initial access and from time to time during the term of their use of such products. We have recently begun requiring similar evidence for retail listings clients. Previously, we only required retail listings and premium placement clients to provide us with a state license number at the time we initially onboarded them, and did not routinely validate whether that license number actually belonged to the client or whether it remains valid. We require all operational cannabis retailer clients, including storefronts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delivery services, to display on their listing a valid, unexpired state-issued license number. We also do not currently require cannabis brand clients to provide a valid license number in order to get access to our listings and premium placement products. As a result, some of our clients or their listings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198"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98"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202"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203"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197"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204"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203"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jurisdiction, could negatively impact the profitability or viability of cannabis businesses in such affected jurisdictions, which in turn could materially adversely affect our business and operating results.</w:t>
      </w:r>
    </w:p>
    <w:p>
      <w:pPr>
        <w:spacing w:after="0" w:line="197"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20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202" w:lineRule="exact"/>
        <w:rPr>
          <w:sz w:val="20"/>
          <w:szCs w:val="20"/>
          <w:color w:val="auto"/>
        </w:rPr>
      </w:pPr>
    </w:p>
    <w:p>
      <w:pPr>
        <w:ind w:left="660" w:right="2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adapting to rapidly evolving trends in the cannabis industry and the way consumers and cannabis industry businesses interact with technology;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225" w:lineRule="exact"/>
        <w:rPr>
          <w:sz w:val="20"/>
          <w:szCs w:val="20"/>
          <w:color w:val="auto"/>
        </w:rPr>
      </w:pPr>
    </w:p>
    <w:p>
      <w:pPr>
        <w:jc w:val="both"/>
        <w:ind w:firstLine="360"/>
        <w:spacing w:after="0" w:line="307" w:lineRule="auto"/>
        <w:rPr>
          <w:sz w:val="20"/>
          <w:szCs w:val="20"/>
          <w:color w:val="auto"/>
        </w:rPr>
      </w:pPr>
      <w:r>
        <w:rPr>
          <w:rFonts w:ascii="Arial" w:cs="Arial" w:eastAsia="Arial" w:hAnsi="Arial"/>
          <w:sz w:val="16"/>
          <w:szCs w:val="16"/>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5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19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allows cannabis businesses to deliver products in local jurisdictions that have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six months ended June 30,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97"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19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192"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w:t>
      </w:r>
    </w:p>
    <w:p>
      <w:pPr>
        <w:spacing w:after="0" w:line="202" w:lineRule="exact"/>
        <w:rPr>
          <w:sz w:val="20"/>
          <w:szCs w:val="20"/>
          <w:color w:val="auto"/>
        </w:rPr>
      </w:pPr>
    </w:p>
    <w:p>
      <w:pPr>
        <w:jc w:val="both"/>
        <w:ind w:firstLine="360"/>
        <w:spacing w:after="0" w:line="307" w:lineRule="auto"/>
        <w:rPr>
          <w:sz w:val="20"/>
          <w:szCs w:val="20"/>
          <w:color w:val="auto"/>
        </w:rPr>
      </w:pPr>
      <w:r>
        <w:rPr>
          <w:rFonts w:ascii="Arial" w:cs="Arial" w:eastAsia="Arial" w:hAnsi="Arial"/>
          <w:sz w:val="16"/>
          <w:szCs w:val="16"/>
          <w:color w:val="auto"/>
        </w:rPr>
        <w:t>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50"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33"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brand recognition and reputation may be affected by factors that are outside our control, such as: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band, or others associated with any of these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22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197"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19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fail to manage our growth effectively, our brand, business and operating results could be harmed.</w:t>
      </w:r>
    </w:p>
    <w:p>
      <w:pPr>
        <w:spacing w:after="0" w:line="22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233"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and implement new, transaction-processing,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recruit, train, retain and motivate key personnel, we may not achieve our business objectives.</w:t>
      </w:r>
    </w:p>
    <w:p>
      <w:pPr>
        <w:spacing w:after="0" w:line="225"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Our future success depends on our ability to recruit, train, retain and motivate key personnel, including Christopher Beals, our Chief Executive Officer; Brian Camire, our General Counsel; Justin Dean, our Chief Technology Officer and Chief Information Officer; and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20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6"/>
          <w:szCs w:val="16"/>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7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20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6"/>
          <w:szCs w:val="16"/>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91"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may need to employ more resource-intensive sales methods, such as increasing our enterprise or field sales teams,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233"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202"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20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97"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97"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payment system and the payment systems of our clients depend on third-party providers and are subject to evolving laws and regulations.</w:t>
      </w:r>
    </w:p>
    <w:p>
      <w:pPr>
        <w:spacing w:after="0" w:line="26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and cannabis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33"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20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202"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20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6"/>
          <w:szCs w:val="16"/>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unable to prevent others from aggregating or misappropriating data from our websites.</w:t>
      </w:r>
    </w:p>
    <w:p>
      <w:pPr>
        <w:spacing w:after="0" w:line="225"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204"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233"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202" w:lineRule="exact"/>
        <w:rPr>
          <w:sz w:val="20"/>
          <w:szCs w:val="20"/>
          <w:color w:val="auto"/>
        </w:rPr>
      </w:pPr>
    </w:p>
    <w:p>
      <w:pPr>
        <w:jc w:val="both"/>
        <w:ind w:right="20" w:firstLine="360"/>
        <w:spacing w:after="0" w:line="343" w:lineRule="auto"/>
        <w:rPr>
          <w:sz w:val="20"/>
          <w:szCs w:val="20"/>
          <w:color w:val="auto"/>
        </w:rPr>
      </w:pPr>
      <w:r>
        <w:rPr>
          <w:rFonts w:ascii="Arial" w:cs="Arial" w:eastAsia="Arial" w:hAnsi="Arial"/>
          <w:sz w:val="15"/>
          <w:szCs w:val="15"/>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28"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20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193"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20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192"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233"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202"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20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6"/>
          <w:szCs w:val="16"/>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191"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202"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202" w:lineRule="exact"/>
        <w:rPr>
          <w:sz w:val="20"/>
          <w:szCs w:val="20"/>
          <w:color w:val="auto"/>
        </w:rPr>
      </w:pPr>
    </w:p>
    <w:p>
      <w:pPr>
        <w:jc w:val="both"/>
        <w:ind w:right="20" w:firstLine="360"/>
        <w:spacing w:after="0" w:line="303"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15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19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6"/>
          <w:szCs w:val="16"/>
          <w:color w:val="auto"/>
        </w:rPr>
        <w:t>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233"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20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183"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 (ii) 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203"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Fluctuations in our quarterly and annual operating results may adversely affect our business and prospects.</w:t>
      </w:r>
    </w:p>
    <w:p>
      <w:pPr>
        <w:spacing w:after="0" w:line="225"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20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licensed cannabis markets to successfully grow and outcompete illegal cannabis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233"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22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198" w:lineRule="exact"/>
        <w:rPr>
          <w:sz w:val="20"/>
          <w:szCs w:val="20"/>
          <w:color w:val="auto"/>
        </w:rPr>
      </w:pPr>
    </w:p>
    <w:p>
      <w:pPr>
        <w:jc w:val="both"/>
        <w:ind w:right="20" w:firstLine="360"/>
        <w:spacing w:after="0" w:line="307" w:lineRule="auto"/>
        <w:rPr>
          <w:sz w:val="20"/>
          <w:szCs w:val="20"/>
          <w:color w:val="auto"/>
        </w:rPr>
      </w:pPr>
      <w:r>
        <w:rPr>
          <w:rFonts w:ascii="Arial" w:cs="Arial" w:eastAsia="Arial" w:hAnsi="Arial"/>
          <w:sz w:val="16"/>
          <w:szCs w:val="16"/>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150"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We sell our offerings in the United States, and we have a limited number of non-monetized listings in several international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2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regulations that might add difficulties in repatriating cash earned outside the United States and otherwise preventing us from freely moving cash;</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233"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the U.S. Foreign Corrupt Practices Act of 1977, as amended, the U.K. Bribery Act 2010, the Corruption of Public Officials Act (Canada), and similar laws in other jurisdictions; and</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U.S. Department of Commerce Bureau of Industry and Security and the U.S. Treasury Department’s Office of Foreign Assets Control.</w:t>
      </w:r>
    </w:p>
    <w:p>
      <w:pPr>
        <w:spacing w:after="0" w:line="197"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7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192"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20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19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233"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20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19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98"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197"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233"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20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19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05" w:lineRule="exact"/>
        <w:rPr>
          <w:sz w:val="20"/>
          <w:szCs w:val="20"/>
          <w:color w:val="auto"/>
        </w:rPr>
      </w:pPr>
    </w:p>
    <w:p>
      <w:pPr>
        <w:jc w:val="both"/>
        <w:ind w:right="20" w:firstLine="360"/>
        <w:spacing w:after="0" w:line="307" w:lineRule="auto"/>
        <w:rPr>
          <w:sz w:val="20"/>
          <w:szCs w:val="20"/>
          <w:color w:val="auto"/>
        </w:rPr>
      </w:pPr>
      <w:r>
        <w:rPr>
          <w:rFonts w:ascii="Arial" w:cs="Arial" w:eastAsia="Arial" w:hAnsi="Arial"/>
          <w:sz w:val="16"/>
          <w:szCs w:val="16"/>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150" w:lineRule="exact"/>
        <w:rPr>
          <w:sz w:val="20"/>
          <w:szCs w:val="20"/>
          <w:color w:val="auto"/>
        </w:rPr>
      </w:pPr>
    </w:p>
    <w:p>
      <w:pPr>
        <w:jc w:val="both"/>
        <w:ind w:left="660" w:hanging="328"/>
        <w:spacing w:after="0" w:line="23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02"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233"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22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97"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208"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197"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 xml:space="preserve">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w:t>
      </w:r>
      <w:r>
        <w:rPr>
          <w:rFonts w:ascii="Arial" w:cs="Arial" w:eastAsia="Arial" w:hAnsi="Arial"/>
          <w:sz w:val="17"/>
          <w:szCs w:val="17"/>
          <w:i w:val="1"/>
          <w:iCs w:val="1"/>
          <w:color w:val="auto"/>
        </w:rPr>
        <w:t>South Dakota v. Wayfair</w:t>
      </w:r>
      <w:r>
        <w:rPr>
          <w:rFonts w:ascii="Arial" w:cs="Arial" w:eastAsia="Arial" w:hAnsi="Arial"/>
          <w:sz w:val="17"/>
          <w:szCs w:val="17"/>
          <w:color w:val="auto"/>
        </w:rPr>
        <w:t xml:space="preserve">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subject to potential adverse tax consequences both domestically and in foreign jurisdictions.</w:t>
      </w:r>
    </w:p>
    <w:p>
      <w:pPr>
        <w:spacing w:after="0" w:line="22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6"/>
          <w:szCs w:val="16"/>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233"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accounting standards or other factors could negatively impact our future effective tax rate.</w:t>
      </w:r>
    </w:p>
    <w:p>
      <w:pPr>
        <w:spacing w:after="0" w:line="22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9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19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9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197"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20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ind w:left="360"/>
        <w:spacing w:after="0" w:line="231"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233"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203"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212"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97" w:lineRule="exact"/>
        <w:rPr>
          <w:sz w:val="20"/>
          <w:szCs w:val="20"/>
          <w:color w:val="auto"/>
        </w:rPr>
      </w:pPr>
    </w:p>
    <w:p>
      <w:pPr>
        <w:jc w:val="both"/>
        <w:ind w:firstLine="360"/>
        <w:spacing w:after="0" w:line="307" w:lineRule="auto"/>
        <w:rPr>
          <w:sz w:val="20"/>
          <w:szCs w:val="20"/>
          <w:color w:val="auto"/>
        </w:rPr>
      </w:pPr>
      <w:r>
        <w:rPr>
          <w:rFonts w:ascii="Arial" w:cs="Arial" w:eastAsia="Arial" w:hAnsi="Arial"/>
          <w:sz w:val="16"/>
          <w:szCs w:val="16"/>
          <w:color w:val="auto"/>
        </w:rPr>
        <w:t>Acquisitions by us of common units in the Business Combination and future taxable redemptions or exchanges of Class A Units by the WMH LLC equity holders for shares of Class A Common Stock or cash pursuant to the exchange agreement are expected to result in favorable tax attributes for us.</w:t>
      </w:r>
    </w:p>
    <w:p>
      <w:pPr>
        <w:spacing w:after="0" w:line="150"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208"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date of the Closing. Under this scenario, we would be required to pay to the WMH LLC Class A equity holders approximately 85% of such amount, or $126.2 million, over the 15-year period from the date of the Closing.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233"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20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201"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229"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9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 L</w:t>
      </w:r>
      <w:r>
        <w:rPr>
          <w:rFonts w:ascii="Arial" w:cs="Arial" w:eastAsia="Arial" w:hAnsi="Arial"/>
          <w:sz w:val="16"/>
          <w:szCs w:val="16"/>
          <w:color w:val="auto"/>
        </w:rPr>
        <w:t>.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193"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233"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This provision, however, is set to expire on September 30, 2021 and there is no assurance that Congress will approve inclusion of a similar prohibition on DOJ spending in the appropriations bills for future years.</w:t>
      </w:r>
    </w:p>
    <w:p>
      <w:pPr>
        <w:spacing w:after="0" w:line="204"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USA vs. McIntosh</w:t>
      </w:r>
      <w:r>
        <w:rPr>
          <w:rFonts w:ascii="Arial" w:cs="Arial" w:eastAsia="Arial" w:hAnsi="Arial"/>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204"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203"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204"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233"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research in the U.S., the implications of the potential re-scheduling are not entirely clear for state legal commercial cannabis operators.</w:t>
      </w:r>
    </w:p>
    <w:p>
      <w:pPr>
        <w:spacing w:after="0" w:line="225"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183"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20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6"/>
          <w:szCs w:val="16"/>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recently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202" w:lineRule="exact"/>
        <w:rPr>
          <w:sz w:val="20"/>
          <w:szCs w:val="20"/>
          <w:color w:val="auto"/>
        </w:rPr>
      </w:pPr>
    </w:p>
    <w:p>
      <w:pPr>
        <w:jc w:val="both"/>
        <w:ind w:firstLine="360"/>
        <w:spacing w:after="0" w:line="223" w:lineRule="auto"/>
        <w:rPr>
          <w:sz w:val="20"/>
          <w:szCs w:val="20"/>
          <w:color w:val="auto"/>
        </w:rPr>
      </w:pPr>
      <w:r>
        <w:rPr>
          <w:rFonts w:ascii="Arial" w:cs="Arial" w:eastAsia="Arial" w:hAnsi="Arial"/>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210"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233"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97"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19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199"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purchase products on the Weedmaps listings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233"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225"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6"/>
          <w:szCs w:val="16"/>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accruing from such investments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192"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have difficulty using bankruptcy courts due to our involvement in the regulated cannabis industry.</w:t>
      </w:r>
    </w:p>
    <w:p>
      <w:pPr>
        <w:spacing w:after="0" w:line="225"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22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 &amp; 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233"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202"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20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8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22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6"/>
          <w:szCs w:val="16"/>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233"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Service providers to cannabis businesses may also be subject to unfavorable U.S. tax treatment.</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99" w:lineRule="exact"/>
        <w:rPr>
          <w:sz w:val="20"/>
          <w:szCs w:val="20"/>
          <w:color w:val="auto"/>
        </w:rPr>
      </w:pPr>
    </w:p>
    <w:p>
      <w:pPr>
        <w:jc w:val="both"/>
        <w:ind w:firstLine="360"/>
        <w:spacing w:after="0" w:line="208" w:lineRule="auto"/>
        <w:rPr>
          <w:sz w:val="20"/>
          <w:szCs w:val="20"/>
          <w:color w:val="auto"/>
        </w:rPr>
      </w:pPr>
      <w:r>
        <w:rPr>
          <w:rFonts w:ascii="Arial" w:cs="Arial" w:eastAsia="Arial" w:hAnsi="Arial"/>
          <w:sz w:val="18"/>
          <w:szCs w:val="18"/>
          <w:color w:val="auto"/>
        </w:rPr>
        <w:t>The MORE Act, which was passed by the House of Representatives but did not become law in the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Congress and has not yet been reintroduced into the 117</w:t>
      </w:r>
      <w:r>
        <w:rPr>
          <w:rFonts w:ascii="Arial" w:cs="Arial" w:eastAsia="Arial" w:hAnsi="Arial"/>
          <w:sz w:val="23"/>
          <w:szCs w:val="23"/>
          <w:color w:val="auto"/>
          <w:vertAlign w:val="superscript"/>
        </w:rPr>
        <w:t>th</w:t>
      </w:r>
      <w:r>
        <w:rPr>
          <w:rFonts w:ascii="Arial" w:cs="Arial" w:eastAsia="Arial" w:hAnsi="Arial"/>
          <w:sz w:val="18"/>
          <w:szCs w:val="18"/>
          <w:color w:val="auto"/>
        </w:rPr>
        <w:t>, would remove marijuana from the CSA, which would effectively carve out state-legal cannabis businesses from Section 280E of the Code.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225"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97"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6"/>
          <w:szCs w:val="16"/>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204"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233"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207"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19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As of June 30, 2021, our affiliates, executive officers, directors and their respective affiliates as a group beneficially own approximately 46.2%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right="20" w:firstLine="360"/>
        <w:spacing w:after="0" w:line="274" w:lineRule="auto"/>
        <w:rPr>
          <w:sz w:val="20"/>
          <w:szCs w:val="20"/>
          <w:color w:val="auto"/>
        </w:rPr>
      </w:pPr>
      <w:r>
        <w:rPr>
          <w:rFonts w:ascii="Arial" w:cs="Arial" w:eastAsia="Arial" w:hAnsi="Arial"/>
          <w:sz w:val="17"/>
          <w:szCs w:val="17"/>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5"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17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21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In addition, the enforceability of similar exclusive forum provisions in other companies’ certificates of incorporation has been challenged in legal proceedings, and it is possible that, in connection with one or more actions or proceedings described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33"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There is no guarantee that the Warrants will be in the money at the time they become exercisable, and they may expire worthless.</w:t>
      </w:r>
    </w:p>
    <w:p>
      <w:pPr>
        <w:spacing w:after="0" w:line="23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9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the Warrants could be increased, the exercise period could be shortened and the number of shares of our Class A Common Stock purchasable upon exercise of a Warrant could be decreased, all without the holders’ approval.</w:t>
      </w:r>
    </w:p>
    <w:p>
      <w:pPr>
        <w:spacing w:after="0" w:line="175"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204"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 holders, thereby making such Warrants worthless.</w:t>
      </w:r>
    </w:p>
    <w:p>
      <w:pPr>
        <w:spacing w:after="0" w:line="197"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a holder (a) to exercise the Warrants and pay the exercise price therefor at a time when it may be disadvantageous for a holder to do so, (b) to sell the Warrants at the then-current market price when a holder might otherwise wish to hold the Warrants or</w:t>
      </w:r>
    </w:p>
    <w:p>
      <w:pPr>
        <w:spacing w:after="0" w:line="3" w:lineRule="exact"/>
        <w:rPr>
          <w:sz w:val="20"/>
          <w:szCs w:val="20"/>
          <w:color w:val="auto"/>
        </w:rPr>
      </w:pPr>
    </w:p>
    <w:p>
      <w:pPr>
        <w:ind w:firstLine="8"/>
        <w:spacing w:after="0" w:line="233" w:lineRule="auto"/>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accept the nominal redemption price which, at the time the outstanding Warrants are called for redemption, is likely to be substantially less than the market value of the Warrants.</w:t>
      </w:r>
    </w:p>
    <w:p>
      <w:pPr>
        <w:spacing w:after="0" w:line="20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In addition, we may redeem the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a holder would lose any potential embedded value from a subsequent increase in the value of our Class A Common Stock had the Warrants remained outstanding.</w:t>
      </w:r>
    </w:p>
    <w:p>
      <w:pPr>
        <w:spacing w:after="0" w:line="183" w:lineRule="exact"/>
        <w:rPr>
          <w:sz w:val="20"/>
          <w:szCs w:val="20"/>
          <w:color w:val="auto"/>
        </w:rPr>
      </w:pPr>
    </w:p>
    <w:p>
      <w:pPr>
        <w:jc w:val="both"/>
        <w:ind w:firstLine="360"/>
        <w:spacing w:after="0" w:line="343" w:lineRule="auto"/>
        <w:rPr>
          <w:sz w:val="20"/>
          <w:szCs w:val="20"/>
          <w:color w:val="auto"/>
        </w:rPr>
      </w:pPr>
      <w:r>
        <w:rPr>
          <w:rFonts w:ascii="Arial" w:cs="Arial" w:eastAsia="Arial" w:hAnsi="Arial"/>
          <w:sz w:val="15"/>
          <w:szCs w:val="15"/>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128"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Public Warrants.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233"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8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196"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19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20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202"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9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as defined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233"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98"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We qualify as an “emerging growth company” and a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202"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continues to be an emerging growth company, including, but not limited to, (a) not being required to comply with the auditor attestation requirements of Section 404 of the Sarbanes- 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Common Stock in the IPO.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9"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smaller reporting company which has opted out of using the extended transition period difficult or impossible because of the potential differences in accounting standards used.</w:t>
      </w:r>
    </w:p>
    <w:p>
      <w:pPr>
        <w:spacing w:after="0" w:line="20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233"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97"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204" w:lineRule="exact"/>
        <w:rPr>
          <w:sz w:val="20"/>
          <w:szCs w:val="20"/>
          <w:color w:val="auto"/>
        </w:rPr>
      </w:pPr>
    </w:p>
    <w:p>
      <w:pPr>
        <w:jc w:val="both"/>
        <w:ind w:firstLine="360"/>
        <w:spacing w:after="0" w:line="343"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28"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225"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has been previously disclosed in our Current Report on Form 8-K filed with the SEC on June 22,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6"/>
              </w:rPr>
              <w:t>Shares Purchased as</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5"/>
                <w:szCs w:val="15"/>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Average Price Paid</w:t>
            </w: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part of Publicly</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Shares that May Yet</w:t>
            </w:r>
          </w:p>
        </w:tc>
        <w:tc>
          <w:tcPr>
            <w:tcW w:w="0" w:type="dxa"/>
            <w:vAlign w:val="bottom"/>
          </w:tcPr>
          <w:p>
            <w:pPr>
              <w:spacing w:after="0"/>
              <w:rPr>
                <w:sz w:val="1"/>
                <w:szCs w:val="1"/>
                <w:color w:val="auto"/>
              </w:rPr>
            </w:pPr>
          </w:p>
        </w:tc>
      </w:tr>
      <w:tr>
        <w:trPr>
          <w:trHeight w:val="175"/>
        </w:trPr>
        <w:tc>
          <w:tcPr>
            <w:tcW w:w="3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Be Purchased Under</w:t>
            </w:r>
          </w:p>
        </w:tc>
        <w:tc>
          <w:tcPr>
            <w:tcW w:w="0" w:type="dxa"/>
            <w:vAlign w:val="bottom"/>
          </w:tcPr>
          <w:p>
            <w:pPr>
              <w:spacing w:after="0"/>
              <w:rPr>
                <w:sz w:val="1"/>
                <w:szCs w:val="1"/>
                <w:color w:val="auto"/>
              </w:rPr>
            </w:pPr>
          </w:p>
        </w:tc>
      </w:tr>
      <w:tr>
        <w:trPr>
          <w:trHeight w:val="230"/>
        </w:trPr>
        <w:tc>
          <w:tcPr>
            <w:tcW w:w="3860" w:type="dxa"/>
            <w:vAlign w:val="bottom"/>
            <w:vMerge w:val="continue"/>
          </w:tcPr>
          <w:p>
            <w:pPr>
              <w:spacing w:after="0"/>
              <w:rPr>
                <w:sz w:val="19"/>
                <w:szCs w:val="19"/>
                <w:color w:val="auto"/>
              </w:rPr>
            </w:pPr>
          </w:p>
        </w:tc>
        <w:tc>
          <w:tcPr>
            <w:tcW w:w="186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6"/>
              </w:rPr>
              <w:t xml:space="preserve">Shares Purchased </w:t>
            </w:r>
            <w:r>
              <w:rPr>
                <w:rFonts w:ascii="Arial" w:cs="Arial" w:eastAsia="Arial" w:hAnsi="Arial"/>
                <w:sz w:val="23"/>
                <w:szCs w:val="23"/>
                <w:b w:val="1"/>
                <w:bCs w:val="1"/>
                <w:color w:val="auto"/>
                <w:w w:val="86"/>
                <w:vertAlign w:val="superscript"/>
              </w:rPr>
              <w:t>(1)</w:t>
            </w:r>
          </w:p>
        </w:tc>
        <w:tc>
          <w:tcPr>
            <w:tcW w:w="12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 Programs</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2021</w:t>
            </w:r>
          </w:p>
        </w:tc>
        <w:tc>
          <w:tcPr>
            <w:tcW w:w="176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May 1 - May 31, 2021</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78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June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8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right="20" w:firstLine="8"/>
        <w:spacing w:after="0" w:line="260" w:lineRule="auto"/>
        <w:tabs>
          <w:tab w:leader="none" w:pos="162"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On June 10, 2021, we redeemed 10,012 shares of Silver Spike’s Class A ordinary shares at a redemption price of approximately $10.17 per share, for an aggregate redemption amount of $101,822.04 in connection with the Business Combination.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233"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139"/>
          </w:cols>
          <w:pgMar w:left="320" w:top="233" w:right="1440"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9"/>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20" w:type="dxa"/>
            <w:vAlign w:val="bottom"/>
            <w:gridSpan w:val="10"/>
          </w:tcPr>
          <w:p>
            <w:pPr>
              <w:ind w:left="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tc>
        <w:tc>
          <w:tcPr>
            <w:tcW w:w="0" w:type="dxa"/>
            <w:vAlign w:val="bottom"/>
          </w:tcPr>
          <w:p>
            <w:pPr>
              <w:spacing w:after="0"/>
              <w:rPr>
                <w:sz w:val="1"/>
                <w:szCs w:val="1"/>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0" w:type="dxa"/>
            <w:vAlign w:val="bottom"/>
            <w:vMerge w:val="restart"/>
            <w:shd w:val="clear" w:color="auto" w:fill="CCEEFF"/>
          </w:tcPr>
          <w:p>
            <w:pPr>
              <w:spacing w:after="0"/>
              <w:rPr>
                <w:sz w:val="16"/>
                <w:szCs w:val="16"/>
                <w:color w:val="auto"/>
              </w:rPr>
            </w:pPr>
          </w:p>
        </w:tc>
        <w:tc>
          <w:tcPr>
            <w:tcW w:w="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1</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auto"/>
                <w:w w:val="92"/>
              </w:rPr>
              <w:t>Certification of the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vMerge w:val="continue"/>
            <w:shd w:val="clear" w:color="auto" w:fill="CCEEFF"/>
          </w:tcPr>
          <w:p>
            <w:pPr>
              <w:spacing w:after="0"/>
              <w:rPr>
                <w:sz w:val="16"/>
                <w:szCs w:val="16"/>
                <w:color w:val="auto"/>
              </w:rPr>
            </w:pPr>
          </w:p>
        </w:tc>
        <w:tc>
          <w:tcPr>
            <w:tcW w:w="420" w:type="dxa"/>
            <w:vAlign w:val="bottom"/>
            <w:tcBorders>
              <w:top w:val="single" w:sz="8" w:color="CCEEFF"/>
            </w:tcBorders>
            <w:gridSpan w:val="2"/>
            <w:vMerge w:val="continue"/>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20" w:type="dxa"/>
            <w:vAlign w:val="bottom"/>
            <w:tcBorders>
              <w:top w:val="single" w:sz="8" w:color="auto"/>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auto"/>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0" w:type="dxa"/>
            <w:vAlign w:val="bottom"/>
            <w:gridSpan w:val="2"/>
            <w:vMerge w:val="restart"/>
          </w:tcPr>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2</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6"/>
          </w:tcPr>
          <w:p>
            <w:pPr>
              <w:spacing w:after="0" w:line="183" w:lineRule="exact"/>
              <w:rPr>
                <w:sz w:val="20"/>
                <w:szCs w:val="20"/>
                <w:color w:val="auto"/>
              </w:rPr>
            </w:pPr>
            <w:r>
              <w:rPr>
                <w:rFonts w:ascii="Arial" w:cs="Arial" w:eastAsia="Arial" w:hAnsi="Arial"/>
                <w:sz w:val="18"/>
                <w:szCs w:val="18"/>
                <w:color w:val="auto"/>
                <w:w w:val="93"/>
              </w:rPr>
              <w:t>Certification of the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shd w:val="clear" w:color="auto" w:fill="CCEEFF"/>
          </w:tcPr>
          <w:p>
            <w:pPr>
              <w:spacing w:after="0"/>
              <w:rPr>
                <w:sz w:val="17"/>
                <w:szCs w:val="17"/>
                <w:color w:val="auto"/>
              </w:rPr>
            </w:pPr>
          </w:p>
        </w:tc>
        <w:tc>
          <w:tcPr>
            <w:tcW w:w="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5"/>
              </w:rPr>
              <w:t>32.</w:t>
            </w:r>
            <w:r>
              <w:rPr>
                <w:rFonts w:ascii="Arial" w:cs="Arial" w:eastAsia="Arial" w:hAnsi="Arial"/>
                <w:sz w:val="18"/>
                <w:szCs w:val="18"/>
                <w:u w:val="single" w:color="auto"/>
                <w:color w:val="auto"/>
                <w:w w:val="95"/>
              </w:rPr>
              <w:t>1*</w:t>
            </w:r>
          </w:p>
        </w:tc>
        <w:tc>
          <w:tcPr>
            <w:tcW w:w="340" w:type="dxa"/>
            <w:vAlign w:val="bottom"/>
            <w:vMerge w:val="restart"/>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40" w:type="dxa"/>
            <w:vAlign w:val="bottom"/>
            <w:gridSpan w:val="6"/>
            <w:shd w:val="clear" w:color="auto" w:fill="CCEEFF"/>
          </w:tcPr>
          <w:p>
            <w:pPr>
              <w:spacing w:after="0" w:line="203" w:lineRule="exact"/>
              <w:rPr>
                <w:sz w:val="20"/>
                <w:szCs w:val="20"/>
                <w:color w:val="auto"/>
              </w:rPr>
            </w:pPr>
            <w:r>
              <w:rPr>
                <w:rFonts w:ascii="Arial" w:cs="Arial" w:eastAsia="Arial" w:hAnsi="Arial"/>
                <w:sz w:val="18"/>
                <w:szCs w:val="18"/>
                <w:color w:val="auto"/>
                <w:w w:val="93"/>
              </w:rPr>
              <w:t>Certifications of the Principal Executive Officer and Principal Financial Officer pursuant to 18 U.S.C. Section 1350, as adopted pursuant</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vMerge w:val="continue"/>
            <w:shd w:val="clear" w:color="auto" w:fill="CCEEFF"/>
          </w:tcPr>
          <w:p>
            <w:pPr>
              <w:spacing w:after="0"/>
              <w:rPr>
                <w:sz w:val="18"/>
                <w:szCs w:val="18"/>
                <w:color w:val="auto"/>
              </w:rPr>
            </w:pPr>
          </w:p>
        </w:tc>
        <w:tc>
          <w:tcPr>
            <w:tcW w:w="420" w:type="dxa"/>
            <w:vAlign w:val="bottom"/>
            <w:tcBorders>
              <w:top w:val="single" w:sz="8" w:color="CCEEFF"/>
              <w:bottom w:val="single" w:sz="8" w:color="auto"/>
            </w:tcBorders>
            <w:gridSpan w:val="2"/>
            <w:vMerge w:val="continue"/>
            <w:shd w:val="clear" w:color="auto" w:fill="CCEEFF"/>
          </w:tcPr>
          <w:p>
            <w:pPr>
              <w:spacing w:after="0"/>
              <w:rPr>
                <w:sz w:val="18"/>
                <w:szCs w:val="18"/>
                <w:color w:val="auto"/>
              </w:rPr>
            </w:pPr>
          </w:p>
        </w:tc>
        <w:tc>
          <w:tcPr>
            <w:tcW w:w="340" w:type="dxa"/>
            <w:vAlign w:val="bottom"/>
            <w:tcBorders>
              <w:top w:val="single" w:sz="8" w:color="CCEEFF"/>
              <w:bottom w:val="single" w:sz="8" w:color="CCEEFF"/>
            </w:tcBorders>
            <w:vMerge w:val="continue"/>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0"/>
              </w:rPr>
              <w:t>to Section 906 of the Sarbanes-Oxley Act of 2002.</w:t>
            </w:r>
          </w:p>
        </w:tc>
        <w:tc>
          <w:tcPr>
            <w:tcW w:w="6360" w:type="dxa"/>
            <w:vAlign w:val="bottom"/>
            <w:tcBorders>
              <w:top w:val="single" w:sz="8" w:color="auto"/>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6"/>
          </w:tcPr>
          <w:p>
            <w:pPr>
              <w:spacing w:after="0" w:line="170" w:lineRule="exact"/>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89" w:lineRule="exact"/>
        <w:rPr>
          <w:sz w:val="20"/>
          <w:szCs w:val="20"/>
          <w:color w:val="auto"/>
        </w:rPr>
      </w:pPr>
    </w:p>
    <w:p>
      <w:pPr>
        <w:jc w:val="both"/>
        <w:ind w:left="1220" w:right="20" w:hanging="226"/>
        <w:spacing w:after="0" w:line="231"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233"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580" w:type="dxa"/>
            <w:vAlign w:val="bottom"/>
            <w:gridSpan w:val="3"/>
          </w:tcPr>
          <w:p>
            <w:pPr>
              <w:ind w:left="2300"/>
              <w:spacing w:after="0"/>
              <w:rPr>
                <w:sz w:val="20"/>
                <w:szCs w:val="20"/>
                <w:color w:val="auto"/>
              </w:rPr>
            </w:pPr>
            <w:r>
              <w:rPr>
                <w:rFonts w:ascii="Arial" w:cs="Arial" w:eastAsia="Arial" w:hAnsi="Arial"/>
                <w:sz w:val="18"/>
                <w:szCs w:val="18"/>
                <w:b w:val="1"/>
                <w:bCs w:val="1"/>
                <w:color w:val="auto"/>
              </w:rPr>
              <w:t>WM TECHNOLOGY, INC.</w:t>
            </w:r>
          </w:p>
        </w:tc>
      </w:tr>
      <w:tr>
        <w:trPr>
          <w:trHeight w:val="743"/>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80"/>
              <w:spacing w:after="0"/>
              <w:rPr>
                <w:sz w:val="20"/>
                <w:szCs w:val="20"/>
                <w:color w:val="auto"/>
              </w:rPr>
            </w:pPr>
            <w:r>
              <w:rPr>
                <w:rFonts w:ascii="Arial" w:cs="Arial" w:eastAsia="Arial" w:hAnsi="Arial"/>
                <w:sz w:val="18"/>
                <w:szCs w:val="18"/>
                <w:color w:val="auto"/>
              </w:rPr>
              <w:t>August 13, 2021</w:t>
            </w:r>
          </w:p>
        </w:tc>
        <w:tc>
          <w:tcPr>
            <w:tcW w:w="2740" w:type="dxa"/>
            <w:vAlign w:val="bottom"/>
          </w:tcPr>
          <w:p>
            <w:pPr>
              <w:ind w:left="23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Christopher Beals</w:t>
            </w:r>
          </w:p>
        </w:tc>
      </w:tr>
      <w:tr>
        <w:trPr>
          <w:trHeight w:val="222"/>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Christopher Beals</w:t>
            </w:r>
          </w:p>
        </w:tc>
      </w:tr>
      <w:tr>
        <w:trPr>
          <w:trHeight w:val="230"/>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r>
        <w:trPr>
          <w:trHeight w:val="59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80"/>
              <w:spacing w:after="0"/>
              <w:rPr>
                <w:sz w:val="20"/>
                <w:szCs w:val="20"/>
                <w:color w:val="auto"/>
              </w:rPr>
            </w:pPr>
            <w:r>
              <w:rPr>
                <w:rFonts w:ascii="Arial" w:cs="Arial" w:eastAsia="Arial" w:hAnsi="Arial"/>
                <w:sz w:val="18"/>
                <w:szCs w:val="18"/>
                <w:color w:val="auto"/>
              </w:rPr>
              <w:t>August 13, 2021</w:t>
            </w:r>
          </w:p>
        </w:tc>
        <w:tc>
          <w:tcPr>
            <w:tcW w:w="2740" w:type="dxa"/>
            <w:vAlign w:val="bottom"/>
          </w:tcPr>
          <w:p>
            <w:pPr>
              <w:ind w:left="23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Arden Lee</w:t>
            </w:r>
          </w:p>
        </w:tc>
      </w:tr>
      <w:tr>
        <w:trPr>
          <w:trHeight w:val="222"/>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Arden Lee</w:t>
            </w:r>
          </w:p>
        </w:tc>
      </w:tr>
      <w:tr>
        <w:trPr>
          <w:trHeight w:val="230"/>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176"/>
        </w:trPr>
        <w:tc>
          <w:tcPr>
            <w:tcW w:w="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40" w:type="dxa"/>
            <w:vAlign w:val="bottom"/>
          </w:tcPr>
          <w:p>
            <w:pPr>
              <w:ind w:left="120"/>
              <w:spacing w:after="0" w:line="176" w:lineRule="exact"/>
              <w:rPr>
                <w:sz w:val="20"/>
                <w:szCs w:val="20"/>
                <w:color w:val="auto"/>
              </w:rPr>
            </w:pPr>
            <w:r>
              <w:rPr>
                <w:rFonts w:ascii="Arial" w:cs="Arial" w:eastAsia="Arial" w:hAnsi="Arial"/>
                <w:sz w:val="18"/>
                <w:szCs w:val="18"/>
                <w:i w:val="1"/>
                <w:iCs w:val="1"/>
                <w:color w:val="auto"/>
                <w:w w:val="99"/>
              </w:rPr>
              <w:t>(Principal Financial Officer and Principal Accounting</w:t>
            </w:r>
          </w:p>
        </w:tc>
      </w:tr>
      <w:tr>
        <w:trPr>
          <w:trHeight w:val="230"/>
        </w:trPr>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Officer)</w:t>
            </w:r>
          </w:p>
        </w:tc>
      </w:tr>
      <w:tr>
        <w:trPr>
          <w:trHeight w:val="904"/>
        </w:trPr>
        <w:tc>
          <w:tcPr>
            <w:tcW w:w="5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40" w:type="dxa"/>
            <w:vAlign w:val="bottom"/>
          </w:tcPr>
          <w:p>
            <w:pPr>
              <w:jc w:val="right"/>
              <w:ind w:right="590"/>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¹"/>
      <w:numFmt w:val="bullet"/>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lowerRoman"/>
      <w:start w:val="7"/>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¹"/>
      <w:numFmt w:val="bullet"/>
      <w:start w:val="1"/>
    </w:lvl>
  </w:abstractNum>
  <w:abstractNum w:abstractNumId="10">
    <w:nsid w:val="436C6125"/>
    <w:multiLevelType w:val="hybridMultilevel"/>
    <w:lvl w:ilvl="0">
      <w:lvlJc w:val="left"/>
      <w:lvlText w:val="¹"/>
      <w:numFmt w:val="bullet"/>
      <w:start w:val="1"/>
    </w:lvl>
  </w:abstractNum>
  <w:abstractNum w:abstractNumId="11">
    <w:nsid w:val="628C895D"/>
    <w:multiLevelType w:val="hybridMultilevel"/>
    <w:lvl w:ilvl="0">
      <w:lvlJc w:val="left"/>
      <w:lvlText w:val="¹"/>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Letter"/>
      <w:start w:val="3"/>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2021-08-13T15:58:21Z</dcterms:created>
  <dcterms:modified xsi:type="dcterms:W3CDTF">2021-08-13T15:58:21Z</dcterms:modified>
</cp:coreProperties>
</file>