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r>
      <w:tr>
        <w:trPr>
          <w:trHeight w:val="383"/>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0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17"/>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FORM 10-Q</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395"/>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r>
      <w:tr>
        <w:trPr>
          <w:trHeight w:val="258"/>
        </w:trPr>
        <w:tc>
          <w:tcPr>
            <w:tcW w:w="900" w:type="dxa"/>
            <w:vAlign w:val="bottom"/>
          </w:tcPr>
          <w:p>
            <w:pPr>
              <w:spacing w:after="0"/>
              <w:rPr>
                <w:sz w:val="22"/>
                <w:szCs w:val="22"/>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tc>
      </w:tr>
      <w:tr>
        <w:trPr>
          <w:trHeight w:val="279"/>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394"/>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27"/>
        </w:trPr>
        <w:tc>
          <w:tcPr>
            <w:tcW w:w="900" w:type="dxa"/>
            <w:vAlign w:val="bottom"/>
          </w:tcPr>
          <w:p>
            <w:pPr>
              <w:spacing w:after="0"/>
              <w:rPr>
                <w:sz w:val="19"/>
                <w:szCs w:val="19"/>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tc>
      </w:tr>
      <w:tr>
        <w:trPr>
          <w:trHeight w:val="269"/>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90"/>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(844) 933-3627</w:t>
            </w:r>
          </w:p>
        </w:tc>
        <w:tc>
          <w:tcPr>
            <w:tcW w:w="3740" w:type="dxa"/>
            <w:vAlign w:val="bottom"/>
          </w:tcPr>
          <w:p>
            <w:pPr>
              <w:spacing w:after="0"/>
              <w:rPr>
                <w:sz w:val="24"/>
                <w:szCs w:val="24"/>
                <w:color w:val="auto"/>
              </w:rPr>
            </w:pPr>
          </w:p>
        </w:tc>
      </w:tr>
      <w:tr>
        <w:trPr>
          <w:trHeight w:val="188"/>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color w:val="auto"/>
              </w:rPr>
              <w:t>(Registrant’ telephone number, including area code)</w:t>
            </w:r>
          </w:p>
        </w:tc>
        <w:tc>
          <w:tcPr>
            <w:tcW w:w="3740" w:type="dxa"/>
            <w:vAlign w:val="bottom"/>
          </w:tcPr>
          <w:p>
            <w:pPr>
              <w:spacing w:after="0"/>
              <w:rPr>
                <w:sz w:val="16"/>
                <w:szCs w:val="16"/>
                <w:color w:val="auto"/>
              </w:rPr>
            </w:pPr>
          </w:p>
        </w:tc>
      </w:tr>
      <w:tr>
        <w:trPr>
          <w:trHeight w:val="283"/>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w w:val="99"/>
              </w:rPr>
              <w:t>MAPS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24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MAPSW</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11"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7"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29" w:right="339" w:bottom="1440" w:gutter="0" w:footer="0" w:header="0"/>
          <w:type w:val="continuous"/>
        </w:sectPr>
      </w:pPr>
    </w:p>
    <w:p>
      <w:pPr>
        <w:spacing w:after="0" w:line="21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5, 2022, there were 89,028,275 shares of the registrant’s Class A common stock outstanding and 56,274,066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7120" w:type="dxa"/>
            <w:vAlign w:val="bottom"/>
            <w:gridSpan w:val="11"/>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2022 and December 31, 2021</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78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2022 and 2021</w:t>
            </w:r>
          </w:p>
        </w:tc>
        <w:tc>
          <w:tcPr>
            <w:tcW w:w="48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Six Months Ended June 30, 2022 and 2021</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w:t>
            </w:r>
          </w:p>
        </w:tc>
        <w:tc>
          <w:tcPr>
            <w:tcW w:w="40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380" w:type="dxa"/>
            <w:vAlign w:val="bottom"/>
            <w:gridSpan w:val="6"/>
          </w:tcPr>
          <w:p>
            <w:pPr>
              <w:spacing w:after="0"/>
              <w:rPr>
                <w:sz w:val="20"/>
                <w:szCs w:val="20"/>
                <w:color w:val="auto"/>
              </w:rPr>
            </w:pPr>
          </w:p>
        </w:tc>
        <w:tc>
          <w:tcPr>
            <w:tcW w:w="1860" w:type="dxa"/>
            <w:vAlign w:val="bottom"/>
            <w:gridSpan w:val="3"/>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31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gridSpan w:val="2"/>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80" w:type="dxa"/>
            <w:vAlign w:val="bottom"/>
            <w:tcBorders>
              <w:top w:val="single" w:sz="8" w:color="0000EE"/>
            </w:tcBorders>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47</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spacing w:after="0"/>
              <w:rPr>
                <w:sz w:val="18"/>
                <w:szCs w:val="18"/>
                <w:color w:val="auto"/>
              </w:rPr>
            </w:pPr>
          </w:p>
        </w:tc>
        <w:tc>
          <w:tcPr>
            <w:tcW w:w="180" w:type="dxa"/>
            <w:vAlign w:val="bottom"/>
            <w:tcBorders>
              <w:bottom w:val="single" w:sz="8" w:color="0000EE"/>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3"/>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5"/>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EE"/>
                <w:w w:val="99"/>
              </w:rPr>
              <w:t>47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ind w:left="660" w:hanging="328"/>
        <w:spacing w:after="0" w:line="21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clients;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 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21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2021, filed with the SEC on February 25, 2022.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1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98,934</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152,097</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28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88,836,328</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June 30, 2022 and 65,677,361 shares issued and outstanding</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December 31, 2021</w:t>
            </w: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56,466,013 shares</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June 30, 2022 and 65,502,347 shares issued and outstanding at</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61,369</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63,556</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68,384</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0" w:type="dxa"/>
            <w:vAlign w:val="bottom"/>
          </w:tcPr>
          <w:p>
            <w:pPr>
              <w:spacing w:after="0"/>
              <w:rPr>
                <w:sz w:val="1"/>
                <w:szCs w:val="1"/>
                <w:color w:val="auto"/>
              </w:rPr>
            </w:pPr>
          </w:p>
        </w:tc>
      </w:tr>
      <w:tr>
        <w:trPr>
          <w:trHeight w:val="223"/>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360" w:type="dxa"/>
            <w:vAlign w:val="bottom"/>
            <w:gridSpan w:val="5"/>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00" w:type="dxa"/>
            <w:vAlign w:val="bottom"/>
            <w:gridSpan w:val="8"/>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360" w:type="dxa"/>
            <w:vAlign w:val="bottom"/>
            <w:gridSpan w:val="5"/>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4"/>
                <w:szCs w:val="24"/>
                <w:color w:val="auto"/>
              </w:rPr>
            </w:pPr>
          </w:p>
        </w:tc>
        <w:tc>
          <w:tcPr>
            <w:tcW w:w="2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57"/>
        </w:trPr>
        <w:tc>
          <w:tcPr>
            <w:tcW w:w="474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w:t>
            </w:r>
          </w:p>
        </w:tc>
      </w:tr>
      <w:tr>
        <w:trPr>
          <w:trHeight w:val="229"/>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w:t>
            </w:r>
          </w:p>
        </w:tc>
      </w:tr>
      <w:tr>
        <w:trPr>
          <w:trHeight w:val="229"/>
        </w:trPr>
        <w:tc>
          <w:tcPr>
            <w:tcW w:w="4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95,418</w:t>
            </w: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29"/>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23"/>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6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86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8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0"/>
        </w:trPr>
        <w:tc>
          <w:tcPr>
            <w:tcW w:w="4740" w:type="dxa"/>
            <w:vAlign w:val="bottom"/>
            <w:gridSpan w:val="2"/>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86,425,352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63,738,563</w:t>
            </w:r>
          </w:p>
        </w:tc>
      </w:tr>
      <w:tr>
        <w:trPr>
          <w:trHeight w:val="234"/>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87,230,850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71,347,746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71,347,746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-3919855</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11"/>
          </w:tcPr>
          <w:p>
            <w:pPr>
              <w:ind w:left="20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08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65,677,361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61,369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63,556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68,384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131,940</w:t>
            </w:r>
          </w:p>
        </w:tc>
        <w:tc>
          <w:tcPr>
            <w:tcW w:w="0" w:type="dxa"/>
            <w:vAlign w:val="bottom"/>
          </w:tcPr>
          <w:p>
            <w:pPr>
              <w:spacing w:after="0"/>
              <w:rPr>
                <w:sz w:val="1"/>
                <w:szCs w:val="1"/>
                <w:color w:val="auto"/>
              </w:rPr>
            </w:pPr>
          </w:p>
        </w:tc>
      </w:tr>
      <w:tr>
        <w:trPr>
          <w:trHeight w:val="195"/>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879,284</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withheld for taxes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4,721,706</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12,836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12,836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15,889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28,725</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(Note 6)</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 Class 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 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 Class P</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7,525,045</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 warrants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Impact of Tax Receivable Agreement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exchanges of Class A Units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(31,233)</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83,098,990</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61,206,773</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43,970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47,476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91,460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57,511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148,971</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8,613</w:t>
            </w:r>
          </w:p>
        </w:tc>
        <w:tc>
          <w:tcPr>
            <w:tcW w:w="0" w:type="dxa"/>
            <w:vAlign w:val="bottom"/>
          </w:tcPr>
          <w:p>
            <w:pPr>
              <w:spacing w:after="0"/>
              <w:rPr>
                <w:sz w:val="1"/>
                <w:szCs w:val="1"/>
                <w:color w:val="auto"/>
              </w:rPr>
            </w:pPr>
          </w:p>
        </w:tc>
      </w:tr>
      <w:tr>
        <w:trPr>
          <w:trHeight w:val="195"/>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 vesting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543,118</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Impact of Tax Receivable Agreement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due to exchanges of Class A Units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Class A Common shares issued - Class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4,740,760</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(4,740,760)</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 Unit exchange</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A Common shares issued - Class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453,460</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 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19,848</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88,836,328</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56,466,013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59,135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59,168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118,317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59,607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177,924</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220"/>
        <w:spacing w:after="0" w:line="253" w:lineRule="auto"/>
        <w:rPr>
          <w:sz w:val="20"/>
          <w:szCs w:val="20"/>
          <w:color w:val="auto"/>
        </w:rPr>
      </w:pPr>
      <w:r>
        <w:rPr>
          <w:rFonts w:ascii="Times New Roman" w:cs="Times New Roman" w:eastAsia="Times New Roman" w:hAnsi="Times New Roman"/>
          <w:sz w:val="14"/>
          <w:szCs w:val="14"/>
          <w:b w:val="1"/>
          <w:bCs w:val="1"/>
          <w:color w:val="auto"/>
        </w:rPr>
        <w:t>As of December 31, 2020</w:t>
      </w:r>
    </w:p>
    <w:p>
      <w:pPr>
        <w:ind w:left="140" w:right="400"/>
        <w:spacing w:after="0" w:line="251" w:lineRule="auto"/>
        <w:rPr>
          <w:sz w:val="20"/>
          <w:szCs w:val="20"/>
          <w:color w:val="auto"/>
        </w:rPr>
      </w:pPr>
      <w:r>
        <w:rPr>
          <w:rFonts w:ascii="Times New Roman" w:cs="Times New Roman" w:eastAsia="Times New Roman" w:hAnsi="Times New Roman"/>
          <w:sz w:val="14"/>
          <w:szCs w:val="14"/>
          <w:color w:val="auto"/>
        </w:rPr>
        <w:t>Distributions to members</w:t>
      </w:r>
    </w:p>
    <w:p>
      <w:pPr>
        <w:spacing w:after="0" w:line="1" w:lineRule="exact"/>
        <w:rPr>
          <w:sz w:val="20"/>
          <w:szCs w:val="20"/>
          <w:color w:val="auto"/>
        </w:rPr>
      </w:pPr>
    </w:p>
    <w:p>
      <w:pPr>
        <w:ind w:left="140"/>
        <w:spacing w:after="0" w:line="251" w:lineRule="auto"/>
        <w:rPr>
          <w:sz w:val="20"/>
          <w:szCs w:val="20"/>
          <w:color w:val="auto"/>
        </w:rPr>
      </w:pPr>
      <w:r>
        <w:rPr>
          <w:rFonts w:ascii="Times New Roman" w:cs="Times New Roman" w:eastAsia="Times New Roman" w:hAnsi="Times New Roman"/>
          <w:sz w:val="14"/>
          <w:szCs w:val="14"/>
          <w:color w:val="auto"/>
        </w:rPr>
        <w:t>Repurchase of Class B Units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2021</w:t>
      </w:r>
    </w:p>
    <w:p>
      <w:pPr>
        <w:spacing w:after="0" w:line="44" w:lineRule="exact"/>
        <w:rPr>
          <w:sz w:val="20"/>
          <w:szCs w:val="20"/>
          <w:color w:val="auto"/>
        </w:rPr>
      </w:pPr>
    </w:p>
    <w:p>
      <w:pPr>
        <w:ind w:left="140" w:right="500"/>
        <w:spacing w:after="0" w:line="251" w:lineRule="auto"/>
        <w:rPr>
          <w:sz w:val="20"/>
          <w:szCs w:val="20"/>
          <w:color w:val="auto"/>
        </w:rPr>
      </w:pPr>
      <w:r>
        <w:rPr>
          <w:rFonts w:ascii="Times New Roman" w:cs="Times New Roman" w:eastAsia="Times New Roman" w:hAnsi="Times New Roman"/>
          <w:sz w:val="14"/>
          <w:szCs w:val="14"/>
          <w:color w:val="auto"/>
        </w:rPr>
        <w:t>Share-based compensation</w:t>
      </w:r>
    </w:p>
    <w:p>
      <w:pPr>
        <w:spacing w:after="0" w:line="1" w:lineRule="exact"/>
        <w:rPr>
          <w:sz w:val="20"/>
          <w:szCs w:val="20"/>
          <w:color w:val="auto"/>
        </w:rPr>
      </w:pPr>
    </w:p>
    <w:p>
      <w:pPr>
        <w:ind w:left="140" w:right="400"/>
        <w:spacing w:after="0" w:line="251" w:lineRule="auto"/>
        <w:rPr>
          <w:sz w:val="20"/>
          <w:szCs w:val="20"/>
          <w:color w:val="auto"/>
        </w:rPr>
      </w:pPr>
      <w:r>
        <w:rPr>
          <w:rFonts w:ascii="Times New Roman" w:cs="Times New Roman" w:eastAsia="Times New Roman" w:hAnsi="Times New Roman"/>
          <w:sz w:val="14"/>
          <w:szCs w:val="14"/>
          <w:color w:val="auto"/>
        </w:rPr>
        <w:t>Distributions to members</w:t>
      </w:r>
    </w:p>
    <w:p>
      <w:pPr>
        <w:spacing w:after="0" w:line="1" w:lineRule="exact"/>
        <w:rPr>
          <w:sz w:val="20"/>
          <w:szCs w:val="20"/>
          <w:color w:val="auto"/>
        </w:rPr>
      </w:pPr>
    </w:p>
    <w:p>
      <w:pPr>
        <w:ind w:left="140"/>
        <w:spacing w:after="0" w:line="251" w:lineRule="auto"/>
        <w:rPr>
          <w:sz w:val="20"/>
          <w:szCs w:val="20"/>
          <w:color w:val="auto"/>
        </w:rPr>
      </w:pPr>
      <w:r>
        <w:rPr>
          <w:rFonts w:ascii="Times New Roman" w:cs="Times New Roman" w:eastAsia="Times New Roman" w:hAnsi="Times New Roman"/>
          <w:sz w:val="14"/>
          <w:szCs w:val="14"/>
          <w:color w:val="auto"/>
        </w:rPr>
        <w:t>Repurchase of Class B Units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and shares</w:t>
      </w:r>
    </w:p>
    <w:p>
      <w:pPr>
        <w:spacing w:after="0" w:line="4" w:lineRule="exact"/>
        <w:rPr>
          <w:sz w:val="20"/>
          <w:szCs w:val="20"/>
          <w:color w:val="auto"/>
        </w:rPr>
      </w:pPr>
    </w:p>
    <w:p>
      <w:pPr>
        <w:jc w:val="both"/>
        <w:ind w:left="140" w:right="40"/>
        <w:spacing w:after="0" w:line="229" w:lineRule="auto"/>
        <w:rPr>
          <w:sz w:val="20"/>
          <w:szCs w:val="20"/>
          <w:color w:val="auto"/>
        </w:rPr>
      </w:pPr>
      <w:r>
        <w:rPr>
          <w:rFonts w:ascii="Times New Roman" w:cs="Times New Roman" w:eastAsia="Times New Roman" w:hAnsi="Times New Roman"/>
          <w:sz w:val="14"/>
          <w:szCs w:val="14"/>
          <w:color w:val="auto"/>
        </w:rPr>
        <w:t>issued in the Business Combination (Note 6)</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9"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6189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40" w:type="dxa"/>
            <w:vAlign w:val="bottom"/>
          </w:tcPr>
          <w:p>
            <w:pPr>
              <w:spacing w:after="0"/>
              <w:rPr>
                <w:sz w:val="12"/>
                <w:szCs w:val="12"/>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2"/>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0" w:type="dxa"/>
            <w:vAlign w:val="bottom"/>
          </w:tcPr>
          <w:p>
            <w:pPr>
              <w:spacing w:after="0"/>
              <w:rPr>
                <w:sz w:val="1"/>
                <w:szCs w:val="1"/>
                <w:color w:val="auto"/>
              </w:rPr>
            </w:pPr>
          </w:p>
        </w:tc>
      </w:tr>
      <w:tr>
        <w:trPr>
          <w:trHeight w:val="32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19,433</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0" w:type="dxa"/>
            <w:vAlign w:val="bottom"/>
          </w:tcPr>
          <w:p>
            <w:pPr>
              <w:spacing w:after="0"/>
              <w:rPr>
                <w:sz w:val="1"/>
                <w:szCs w:val="1"/>
                <w:color w:val="auto"/>
              </w:rPr>
            </w:pPr>
          </w:p>
        </w:tc>
      </w:tr>
      <w:tr>
        <w:trPr>
          <w:trHeight w:val="48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(85,312)</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16,837</w:t>
            </w: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9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(20,212)</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(20,765)</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(35,715)</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-2159635</wp:posOffset>
            </wp:positionV>
            <wp:extent cx="713232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-1731010</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-1388110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-1036320</wp:posOffset>
            </wp:positionV>
            <wp:extent cx="71323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-607695</wp:posOffset>
            </wp:positionV>
            <wp:extent cx="71323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-170815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60"/>
            <w:col w:w="9740"/>
          </w:cols>
          <w:pgMar w:left="320" w:top="229"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(37,791)</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loss on right-of-use asset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19,433</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16,539</w:t>
            </w:r>
          </w:p>
        </w:tc>
      </w:tr>
      <w:tr>
        <w:trPr>
          <w:trHeight w:val="253"/>
        </w:trPr>
        <w:tc>
          <w:tcPr>
            <w:tcW w:w="79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8"/>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acquisition holdback release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199"/>
        </w:trPr>
        <w:tc>
          <w:tcPr>
            <w:tcW w:w="7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8"/>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the Business Combination</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80,284</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note payable</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Distributions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Class B Units</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Repayments of insurance premium financing</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-4319905</wp:posOffset>
            </wp:positionV>
            <wp:extent cx="59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 beginning of period</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 end of period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02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(20,173)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71,743</w:t>
            </w:r>
          </w:p>
        </w:tc>
      </w:tr>
      <w:tr>
        <w:trPr>
          <w:trHeight w:val="219"/>
        </w:trPr>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67,777</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19,919</w:t>
            </w:r>
          </w:p>
        </w:tc>
      </w:tr>
      <w:tr>
        <w:trPr>
          <w:trHeight w:val="210"/>
        </w:trPr>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47,604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91,662</w:t>
            </w:r>
          </w:p>
        </w:tc>
      </w:tr>
      <w:tr>
        <w:trPr>
          <w:trHeight w:val="23"/>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-453390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-179705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229" w:right="339"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equity for acquisitions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28,725</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premium financing</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11,092</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capitalized for software development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 assumed in connection with acquisition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Holdback liability recognized in connection with acquisition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assets included in accounts payable and accrued expenses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Warranty liability assumed from the Business Combination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193,978</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liability recognized in connection with the Business Combination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126,150</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 recognized in connection with the Business Combination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147,973</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assumed from the Business Combination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-1508125</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Organization</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WM Technology, Inc. (the “Company”) is one of the oldest and largest marketplace and technology solutions providers exclusively servicing the cannabis industry, primarily consumers, retailers, delivery services and brands in the United States state-legal and Canadian cannabis markets. The Company’s business primarily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the Company’s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WM Connectors (integrations and API platform), as well as access to its WM Exchange products, where available. The Company charges a monthly fee to clients for access to its WM Business subscription package and then offers other add-on products for additional fees, including its featured listings and its Sprout (client relationship management), Cannveya (delivery and logistics software) and Enlighten (software, digital signage services and multi-media offerings)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2021, filed with the SEC on February 25, 2022. The condensed financial statements of the Company include all adjustments of a normal recurring nature which, in the opinion of management, are necessary for a fair statement of the Company’s financial position as of June 30, 2022, and results of its operations and its cash flows for the interim periods presented. The results of operations for the three and six months ended June 30, 2022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63" w:lineRule="exact"/>
        <w:rPr>
          <w:sz w:val="20"/>
          <w:szCs w:val="20"/>
          <w:color w:val="auto"/>
        </w:rPr>
      </w:pPr>
    </w:p>
    <w:p>
      <w:pPr>
        <w:ind w:left="1300" w:right="20" w:hanging="320"/>
        <w:spacing w:after="0" w:line="281"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Thus, the financial statements included in this quarterly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the majority of U.S. states permit medical cannabis, and several permit adult use.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5"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receivable is recorded at the invoiced amount and does not bear interest.</w:t>
      </w:r>
    </w:p>
    <w:p>
      <w:pPr>
        <w:spacing w:after="0" w:line="115"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 Credit Losses</w:t>
      </w:r>
      <w:r>
        <w:rPr>
          <w:rFonts w:ascii="Times New Roman" w:cs="Times New Roman" w:eastAsia="Times New Roman" w:hAnsi="Times New Roman"/>
          <w:sz w:val="18"/>
          <w:szCs w:val="18"/>
          <w:color w:val="auto"/>
        </w:rPr>
        <w:t>, which is based on the expected losses rather than incurred losses. Under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loss model, lifetime expected credit losses are measured and recognized at each reporting date based on historical, current and forecast information.</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recorded a provision for doubtful accounts of $8.0 million and $5.2 million as of June 30, 2022 and December 31, 2021,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doubtful accounts: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675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5,169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6"/>
              </w:rPr>
              <w:t>914</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 to allowance</w:t>
            </w:r>
          </w:p>
        </w:tc>
        <w:tc>
          <w:tcPr>
            <w:tcW w:w="260" w:type="dxa"/>
            <w:vAlign w:val="bottom"/>
          </w:tcPr>
          <w:p>
            <w:pPr>
              <w:spacing w:after="0"/>
              <w:rPr>
                <w:sz w:val="19"/>
                <w:szCs w:val="19"/>
                <w:color w:val="auto"/>
              </w:rPr>
            </w:pPr>
          </w:p>
        </w:tc>
        <w:tc>
          <w:tcPr>
            <w:tcW w:w="1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6"/>
              </w:rPr>
              <w:t>545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4,691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660</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(1,203)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7"/>
              </w:rPr>
              <w:t>(501)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(1,889)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(855)</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6"/>
              </w:rPr>
              <w:t>719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8"/>
              </w:rPr>
              <w:t>7,971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6"/>
              </w:rPr>
              <w:t>719</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June 30, 2022 and December 31, 2021, the carrying value of the Company’s investments in equity securities without a readily determinable fair value was $6.5 million, which is recorded within Other assets on the Company’s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if any, equals to the excess of the asset’s carrying value over its fair value is recognized.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classifies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if any, equals to the excess of the ROU asset’s carrying value over its fair value is recognized.</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net lease costs for the three and six months ended June 30, 2022 were $2.3 million and $4.8 million, respectively. Total lease costs for the three and six months ended June 30, 2021 were $3.1 million and $6.0 million, respectively.</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and six months ended June 30, 2022, the Company recorded contra rent expense of $0.4 million and $0.8 million, respectively.</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an impairment charge of $0.6 million and an impairment charge of $2.4 million for the three and six months ended and June 30, 2021 related to certain ROU assets reducing the carrying values of the lease assets to their estimated fair values. The fair values were estimated using an income approach based on management’s forecast of future cash flows expected to be derived based on the sublease market rent. The impairment charges are included in general and administrative expenses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June 30, 2022,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8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For clients that pay in advance for listing and other services, the Company records deferred revenue and recognizes revenue over the applicable subscription term.</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offers WM Business subscriptions, which include access to the Weedmaps marketplace and certain SaaS solutions. As add-ons for additional fees, the Company offers other products, including featured listings, placements, promoted deals, nearby listings, other display advertising, client relationship management, digital menu, and delivery and logistics services. The Company’s WM Business subscriptions generally have one-month terms that automatically renew unless notice of cancellation is provided in advance.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major source: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680" w:type="dxa"/>
            <w:vAlign w:val="bottom"/>
          </w:tcPr>
          <w:p>
            <w:pPr>
              <w:spacing w:after="0"/>
              <w:rPr>
                <w:sz w:val="23"/>
                <w:szCs w:val="23"/>
                <w:color w:val="auto"/>
              </w:rPr>
            </w:pPr>
          </w:p>
        </w:tc>
        <w:tc>
          <w:tcPr>
            <w:tcW w:w="33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3"/>
                <w:szCs w:val="23"/>
                <w:color w:val="auto"/>
              </w:rPr>
            </w:pPr>
          </w:p>
        </w:tc>
        <w:tc>
          <w:tcPr>
            <w:tcW w:w="29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WM Business subscriptions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Featured listings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48,609</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Ad and SaaS solutions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19,218</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as of December 31, 2021 of $8.1 million was fully recognized in the first quarter of fiscal year 2022, and the deferred revenue balance as of June 30, 2022 of $7.5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revenues during the periods presented were recognized over time, as opposed to at a point in time. Substantially all of the revenue has been generated in the United States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inventory costs related to multi-media offerings.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Costs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Product development costs include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$5.4 million and $4.8 million for the three months ended June 30, 2022 and 2021, respectively, and $10.3 million and $7.8 million for the six months ended June 30, 2022 and 2021, respectively, and are included in sales and marketing expense in the accompanying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recorded an income tax benefit of $1.3 million and $3.1 million, respectively, and for the three and six months ended June 30, 2021 an income tax benefit of $0.4 million and $0.2 million was recorded. The income tax benefit for the three and six months quarter of 2022 was the result of the tax benefit of the Company’s pro rata share of losses and tax credits flowing through from WM Holding LLC. The tax benefit related to U.S. federal and state tax benefits from certain Business Combination-related expenses offset, in part, by income taxes recorded during the period ended March 31, 2021 as a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stock-based compensation and state taxes.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Company acquired additional interest in WM Holding Company LLC (“LLC Interests”) in connection with the exchange of LLC Interests, and activity relating to its stock compensation plan. The Company recognized a deferred tax asset in the amount of $28.1 million associated with the basis difference in its investment in WM Holding Company LLC upon acquisition of these LLC Interests, some of which are related to the additional tax basis increases generated from expected future payments under the Tax Receivable Agreement (“TRA”), some of which are partially offset by the TRA liability amount of $14.2 million, and these amounts were recorded through equity.</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and its subsidiaries operate in one business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 See Note 12 for additional information on dilutive securities.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ASU 2021-08, Business Combinations (Topic 805): Accounting for Contract Assets and Contract Liabilities from Contracts with Customers (“ASU 2021-08”). The amendments in ASU 2021-08 require that an entity recognize and measure contract assets and contract liabilities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financial statements were prepared in accordance with generally accepted accounting principles). For public business entities, the amendments in ASU 2021-08 are effective for fiscal years beginning after December 15, 2022, including interim periods within those fiscal years. Early adoption of ASU 2021-08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adopted this new guidance as of January 1, 2022. The adoption did not have a material impact on the Company’s condensed consolidated financial statements.</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indicates the fair value hierarchy of the valuation inputs the Company utilized to determine such fair value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27,460</w:t>
            </w:r>
          </w:p>
        </w:tc>
      </w:tr>
      <w:tr>
        <w:trPr>
          <w:trHeight w:val="21"/>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-624840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-624840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2022</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4"/>
                <w:szCs w:val="14"/>
                <w:color w:val="auto"/>
              </w:rPr>
            </w:pPr>
          </w:p>
        </w:tc>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0" w:type="dxa"/>
            <w:vAlign w:val="bottom"/>
          </w:tcPr>
          <w:p>
            <w:pPr>
              <w:spacing w:after="0"/>
              <w:rPr>
                <w:sz w:val="1"/>
                <w:szCs w:val="1"/>
                <w:color w:val="auto"/>
              </w:rPr>
            </w:pPr>
          </w:p>
        </w:tc>
      </w:tr>
      <w:tr>
        <w:trPr>
          <w:trHeight w:val="22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45,679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27,460</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(14,015)</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13,445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-488315</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-488315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7"/>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2021</w:t>
            </w: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Private Warrants</w:t>
            </w:r>
          </w:p>
        </w:tc>
        <w:tc>
          <w:tcPr>
            <w:tcW w:w="220" w:type="dxa"/>
            <w:vAlign w:val="bottom"/>
          </w:tcPr>
          <w:p>
            <w:pPr>
              <w:spacing w:after="0"/>
              <w:rPr>
                <w:sz w:val="14"/>
                <w:szCs w:val="14"/>
                <w:color w:val="auto"/>
              </w:rPr>
            </w:pPr>
          </w:p>
        </w:tc>
        <w:tc>
          <w:tcPr>
            <w:tcW w:w="12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acquired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156,187</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-633730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-633730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$8.1 million and $16.8 million as of June 30, 2022 and December 31, 2021, respectively.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76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7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Private Placement Warrants was $5.3 million and $10.7 million as of June 30, 2022 and December 31, 2021, respectively.</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Warrants were accounted for as liabilities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previously discussed in Note 1, on June 16, 2021, the Company consummated the Business Combination pursuant to the Merger Agreement.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8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Eyechronic</w:t>
      </w:r>
    </w:p>
    <w:p>
      <w:pPr>
        <w:spacing w:after="0" w:line="24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2022, the Company acquired all the equity interests of Eyechronic LLC (“Eyechronic”) d/b/a Enlighten,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acquired assets and liabilities of Eyechronic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9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Share consideration </w:t>
            </w:r>
            <w:r>
              <w:rPr>
                <w:rFonts w:ascii="Times New Roman" w:cs="Times New Roman" w:eastAsia="Times New Roman" w:hAnsi="Times New Roman"/>
                <w:sz w:val="23"/>
                <w:szCs w:val="23"/>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28,725</w:t>
            </w: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0"/>
          <w:szCs w:val="20"/>
          <w:color w:val="auto"/>
        </w:rPr>
      </w:pPr>
    </w:p>
    <w:p>
      <w:pPr>
        <w:ind w:left="340" w:right="20" w:hanging="251"/>
        <w:spacing w:after="0" w:line="234"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$0.2 million settlement of pre-existing accounts payable with seller and holdback of $0.1 million recorded within other current liabilities on the Company’s condensed consolidated balance sheets.</w:t>
      </w:r>
    </w:p>
    <w:p>
      <w:pPr>
        <w:spacing w:after="0" w:line="1" w:lineRule="exact"/>
        <w:rPr>
          <w:rFonts w:ascii="Times New Roman" w:cs="Times New Roman" w:eastAsia="Times New Roman" w:hAnsi="Times New Roman"/>
          <w:sz w:val="18"/>
          <w:szCs w:val="18"/>
          <w:color w:val="auto"/>
        </w:rPr>
      </w:pPr>
    </w:p>
    <w:p>
      <w:pPr>
        <w:ind w:left="340" w:hanging="251"/>
        <w:spacing w:after="0" w:line="233"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 and Liabilities Assumed: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Order Backlog</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30,008</w:t>
            </w:r>
          </w:p>
        </w:tc>
      </w:tr>
      <w:tr>
        <w:trPr>
          <w:trHeight w:val="237"/>
        </w:trPr>
        <w:tc>
          <w:tcPr>
            <w:tcW w:w="9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6"/>
        </w:trPr>
        <w:tc>
          <w:tcPr>
            <w:tcW w:w="98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29,422</w:t>
            </w:r>
          </w:p>
        </w:tc>
      </w:tr>
      <w:tr>
        <w:trPr>
          <w:trHeight w:val="21"/>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incurred transaction expenses associated with the Eyechronic acquisition of $0.1 million, which is included in general and administrative expenses in the condensed consolidated statements of operations.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condensed consolidated statements of operations for the three and six months ended June 30,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Sprout</w:t>
      </w:r>
    </w:p>
    <w:p>
      <w:pPr>
        <w:spacing w:after="0" w:line="106"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 xml:space="preserve">On September 3, 2021, the Company acquired certain assets and liabilities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 and Liabilities Assumed: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0" w:type="dxa"/>
            <w:vAlign w:val="bottom"/>
          </w:tcPr>
          <w:p>
            <w:pPr>
              <w:spacing w:after="0"/>
              <w:rPr>
                <w:sz w:val="1"/>
                <w:szCs w:val="1"/>
                <w:color w:val="auto"/>
              </w:rPr>
            </w:pPr>
          </w:p>
        </w:tc>
      </w:tr>
      <w:tr>
        <w:trPr>
          <w:trHeight w:val="237"/>
        </w:trPr>
        <w:tc>
          <w:tcPr>
            <w:tcW w:w="9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6" w:lineRule="exact"/>
        <w:rPr>
          <w:sz w:val="20"/>
          <w:szCs w:val="20"/>
          <w:color w:val="auto"/>
        </w:rPr>
      </w:pPr>
    </w:p>
    <w:p>
      <w:pPr>
        <w:ind w:left="340" w:hanging="332"/>
        <w:spacing w:after="0" w:line="243"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issued in connection with the Spout acquisition was calculated based on 1,244,258 shares of Class A common stock issued multiplied by the share price on the closing date of $15.42.</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 Logistics Holding</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3"/>
                <w:szCs w:val="23"/>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acquired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holdback of $1.0 million, which was paid during the second quarter of 2022.</w:t>
      </w:r>
    </w:p>
    <w:p>
      <w:pPr>
        <w:ind w:left="980" w:hanging="324"/>
        <w:spacing w:after="0" w:line="243" w:lineRule="auto"/>
        <w:tabs>
          <w:tab w:leader="none" w:pos="9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 consideration issued in connection with the TLH acquisition was calculated based on 694,540 shares of Class A common stock issued multiplied by the share price on the closing date of $14.58.</w:t>
      </w:r>
    </w:p>
    <w:p>
      <w:pPr>
        <w:spacing w:after="0" w:line="33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combining operations. Goodwill recognized was allocated to the Company’s one operating segment and is generally deductible for tax purposes.</w:t>
      </w:r>
    </w:p>
    <w:p>
      <w:pPr>
        <w:spacing w:after="0" w:line="10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89"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changes in goodwill for the six months ended June 30, 2022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of Eyechronic</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6"/>
            <w:vMerge w:val="restart"/>
          </w:tcPr>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2022 and December 31, 2021 (in thousands):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8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24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5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160" w:type="dxa"/>
            <w:vAlign w:val="bottom"/>
          </w:tcPr>
          <w:p>
            <w:pPr>
              <w:spacing w:after="0"/>
              <w:rPr>
                <w:sz w:val="15"/>
                <w:szCs w:val="15"/>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15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Period (Years)</w:t>
            </w:r>
          </w:p>
        </w:tc>
        <w:tc>
          <w:tcPr>
            <w:tcW w:w="28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domain names</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5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5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160" w:type="dxa"/>
            <w:vAlign w:val="bottom"/>
          </w:tcPr>
          <w:p>
            <w:pPr>
              <w:spacing w:after="0"/>
              <w:rPr>
                <w:sz w:val="15"/>
                <w:szCs w:val="15"/>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5"/>
                <w:szCs w:val="15"/>
                <w:color w:val="auto"/>
              </w:rPr>
            </w:pPr>
          </w:p>
        </w:tc>
        <w:tc>
          <w:tcPr>
            <w:tcW w:w="14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Intangible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5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5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30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9"/>
                <w:szCs w:val="19"/>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intangible assets was $0.8 million and $1.4 million during the three and six months ended June 30, 2022,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$0.2 million and $0.4 million for the three and six months ended June 30, 2021, respectively.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June 30, 2022 is as follows (in thousands):</w:t>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Remaining period in 2022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29"/>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34"/>
        </w:trPr>
        <w:tc>
          <w:tcPr>
            <w:tcW w:w="1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23"/>
        </w:trPr>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670"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as of June 30, 2022 and December 31, 2021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3"/>
        </w:trPr>
        <w:tc>
          <w:tcPr>
            <w:tcW w:w="7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23,155</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-633730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-633730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30, 2021, other accrued liabilities included short-term insurance premium financing of $4.5 million and $4.2 million, respectively.</w:t>
      </w:r>
    </w:p>
    <w:p>
      <w:pPr>
        <w:spacing w:after="0" w:line="158"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June 30, 2022, there were 12,499,973 Public Warrants outstanding and 7,000,000 Private Placement Warrants outstanding.</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are remeasured as of each balance sheet date, which resulted in non-cash gains of $32.2 million and $14.0 million in the condensed consolidated statements of operations for the three and six months ended June 30, 2022 and a non-cash gain of $37.8 million in the condensed consolidated statements of operations for the three and six months ended June 30, 2021.</w:t>
      </w:r>
    </w:p>
    <w:p>
      <w:pPr>
        <w:spacing w:after="0" w:line="179"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2022, there were no shares of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June 30, 2022, the noncontrolling interests owned 41.7%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6"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Class P Unit activity for the six months ended June 30, 2022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Class P Units,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25,660,529</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(27,891)</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(9,892,357)</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Class P Units, June 30, 2022</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15,740,281</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14,575,755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June 30, 2022, unrecognized stock-based compensation expense for non-vested Class P Units was $2.9 million, which is expected to be recognized over a weighted-average period of 1.7 years. For the three and six months ended June 30, 2022, the Company recorded stock-based compensation expense for the Class P Units of $0.6 million and $1.3 million, respectively. For the three and six months ended June 30, 2021, the Company recorded stock-based compensation expense for the Class P Units of $19.4 million, which represented the life-to-date expense on the Class P Units through June 30, 2021. Due to the Business Combination completed in the second quarter of 2021, certain limitations on exercisability related to the Class P Units were removed. The stock-based compensation during the 2021 period also included a one-time incremental expense of $4.1 million related to an award modification as a result of an advisory agreement entered into with a former executive.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June 30, 2022, 25,768,971 shares of Class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June 30, 2022, 11,662,673 shares of Class A Common Stock are available for future issuance.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six months ended June 30, 2022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5,829,881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5,976,006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9"/>
              </w:rPr>
              <w:t>(855,788)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w w:val="99"/>
              </w:rPr>
              <w:t>(705,915)</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10,244,184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unrecognized stock-based compensation expense for non-vested RSUs was $75.9 million, which is expected to be recognized over a weighted-average period of 3.0 years. For the three and six months ended June 30, 2022, the Company recorded stock-based compensation expense for the RSUs of $5.6 million and $10.6 million, respectively.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PRSU activity for the six months ended June 30, 2022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PRSUs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unrecognized stock-based compensation expense for non-vested PRSUs was $11.4 million, which is expected to be recognized over a weighted-average period of 1.5 years. For the three and six months ended June 30, 2022, the Company recorded stock-based compensation expense for the PRSUs of $1.9 million and $3.8 million,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1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r>
      <w:tr>
        <w:trPr>
          <w:trHeight w:val="223"/>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1"/>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-933450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-933450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8"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six months ended June 30, 2022 and June 30, 2021 (amounts in thousands, except for share and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20" w:type="dxa"/>
            <w:vAlign w:val="bottom"/>
          </w:tcPr>
          <w:p>
            <w:pPr>
              <w:spacing w:after="0"/>
              <w:rPr>
                <w:sz w:val="17"/>
                <w:szCs w:val="17"/>
                <w:color w:val="auto"/>
              </w:rPr>
            </w:pPr>
          </w:p>
        </w:tc>
        <w:tc>
          <w:tcPr>
            <w:tcW w:w="222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WMH prior to the Business Combination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0" w:type="dxa"/>
            <w:vAlign w:val="bottom"/>
          </w:tcPr>
          <w:p>
            <w:pPr>
              <w:spacing w:after="0"/>
              <w:rPr>
                <w:sz w:val="1"/>
                <w:szCs w:val="1"/>
                <w:color w:val="auto"/>
              </w:rPr>
            </w:pPr>
          </w:p>
        </w:tc>
      </w:tr>
      <w:tr>
        <w:trPr>
          <w:trHeight w:val="175"/>
        </w:trPr>
        <w:tc>
          <w:tcPr>
            <w:tcW w:w="6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 after the Business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Combination</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 Class A Common Stock - basic</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 and Private Placement Warrants, net of amounts attributable to noncontrolling</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156"/>
        </w:trPr>
        <w:tc>
          <w:tcPr>
            <w:tcW w:w="64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WM Technology, Inc. Class A Common Stock -</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0" w:type="dxa"/>
            <w:vAlign w:val="bottom"/>
          </w:tcPr>
          <w:p>
            <w:pPr>
              <w:spacing w:after="0"/>
              <w:rPr>
                <w:sz w:val="1"/>
                <w:szCs w:val="1"/>
                <w:color w:val="auto"/>
              </w:rPr>
            </w:pPr>
          </w:p>
        </w:tc>
      </w:tr>
      <w:tr>
        <w:trPr>
          <w:trHeight w:val="221"/>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basic</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86,425,352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4,877,681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2,731,502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2,731,502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diluted</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87,230,850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71,347,746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71,347,746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56,466,013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56,466,013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15,740,281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25,679,121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15,740,281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25,679,121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10,244,184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to a member of the board of directors.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$69,095. As of June 30, 2022, the security deposit for the sublease of approximately $0.1 million is included in other long-term liabilities on the accompanying condensed balance sheets. For the three and six months ended June 30, 2022, income on the sublease was approximately $0.1 million and this amount is netted with rent expense and included in general and administrative expenses on the accompanying condensed statements of operations.</w:t>
      </w:r>
    </w:p>
    <w:p>
      <w:pPr>
        <w:spacing w:after="0" w:line="183"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decrease costs and maintain a streamlined organization to support its business, the Company committed to a reduction in force that resulted in the termination of approximately 10% of the Company’s workforce on August 4, 2022. In connection with the reduction in force, the Company currently estimates it will incur between approximately $2 million and $3 million of costs, consisting primarily of cash severance costs, which the Company expects to recognize in the third quarter of 2022. The estimates of costs and expenses that the Company expects to incur in connection with the workforce reduction are subject to a number of assumptions and actual results may differ. The Company may also incur additional costs not currently contemplated due to events that may occur as a result of, or that are associated with, the workforce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primarily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WM Connectors (integrations and API platform), as well as access to our WM Exchange products, where available. We charge a monthly fee to clients for access to our WM Business subscription package and then offer other add-on products for additional fees, including our featured listings and our Sprout (customer relationship management), Cannveya (delivery and logistics software) and Enlighten (software, digital signage services and multi-media offerings) solutions. We sell our WM Business offering in the United States, currently offer some of our WM Business solutions in Canada (including a third party integration that enables our clients to accept payments from consumers, currently available only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patients and customers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grown the Weedmaps marketplace to become the premier destination for cannabis consumers to discover and browse information regarding cannabis and cannabis products with 17.4 million monthly active users (“MAUs”) as of June 30, 2022 on the demand side and 5,537 and 5,282 average monthly paying business clients during the three and six months ended June 30, 2022, respectively, on the supply-side of our marketplace, see “— Monthly Active Users” below for additional information regarding MAUs. These paying clients include retailers, brands and other client types (such as doctors). Further, these clients, who can choose to purchase multiple listings solutions for each business, had purchased over 9,400 listing pages as of June 30, 2022 (of the over 17,600 listing pages on the marketplace). The Weedmaps marketplace provides consumers with information regarding cannabis retailers and brands, as well as the strain, pricing, and other information regarding locally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available cannabis products, through our website and mobile apps, permitting product discovery and order-ahead for pickup or delivery by participating retailers.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and Public Company Costs</w:t>
      </w:r>
    </w:p>
    <w:p>
      <w:pPr>
        <w:spacing w:after="0" w:line="25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2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21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5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3"/>
                <w:szCs w:val="23"/>
                <w:color w:val="auto"/>
              </w:rPr>
            </w:pPr>
          </w:p>
        </w:tc>
        <w:tc>
          <w:tcPr>
            <w:tcW w:w="2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80" w:type="dxa"/>
            <w:vAlign w:val="bottom"/>
            <w:gridSpan w:val="8"/>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(dollars in thousands, except for revenue per paying client)</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58,294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115,746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19,848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33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w:t>
            </w:r>
          </w:p>
        </w:tc>
      </w:tr>
      <w:tr>
        <w:trPr>
          <w:trHeight w:val="3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w:t>
            </w:r>
          </w:p>
        </w:tc>
      </w:tr>
      <w:tr>
        <w:trPr>
          <w:trHeight w:val="33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37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5,537</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5,282</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37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MAUs (in thousands)</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r>
      <w:tr>
        <w:trPr>
          <w:trHeight w:val="3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7" w:lineRule="exact"/>
        <w:rPr>
          <w:sz w:val="20"/>
          <w:szCs w:val="20"/>
          <w:color w:val="auto"/>
        </w:rPr>
      </w:pPr>
    </w:p>
    <w:p>
      <w:pPr>
        <w:ind w:left="340" w:right="20" w:hanging="332"/>
        <w:spacing w:after="0" w:line="249"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information about how we calculate EBITDA and Adjusted EBITDA as well as limitations of its use and a reconciliation of EBITDA and Adjusted EBITDA to net income, see “—EBITDA and Adjusted EBITDA” below.</w:t>
      </w:r>
    </w:p>
    <w:p>
      <w:pPr>
        <w:ind w:left="340" w:right="20" w:hanging="332"/>
        <w:spacing w:after="0" w:line="228"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revenue per paying client is defined as the average monthly revenue for any particular period divided by the average monthly paying clients in the same respective period.</w:t>
      </w:r>
    </w:p>
    <w:p>
      <w:pPr>
        <w:spacing w:after="0" w:line="1" w:lineRule="exact"/>
        <w:rPr>
          <w:rFonts w:ascii="Times New Roman" w:cs="Times New Roman" w:eastAsia="Times New Roman" w:hAnsi="Times New Roman"/>
          <w:sz w:val="16"/>
          <w:szCs w:val="16"/>
          <w:color w:val="auto"/>
        </w:rPr>
      </w:pPr>
    </w:p>
    <w:p>
      <w:pPr>
        <w:ind w:left="340" w:hanging="332"/>
        <w:spacing w:after="0" w:line="237"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“—Monthly Active Users” below for additional information regarding MAUs.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offer WM Business subscriptions, which include access to the Weedmaps marketplace and certain SaaS solutions. As add-ons for additional fees, we offer other products, including featured listings, placements, promoted deals, nearby listings, other display advertising, customer relationship management, digital menus, and delivery and logistics services. Our WM Business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other services we record deferred revenue and recognize revenue over the applicable subscription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bonuses, transaction costs, legal settlements and other non-cash, unusual and/or infrequent costs in the case of Adjusted EBITDA. Below we have provided a reconciliation of net (loss) income (the most directly comparable GAAP financial measure) to EBITDA and from EBITDA to Adjusted EBITDA.</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40" w:lineRule="exact"/>
        <w:rPr>
          <w:sz w:val="20"/>
          <w:szCs w:val="20"/>
          <w:color w:val="auto"/>
        </w:rPr>
      </w:pPr>
    </w:p>
    <w:p>
      <w:pPr>
        <w:jc w:val="both"/>
        <w:ind w:left="820" w:hanging="326"/>
        <w:spacing w:after="0" w:line="250"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5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and our other GAAP results.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3"/>
                <w:szCs w:val="23"/>
                <w:color w:val="auto"/>
              </w:rPr>
            </w:pPr>
          </w:p>
        </w:tc>
        <w:tc>
          <w:tcPr>
            <w:tcW w:w="28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26,407</w:t>
            </w: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17,477</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 Per Paying Client</w:t>
      </w:r>
    </w:p>
    <w:p>
      <w:pPr>
        <w:spacing w:after="0" w:line="25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7"/>
                <w:szCs w:val="17"/>
                <w:color w:val="auto"/>
              </w:rPr>
            </w:pPr>
          </w:p>
        </w:tc>
        <w:tc>
          <w:tcPr>
            <w:tcW w:w="254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paying client</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Average monthly paying clients for the three months ended June 30, 2022 increased approximately 31% to 5,537 average monthly paying clients from 4,221 average monthly paying clients in the same period in 2021. Average monthly paying clients for the six months ended June 30, 2022 increased approximately 30% to 5,282 average monthly paying clients from 4,068 average monthly paying clients in the same period in 2021. The increase in average monthly paying clients in the three and six months ended June 30, 2022 as compared to the same periods in 2021 was primarily due to broad increases throughout our Featured Listing product, WM Business subscription offering and other ad solutions.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26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any given period, we calculate our monthly active users by determining the total number of unique users who opened our Weedmaps mobile app or gained access to our Weedmaps.com website during the final calendar month of the period. This number has been reported as Monthly Active Users (“MAUs”). This statistic includes users who gain access to the website through paid advertising channels. In the second quarter of 2022, our board of directors received an internal complaint regarding the calculation, definition, and reporting of our MAUs. In response, the board of directors formed a special committee (the “Special Committee”) of independent directors to conduct an internal investigation with the assistance of outside counsel. As a result of this internal investigation, we have determined to provide the following information.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we have previously disclosed, one of the ways in which we acquire users is through paid advertising. To an increasing degree over time, growth of our monthly active users, reported as MAUs, has been driven by the purchase of pop-under advertisements, which are marketing advertisements on third party websites that automatically present our platform on users’ screens in certain circumstances. Our internal data suggests that the vast majority of users who are directed to weedmaps.com via pop-under advertisements close the site without clicking on any links. Based on management’s review, users whose access to the website resulted from these pop-under advertisements represented approximately 65% of our MAUs as of June 30, 2022, and 54%, 50% and 54% of our MAUs as of March 31, 2022, December 31, 2021 and September 30, 2021, respectively.</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has utilized pop-under advertisements, and other digital marketing strategies, based on the belief that they have provided a cost-effective means of promoting awareness of the weedmaps.com website and Weedmaps mobile apps. However, we expect to shift our marketing spend in the coming months to rely less on the use of pop-under advertisements.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there are inherent limitations on the ability of online platforms to identify unique, rather than repeat, users across sessions. In particular, incognito browsing, usage across devices or mobile and internet platforms, blocking or deleting cookies and IP addresses or other similar methods employed by users limits our ability to identify unique users and, as a result, we believe it is likely that our MAUs may include a significant number of repeat underlying users.</w:t>
      </w:r>
    </w:p>
    <w:p>
      <w:pPr>
        <w:spacing w:after="0" w:line="7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Prior to and in the course of the internal investigation described above, we have continued to review user engagement metrics to determine which metrics may be most useful for investors in evaluating our evolving business and quarterly results of operations, and we intend to update investors on those efforts in connection with the results of operations for the quarter ending September 30, 2022.</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described above and currently under further review by the Special Committee is not expected to affect our financial results under GAAP or the reporting or disclosure of any currently disclosed non-GAAP financial metric.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9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40" w:type="dxa"/>
            <w:vAlign w:val="bottom"/>
          </w:tcPr>
          <w:p>
            <w:pPr>
              <w:spacing w:after="0"/>
              <w:rPr>
                <w:sz w:val="16"/>
                <w:szCs w:val="16"/>
                <w:color w:val="auto"/>
              </w:rPr>
            </w:pPr>
          </w:p>
        </w:tc>
      </w:tr>
      <w:tr>
        <w:trPr>
          <w:trHeight w:val="37"/>
        </w:trPr>
        <w:tc>
          <w:tcPr>
            <w:tcW w:w="8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MAUs (in thousands)</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information regarding risks associated with relying on certain metrics, including MAUs, see “Part II—Item 1A. Risk Factors”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98% in the first half of 2022.</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the effects of the coronavirus (COVID-19) pandemic and Russia’s initiation of military action against Ukraine. Increasing prices in the component materials for the goods or services of our clients may impact their ability to maintain or increase their spend with us and their ability to pay their invoices on time. Rapid and significant changes in commodity prices, such as fuel, may negatively affect our revenue if our clients are unable to mitigate inflationary increases through various customer pricing actions and cost reduction initiatives. This could also negatively impact our net dollar retention and collections on our accounts receivable.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Thirty-eight U.S. states, the District of Columbia, Puerto Rico, and several U.S. territories have legalized some form of whole-plant cannabis cultivation, sales, and use for certain medical purposes. Nineteen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software offerings to our brand clients, among other areas. We anticipate undertaking such investments in order to be positioned to capitalize on the rapidly expanding cannabis market.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2022, we acquired Eyechronic LLC (“Eyechronic”) d/b/a Enlighten, a Delaware limited liability company and a provider of software, digital signage services and multi-media offerings to dispensaries and brands. We are continuing to integrate Eyechronic and our other acquisitions and will continue to invest in them appropriately to scale during this fiscal year 2022.</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offer WM Business subscriptions, which include access to the Weedmaps marketplace and certain SaaS solutions. As add-ons for additional fees, we offer other products, including featured listings, placements, promoted deals, nearby listings, other display advertising, customer relationship management, digital menus, and delivery and logistics services. Our WM Business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other services we record deferred revenue and recognize revenue over the applicable subscription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Cost of revenues primarily consists of web hosting, internet service, credit card processing costs and inventory costs related to multi-media offerings.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3"/>
                <w:szCs w:val="23"/>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56"/>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w:t>
            </w:r>
          </w:p>
        </w:tc>
      </w:tr>
      <w:tr>
        <w:trPr>
          <w:trHeight w:val="230"/>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95,418</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820" w:type="dxa"/>
            <w:vAlign w:val="bottom"/>
          </w:tcPr>
          <w:p>
            <w:pPr>
              <w:spacing w:after="0"/>
              <w:rPr>
                <w:sz w:val="23"/>
                <w:szCs w:val="23"/>
                <w:color w:val="auto"/>
              </w:rPr>
            </w:pPr>
          </w:p>
        </w:tc>
        <w:tc>
          <w:tcPr>
            <w:tcW w:w="32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4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 income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
        </w:trPr>
        <w:tc>
          <w:tcPr>
            <w:tcW w:w="4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884"/>
        </w:trPr>
        <w:tc>
          <w:tcPr>
            <w:tcW w:w="580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2022 and 2021</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6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11,363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Total revenues increased by $11.4 million, or 24% for the three months ended June 30, 2022 compared to the same period in 2021. The increase was primarily driven by a 31% increase in average monthly paying clients. Our growth in average monthly paying clients primarily reflects growth in our featured listing product of $3.8 million, WM Business subscription offering of $0.9 million and other ad and SaaS solutions of $6.6 million, which includes revenues attributable to companies we acquired since the second quarter of 2021. For the three months ended June 30, 2022, featured listing product, WM Business subscription offering and other ad and SaaS solutions represented 51%, 20% and 29% of our total revenues,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3,858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1,950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was $3.9 million for the three months ended June 30, 2022 compared to $1.9 million for the same period in 2021. The increase was primarily related to an increase of $1.6 million attributable to inventory costs of certain advertising revenue as well as the cost of revenue attributable to a company we acquired in the third quarter of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22,123</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6,852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$6.9 million, or 45% for the three months ended June 30, 2022 compared to the same period in 2021. The increase was primarily due to increases in personnel-related costs of $4.9 million, branding and advertising costs of $1.0 million, outside services costs of $0.8 million, website advertising expense of $0.3 million as more advertising options become available in the cannabis industry, and travel and entertainment expense of $0.5 million, offset by a decrease in event expense of $1.0 million. The increase in personnel-related costs was attributable to increased headcount and a $0.8 million of bonus expense related to future bonus payouts in connection with prior acquisitions, offset by a decrease in stock-based compensation expense of $1.8 million due to additional stock-based compensation expense recognized in the 2021 period as a result of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13,263</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2,992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Product development expenses increased by $3.0 million, or 29% for the three months ended June 30, 2022 compared to the same period in 2021. This increase was primarily due to an increase in personnel-related costs of $7.0 million and an increase in outside services of $0.6 million, offset by capitalized software costs of $4.6 million. The increase in personnel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costs was primarily due to increases in salaries and wages of $4.8 million and an increase in bonus expense of $1.4 million.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29,610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$4.2 million, or 12% for the three months ended June 30, 2022 compared to the same period in 2021. This decrease was primarily due to decreases in personnel-related costs of $9.5 million and impairment of right-of-use assets of $1.8 million, offset by increases in insurance costs of $2.2 million for additional insurance coverage as a public company, software costs of $1.2 million, bad debt expense of $1.4 million and professional fees of $2.3 million. The decrease in personnel-related costs includes a decrease in stock-based compensation expense of $9.1 million as a result of the additional stock-based compensation expense recognized in the 2021 period as a result of the Business Combination.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2,458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1,470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and amortization expenses increased $1.5 million, or 149% for the three months ended June 30, 2022 compared to the same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increase was primarily due to increases in capitalized software amortization of $0.9 million and amortization of intangible assets of $0.3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(5,557)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490"/>
              <w:spacing w:after="0"/>
              <w:rPr>
                <w:sz w:val="20"/>
                <w:szCs w:val="20"/>
                <w:color w:val="auto"/>
              </w:rPr>
            </w:pPr>
            <w:r>
              <w:rPr>
                <w:rFonts w:ascii="Times New Roman" w:cs="Times New Roman" w:eastAsia="Times New Roman" w:hAnsi="Times New Roman"/>
                <w:sz w:val="18"/>
                <w:szCs w:val="18"/>
                <w:color w:val="auto"/>
              </w:rPr>
              <w:t>5,391</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31,722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by $0.2 million for the three months ended June 30, 2022 compared to the same period in 2021. The decrease in other income was primarily due to comparatively unfavorable changes in fair value of warrant liability of $5.6 million, offset by a decrease in other expense, net of $5.4 million primarily attributable to transaction costs of $5.5 million recognized in the 2021 period related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2022 and 2021</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7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115,746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27,661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Total revenues increased by $27.7 million, or 31%, for the six months ended June 30, 2022 compared to the same period in 2021. The increase was driven by a 30% increase in average monthly paying clients. Our growth in average monthly revenue per paying client and average monthly paying clients primarily reflects growth in our featured listing product of $11.5 million, WM Business subscription offering of $2.7 million and other ad and SaaS solutions of $13.4 million, which includes revenues attributable to companies we acquired since the second quarter of 2021. For the six months ended June 30, 2022, featured listing product, WM Business subscription offering and other ad and SaaS solutions represented 52%, 20% and 28% of our total revenues,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240" w:type="dxa"/>
            <w:vAlign w:val="bottom"/>
          </w:tcPr>
          <w:p>
            <w:pPr>
              <w:spacing w:after="0"/>
              <w:rPr>
                <w:sz w:val="24"/>
                <w:szCs w:val="24"/>
                <w:color w:val="auto"/>
              </w:rPr>
            </w:pPr>
          </w:p>
        </w:tc>
        <w:tc>
          <w:tcPr>
            <w:tcW w:w="27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23"/>
        </w:trPr>
        <w:tc>
          <w:tcPr>
            <w:tcW w:w="4240" w:type="dxa"/>
            <w:vAlign w:val="bottom"/>
          </w:tcPr>
          <w:p>
            <w:pPr>
              <w:spacing w:after="0"/>
              <w:rPr>
                <w:sz w:val="19"/>
                <w:szCs w:val="19"/>
                <w:color w:val="auto"/>
              </w:rPr>
            </w:pPr>
          </w:p>
        </w:tc>
        <w:tc>
          <w:tcPr>
            <w:tcW w:w="10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7,598</w:t>
            </w:r>
          </w:p>
        </w:tc>
        <w:tc>
          <w:tcPr>
            <w:tcW w:w="10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3,765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3,833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increased by $3.8 million, or 102%, for the six months ended June 30, 2022 compared to the same period in 2021. The increase was primarily related to an increase of $3.1 million attributable to inventory costs of certain advertising revenue as well as the cost of revenue attributable to a company we acquired in the third quarter of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5"/>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2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44,005</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24,388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19,617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$19.6 million, or 80%, for the six months ended June 30, 2022 compared to the same period in 2021. The increase was primarily due to increases in personnel-related costs of $13.8 million, outside services costs of $2.6 million, branding and advertising expense of $1.5 million and website advertising expense of $1.3 million. The increase in personnel-related costs was primarily due to increased headcount, including increases in salaries and wages of $8.6 million and bonus expense of $4.1 million, which includes $2.0 million of expense related to future bonus payouts in connection with prior acquisitions.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5"/>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44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26,353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18,139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8,214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development expenses increased by $8.2 million, or 45% for the six months ended June 30, 2022 compared to the same period in 2021. The increase was primarily due to increases in personnel-related costs of $14.9 million and outside services costs of $1.4 million, offset by an increase in capitalized software development costs of $8.3 million. The increase in personnel-related costs was primarily due to increases in salaries, wages and bonus of $11.9 million, due to increased headcount, and stock-based compensation costs of $1.9 million driven by the issuance of restricted stock units to our employees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half of 2021 and the first half of 2022. Bonus expense for the first half of 2022 includes $0.7 million of expense related to future bonus payouts in connection with prior acquisitions.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6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58,665</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11,529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66" w:lineRule="exact"/>
        <w:rPr>
          <w:sz w:val="20"/>
          <w:szCs w:val="20"/>
          <w:color w:val="auto"/>
        </w:rPr>
      </w:pPr>
    </w:p>
    <w:p>
      <w:pPr>
        <w:jc w:val="both"/>
        <w:ind w:firstLine="486"/>
        <w:spacing w:after="0" w:line="238" w:lineRule="auto"/>
        <w:rPr>
          <w:sz w:val="20"/>
          <w:szCs w:val="20"/>
          <w:color w:val="auto"/>
        </w:rPr>
      </w:pPr>
      <w:r>
        <w:rPr>
          <w:rFonts w:ascii="Times New Roman" w:cs="Times New Roman" w:eastAsia="Times New Roman" w:hAnsi="Times New Roman"/>
          <w:sz w:val="18"/>
          <w:szCs w:val="18"/>
          <w:color w:val="auto"/>
        </w:rPr>
        <w:t>General and administrative expenses increased by $11.5 million, or 24%, for the six months ended June 30, 2022 compared to the same period in 2021. This increase was primarily due to increases in salaries and wages of $2.7 million, insurance costs of $5.4 million as a result of additional insurance coverage as a public company, bad debt expense of $4.0 million due to higher reserves for past due balances, professional services of $3.5 million and software expense of $2.6 million. These increases were partially offset by a decrease in stock-based compensation expense of $4.8 million and a decrease in impairment loss on right-of-use assets of $1.8 million. The decrease in stock-based compensation expense was a result of additional stock-based compensation expense recognized in the 2021 period in connection with the Business Combination.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4540" w:type="dxa"/>
            <w:vAlign w:val="bottom"/>
          </w:tcPr>
          <w:p>
            <w:pPr>
              <w:spacing w:after="0"/>
              <w:rPr>
                <w:sz w:val="24"/>
                <w:szCs w:val="24"/>
                <w:color w:val="auto"/>
              </w:rPr>
            </w:pPr>
          </w:p>
        </w:tc>
        <w:tc>
          <w:tcPr>
            <w:tcW w:w="28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23"/>
        </w:trPr>
        <w:tc>
          <w:tcPr>
            <w:tcW w:w="4540" w:type="dxa"/>
            <w:vAlign w:val="bottom"/>
          </w:tcPr>
          <w:p>
            <w:pPr>
              <w:spacing w:after="0"/>
              <w:rPr>
                <w:sz w:val="19"/>
                <w:szCs w:val="19"/>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6,403</w:t>
            </w:r>
          </w:p>
        </w:tc>
        <w:tc>
          <w:tcPr>
            <w:tcW w:w="10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1,990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4,413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increased $4.4 million for the six months ended June 30, 2022 compared to the same period in 2021. The increase was primarily due to increases in capitalized software amortization of $2.6 million, fixed asset depreciation of $0.9 million and intangible asset amortization of $0.9 million. Capitalized software amortization included accelerated depreciation of $1.1 million related to discontinued product features of WM Retail in the first quarter of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 net</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2"/>
                <w:szCs w:val="22"/>
                <w:color w:val="auto"/>
              </w:rPr>
            </w:pPr>
          </w:p>
        </w:tc>
      </w:tr>
      <w:tr>
        <w:trPr>
          <w:trHeight w:val="223"/>
        </w:trPr>
        <w:tc>
          <w:tcPr>
            <w:tcW w:w="43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(23,776)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530"/>
              <w:spacing w:after="0"/>
              <w:rPr>
                <w:sz w:val="20"/>
                <w:szCs w:val="20"/>
                <w:color w:val="auto"/>
              </w:rPr>
            </w:pPr>
            <w:r>
              <w:rPr>
                <w:rFonts w:ascii="Times New Roman" w:cs="Times New Roman" w:eastAsia="Times New Roman" w:hAnsi="Times New Roman"/>
                <w:sz w:val="18"/>
                <w:szCs w:val="18"/>
                <w:color w:val="auto"/>
              </w:rPr>
              <w:t>4,861</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31,750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(18,915)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(expense) income, net decreased by $18.9 million for the six months ended June 30, 2022 compared to the same period in 2021. The decrease in other (expense) income, net was primarily due to comparatively unfavorable changes in fair value of warrant liability of $23.8 million, which was partially offset by a decrease in other expense, net of $4.9 million, primarily attributable to transaction costs of $5.5 million recognized in the 2021 period related to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9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5"/>
        </w:trPr>
        <w:tc>
          <w:tcPr>
            <w:tcW w:w="7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45,462</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61,134</w:t>
            </w:r>
          </w:p>
        </w:tc>
      </w:tr>
    </w:tbl>
    <w:p>
      <w:pPr>
        <w:spacing w:after="0" w:line="1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June 30, 2022, we had cash of $47.6 million. During the second quarter of 2021, we completed the Business Combination, resulting in proceeds of approximately $80.0 million. Our funds are being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8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56,040</w:t>
            </w:r>
          </w:p>
        </w:tc>
      </w:tr>
    </w:tbl>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impairment charges, stock-based compensation, provision for doubtful accounts, deferred taxes and the effect of changes in working capital.</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$3.8 million, which resulted from a net loss of $11.4 million, together with net cash outflows of $2.6 million from changes in operating assets and liabilities, and non-cash items of $10.2 million, consisting of depreciation and amortization of $6.4 million, fair value of warrant liability of $14.0 million, stock-based compensation of $15.6 million, deferred income taxes of $3.1 million, provision for doubtful accounts of $4.7 million and impairment loss on right-of-use asset of $0.6 million. Net cash outflows from changes in operating assets and liabilities were primarily due to an increase in accounts receivable of $13.6 million, partially offset by a decrease in prepaid expenses and other assets of $2.9 million and an increase in accounts payable and accrued expenses of $8.9 million. The changes in operating assets and liabilities are mostly due to fluctuations in timing of cash receipts and payments.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2021 was $16.5 million, which resulted from net income of approximately $24.6 million, together with net cash inflows of approximately $5.7 million from changes in operating assets and liabilities, and non-cash items of $13.7 million, consisting of depreciation and amortization of $2.0 million, fair value of warrant liability of $37.8 million, stock-based compensation of $19.4 million, impairment loss on right-of-use asset of $2.4 million, provision for doubtful accounts of $0.7 million and deferred income taxes of $0.4 million. The net cash</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inflows from changes in operating assets and liabilities were primarily due to a decrease in prepaid expenses and other current assets of $4.4 million, an increase in accounts payable and accrued expenses of $1.7 million, an increase in deferred revenue of $1.7 million. These changes were partially offset by an increase in accounts receivables of $2.1 million. The changes in operating assets and liabilities are mostly due to fluctuations in timing of cash receipts and payments.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was $10.3 million, which resulted from $8.6 million cash paid for purchases of property and equipment, including certain capitalized software development costs, net cash paid for acquisition of $0.7 million and cash paid for an acquisition holdback release of $1.0 million.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investing activities for the six months ended June 30, 2021 was $0.8 million for purchases of property and equipment.</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outflows from financing activities for the six months ended June 30, 2022 was $6.1 million, which primarily consists of repayments of insurance premium financing of $4.3 million and distributions of $1.8 million to the Unit holders other than the Company.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2021 was $56.0 million, which resulted from proceeds from the Business Combination of $80.3 million, distributions of $18.1 million, repurchase of Class B Units of $5.6 million and repayments of insurance premium financing of $0.4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the timing of satisfaction of such obligations either over time or at a point-in-time requires us to make significant judgement and estimates.</w:t>
      </w:r>
    </w:p>
    <w:p>
      <w:pPr>
        <w:spacing w:after="0" w:line="81"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Substantially all of our revenue is generated by providing standard listing subscription services and other paid listing subscriptions services, including featured listings, placements, promoted deals, nearby listings, other display advertising as well as customer relationship management and delivery and logistic services. These arrangements are recognized over-time, generally during a month-to-month subscription period as the products are provided.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WM Technology, Inc. is subject to U.S. federal income taxes, in addition to state and local income taxes with respect to its allocable share of any taxable income of WMH LLC following the Business Combination. The Company is also subject to taxes in foreign jurisdictions. Any taxable income or loss generated by WMH LLC is passed through to and included in the taxable income or loss of its members, including WM Technology, Inc. following the Business Combination, on a pro rata basis. WM Technology, Inc. is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June 30, 2022, total net deferred tax assets and TRA liability were $183.2 million and $142.7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and six months ended June 30, 2022, we recognized stock-based compensation expense of $8.1 million and $15.6 million, respectively, and for the three and six months ended June 30, 2021, we recognized stock-based compensation expense of $19.4 million. See Note 11 to our condensed consolidated financial statements included 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three and six months ended June 30, 2022, we capitalized $4.5 million and $8.6 million of costs related to the development of software applications,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herein.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June 30, 2022, 12,499,973 of the Public Warrants and all of the Private Placement Warrants remained outstanding . The warrants are measured at fair value under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June 30, 2022 and December 31, 2021, warranty liability was $13.4 million and $27.5 million, respectively. See Note 4 to our condensed consolidated financial statements included 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included herein.</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As of June 30, 2022, we did not have any cash equivalents.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than as set forth in the note above titled “</w:t>
      </w:r>
      <w:r>
        <w:rPr>
          <w:rFonts w:ascii="Times New Roman" w:cs="Times New Roman" w:eastAsia="Times New Roman" w:hAnsi="Times New Roman"/>
          <w:sz w:val="18"/>
          <w:szCs w:val="18"/>
          <w:i w:val="1"/>
          <w:iCs w:val="1"/>
          <w:color w:val="auto"/>
        </w:rPr>
        <w:t>Growth and Retention of Our Paying Clients</w:t>
      </w:r>
      <w:r>
        <w:rPr>
          <w:rFonts w:ascii="Times New Roman" w:cs="Times New Roman" w:eastAsia="Times New Roman" w:hAnsi="Times New Roman"/>
          <w:sz w:val="18"/>
          <w:szCs w:val="18"/>
          <w:color w:val="auto"/>
        </w:rPr>
        <w:t>”,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Under the supervision and with the participation of our management, including our Chief Executive Officer and Chief Financial Officer, we evaluated the effectiveness of our disclosure controls and procedures (as defined in Rules 13a-15(e) and 15d-15(e) under the Exchange Act) as of June 30, 2022. Based upon that evaluation, our Chief Executive Officer and Chief Financial Officer concluded that our disclosure controls and procedures were effective as of the end of the period covered by this report.</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execution of the material weakness remediation activities described below, there has been no change in our internal control over financial reporting (as defined in Rules 13a-15(f) and 15d-15(f) under the Exchange Act), during the three months ended June 30, 2022 that has materially affected, or is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Disclosed Material Weakness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previously identified and disclosed in our 2021 Annual Report, as well as in our Quarterly Report on Form 10-Q filed for the quarter ended March 31, 2022, a material weakness in our operation of controls over the classification and accounting for the private placement warrants and public warrants (collectively, the “warrants”), which were initially issued by Silver Spike Acquisition Corp in connection with its initial public offering and assumed by the Company in connection with the consummation of the Business Combination. As of June 30, 2022, Management has completed the implementation of our remediation efforts of the material weakness related to accounting for the warrants.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remediation efforts included demonstrating our ability to effectively operate our controls and enhancing our control design to require the formalized consideration of obtaining additional technical guidance in connection with evaluating significant or unusual transactions. These additional considerations include items such as obtaining additional accounting pronouncements or performing consultations with third party accounting specialists, authoritative bodies or regulators.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 and Contingencies—Litigation" in Note 3 of the notes to the condensed consolidated financial statements included in Part I, Item 1 of this Quarterly Report on Form 10-Q is incorporated by reference into this Item 1.</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 in our securities involves risk. An investor or potential investor should consider the risks summarized below and under the caption “Risk Factors” in Part I, Item 1A of our Annual Report on Form 10-K for the year ended December 31, 2021 (our “2021 Form 10-K”) and the risk factor discussed below when making investment decisions regarding our securities. Except for the risk factor discussed below, we do not believe that there have been any material changes to the risk factors disclosed our 2021 Form 10-K.</w:t>
      </w:r>
    </w:p>
    <w:p>
      <w:pPr>
        <w:spacing w:after="0" w:line="6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including MAUs,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20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205"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185"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the likelihood of decreased usage of pop-under advertisements, may significantly decrease our reported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202" w:lineRule="exact"/>
        <w:rPr>
          <w:sz w:val="20"/>
          <w:szCs w:val="20"/>
          <w:color w:val="auto"/>
        </w:rPr>
      </w:pPr>
    </w:p>
    <w:p>
      <w:pPr>
        <w:ind w:left="660" w:right="500" w:hanging="328"/>
        <w:spacing w:after="0" w:line="24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ind w:left="660" w:right="54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or may discontinue;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ind w:left="660" w:right="20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ind w:left="660" w:hanging="328"/>
        <w:spacing w:after="0" w:line="23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ind w:left="660" w:right="380" w:hanging="328"/>
        <w:spacing w:after="0" w:line="2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 w:lineRule="exact"/>
        <w:rPr>
          <w:rFonts w:ascii="Times New Roman" w:cs="Times New Roman" w:eastAsia="Times New Roman" w:hAnsi="Times New Roman"/>
          <w:sz w:val="18"/>
          <w:szCs w:val="18"/>
          <w:color w:val="auto"/>
        </w:rPr>
      </w:pPr>
    </w:p>
    <w:p>
      <w:pPr>
        <w:ind w:left="660" w:right="520" w:hanging="328"/>
        <w:spacing w:after="0" w:line="23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1" w:lineRule="exact"/>
        <w:rPr>
          <w:rFonts w:ascii="Times New Roman" w:cs="Times New Roman" w:eastAsia="Times New Roman" w:hAnsi="Times New Roman"/>
          <w:sz w:val="18"/>
          <w:szCs w:val="18"/>
          <w:color w:val="auto"/>
        </w:rPr>
      </w:pPr>
    </w:p>
    <w:p>
      <w:pPr>
        <w:ind w:left="660" w:right="22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1" w:lineRule="exact"/>
        <w:rPr>
          <w:rFonts w:ascii="Times New Roman" w:cs="Times New Roman" w:eastAsia="Times New Roman" w:hAnsi="Times New Roman"/>
          <w:sz w:val="18"/>
          <w:szCs w:val="18"/>
          <w:color w:val="auto"/>
        </w:rPr>
      </w:pPr>
    </w:p>
    <w:p>
      <w:pPr>
        <w:ind w:left="660" w:right="560" w:hanging="328"/>
        <w:spacing w:after="0" w:line="24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20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18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185" w:lineRule="exact"/>
        <w:rPr>
          <w:sz w:val="20"/>
          <w:szCs w:val="20"/>
          <w:color w:val="auto"/>
        </w:rPr>
      </w:pPr>
    </w:p>
    <w:p>
      <w:pPr>
        <w:jc w:val="both"/>
        <w:ind w:firstLine="486"/>
        <w:spacing w:after="0" w:line="229"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201"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Additionally, we have made acquisitions recently and may make additional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213" w:lineRule="exact"/>
        <w:rPr>
          <w:sz w:val="20"/>
          <w:szCs w:val="20"/>
          <w:color w:val="auto"/>
        </w:rPr>
      </w:pPr>
    </w:p>
    <w:p>
      <w:pPr>
        <w:jc w:val="both"/>
        <w:ind w:left="660" w:hanging="328"/>
        <w:spacing w:after="0" w:line="261" w:lineRule="auto"/>
        <w:tabs>
          <w:tab w:leader="none" w:pos="7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 the acquired business lose customers or contractual partners who no longer wish to do business with the acquired business once we acquire it;</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220"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95" w:lineRule="exact"/>
        <w:rPr>
          <w:sz w:val="20"/>
          <w:szCs w:val="20"/>
          <w:color w:val="auto"/>
        </w:rPr>
      </w:pPr>
    </w:p>
    <w:p>
      <w:pPr>
        <w:jc w:val="both"/>
        <w:ind w:right="2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our Class A Common Stock may be sold into the market in the near future. This could cause the market price of our Class A Common Stock to drop significantly, even if our business is doing well.</w:t>
      </w:r>
    </w:p>
    <w:p>
      <w:pPr>
        <w:spacing w:after="0" w:line="185" w:lineRule="exact"/>
        <w:rPr>
          <w:sz w:val="20"/>
          <w:szCs w:val="20"/>
          <w:color w:val="auto"/>
        </w:rPr>
      </w:pPr>
    </w:p>
    <w:p>
      <w:pPr>
        <w:jc w:val="both"/>
        <w:ind w:firstLine="486"/>
        <w:spacing w:after="0" w:line="23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199" w:lineRule="exact"/>
        <w:rPr>
          <w:sz w:val="20"/>
          <w:szCs w:val="20"/>
          <w:color w:val="auto"/>
        </w:rPr>
      </w:pPr>
    </w:p>
    <w:p>
      <w:pPr>
        <w:jc w:val="both"/>
        <w:ind w:firstLine="486"/>
        <w:spacing w:after="0" w:line="229" w:lineRule="auto"/>
        <w:rPr>
          <w:sz w:val="20"/>
          <w:szCs w:val="20"/>
          <w:color w:val="auto"/>
        </w:rPr>
      </w:pPr>
      <w:r>
        <w:rPr>
          <w:rFonts w:ascii="Times New Roman" w:cs="Times New Roman" w:eastAsia="Times New Roman" w:hAnsi="Times New Roman"/>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20"/>
          </w:cols>
          <w:pgMar w:left="320" w:top="229" w:right="359" w:bottom="1440" w:gutter="0" w:footer="0" w:header="0"/>
        </w:sectPr>
      </w:pP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8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3.2</w:t>
        </w:r>
      </w:hyperlink>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Certificate of Incorporation of the Company, dated June 15, 2021 (incorporated by reference to Exhibit 3.1 to the Current Report on Form</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8-K filed on June 21, 2021).</w:t>
        </w:r>
      </w:hyperlink>
    </w:p>
    <w:p>
      <w:pPr>
        <w:spacing w:after="0" w:line="266"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Amended and Restated Bylaws of the Company, dated June 16, 2021 (incorporated by reference to Exhibit 3.2 to the Current report on</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Form 8-K filed on June 21, 2021).</w:t>
        </w:r>
      </w:hyperlink>
    </w:p>
    <w:p>
      <w:pPr>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pursuant to Rules 13a-14(a) and 15d-14(a) under the Securities Exchange Act of 1934, as adopted pursuant to Section 302 of the Sarbanes-Oxley Act of 2002</w:t>
      </w: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Certifications of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900" w:space="320"/>
            <w:col w:w="10000"/>
          </w:cols>
          <w:pgMar w:left="320" w:top="229" w:right="3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agreement.</w:t>
      </w:r>
    </w:p>
    <w:p>
      <w:pPr>
        <w:spacing w:after="0" w:line="50" w:lineRule="exact"/>
        <w:rPr>
          <w:sz w:val="20"/>
          <w:szCs w:val="20"/>
          <w:color w:val="auto"/>
        </w:rPr>
      </w:pPr>
    </w:p>
    <w:p>
      <w:pPr>
        <w:jc w:val="both"/>
        <w:ind w:left="1220" w:hanging="226"/>
        <w:spacing w:after="0" w:line="245"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20" w:type="dxa"/>
            <w:vAlign w:val="bottom"/>
            <w:gridSpan w:val="3"/>
          </w:tcPr>
          <w:p>
            <w:pPr>
              <w:ind w:left="234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9, 2022</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Christopher Beals</w:t>
            </w:r>
          </w:p>
        </w:tc>
      </w:tr>
      <w:tr>
        <w:trPr>
          <w:trHeight w:val="218"/>
        </w:trPr>
        <w:tc>
          <w:tcPr>
            <w:tcW w:w="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Christopher Beals</w:t>
            </w:r>
          </w:p>
        </w:tc>
      </w:tr>
      <w:tr>
        <w:trPr>
          <w:trHeight w:val="228"/>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9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9, 2022</w:t>
            </w:r>
          </w:p>
        </w:tc>
        <w:tc>
          <w:tcPr>
            <w:tcW w:w="2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Arden Lee</w:t>
            </w:r>
          </w:p>
        </w:tc>
      </w:tr>
      <w:tr>
        <w:trPr>
          <w:trHeight w:val="218"/>
        </w:trPr>
        <w:tc>
          <w:tcPr>
            <w:tcW w:w="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Arden Lee</w:t>
            </w:r>
          </w:p>
        </w:tc>
      </w:tr>
      <w:tr>
        <w:trPr>
          <w:trHeight w:val="228"/>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2"/>
        </w:trPr>
        <w:tc>
          <w:tcPr>
            <w:tcW w:w="5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911"/>
        </w:trPr>
        <w:tc>
          <w:tcPr>
            <w:tcW w:w="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Beals, certify that: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sz w:val="20"/>
          <w:szCs w:val="20"/>
          <w:color w:val="auto"/>
        </w:rPr>
      </w:pPr>
    </w:p>
    <w:p>
      <w:pPr>
        <w:jc w:val="both"/>
        <w:ind w:left="340" w:hanging="332"/>
        <w:spacing w:after="0" w:line="266" w:lineRule="auto"/>
        <w:tabs>
          <w:tab w:leader="none" w:pos="3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340" w:hanging="332"/>
        <w:spacing w:after="0" w:line="282" w:lineRule="auto"/>
        <w:tabs>
          <w:tab w:leader="none" w:pos="4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tabs>
          <w:tab w:leader="none" w:pos="860" w:val="left"/>
          <w:tab w:leader="none" w:pos="6880" w:val="left"/>
          <w:tab w:leader="none" w:pos="7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Christopher Beals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13" w:right="339" w:bottom="164" w:gutter="0" w:footer="0" w:header="0"/>
        </w:sectPr>
      </w:pPr>
    </w:p>
    <w:p>
      <w:pPr>
        <w:spacing w:after="0" w:line="200" w:lineRule="exact"/>
        <w:rPr>
          <w:sz w:val="20"/>
          <w:szCs w:val="20"/>
          <w:color w:val="auto"/>
        </w:rPr>
      </w:pPr>
    </w:p>
    <w:p>
      <w:pPr>
        <w:spacing w:after="0" w:line="36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13" w:right="339" w:bottom="164" w:gutter="0" w:footer="0" w:header="0"/>
          <w:type w:val="continuous"/>
        </w:sectPr>
      </w:pPr>
    </w:p>
    <w:bookmarkStart w:id="56" w:name="page57"/>
    <w:bookmarkEnd w:id="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Arden Lee, certify that: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sz w:val="20"/>
          <w:szCs w:val="20"/>
          <w:color w:val="auto"/>
        </w:rPr>
      </w:pPr>
    </w:p>
    <w:p>
      <w:pPr>
        <w:jc w:val="both"/>
        <w:ind w:left="340" w:hanging="332"/>
        <w:spacing w:after="0" w:line="266" w:lineRule="auto"/>
        <w:tabs>
          <w:tab w:leader="none" w:pos="3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340" w:hanging="332"/>
        <w:spacing w:after="0" w:line="282" w:lineRule="auto"/>
        <w:tabs>
          <w:tab w:leader="none" w:pos="4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Arden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13" w:right="339" w:bottom="982" w:gutter="0" w:footer="0" w:header="0"/>
        </w:sectPr>
      </w:pPr>
    </w:p>
    <w:p>
      <w:pPr>
        <w:spacing w:after="0" w:line="200" w:lineRule="exact"/>
        <w:rPr>
          <w:sz w:val="20"/>
          <w:szCs w:val="20"/>
          <w:color w:val="auto"/>
        </w:rPr>
      </w:pPr>
    </w:p>
    <w:p>
      <w:pPr>
        <w:spacing w:after="0" w:line="3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1413" w:right="339" w:bottom="982" w:gutter="0" w:footer="0" w:header="0"/>
          <w:type w:val="continuous"/>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Christopher Beals, the Chief Executive Officer of WM Technology, Inc., certify, pursuant to 18 U.S.C. Section 1350, as adopted pursuant to Section 906 of the Sarbanes-Oxley Act of 2002, that the Quarterly Report on Form 10-Q of WM Technology, Inc. for the quarterly period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68580</wp:posOffset>
            </wp:positionV>
            <wp:extent cx="2331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Christopher Beals</w:t>
      </w:r>
    </w:p>
    <w:p>
      <w:pPr>
        <w:spacing w:after="0" w:line="10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0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Arden Lee, the Chief Financial Officer of WM Technology, Inc., certify, pursuant to 18 U.S.C. Section 1350, as adopted pursuant to Section 906 of the Sarbanes-Oxley Act of 2002, that the Quarterly Report on Form 10-Q of WM Technology, Inc. for the quarterly period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61" w:lineRule="exact"/>
        <w:rPr>
          <w:sz w:val="20"/>
          <w:szCs w:val="20"/>
          <w:color w:val="auto"/>
        </w:rPr>
      </w:pPr>
    </w:p>
    <w:p>
      <w:pPr>
        <w:ind w:left="60"/>
        <w:spacing w:after="0"/>
        <w:tabs>
          <w:tab w:leader="none" w:pos="820" w:val="left"/>
          <w:tab w:leader="none" w:pos="686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68580</wp:posOffset>
            </wp:positionV>
            <wp:extent cx="2348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Arden Lee</w:t>
      </w:r>
    </w:p>
    <w:p>
      <w:pPr>
        <w:spacing w:after="0" w:line="10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0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5"/>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1."/>
      <w:numFmt w:val="decimal"/>
      <w:start w:val="13"/>
    </w:lvl>
  </w:abstractNum>
  <w:abstractNum w:abstractNumId="16">
    <w:nsid w:val="721DA317"/>
    <w:multiLevelType w:val="hybridMultilevel"/>
    <w:lvl w:ilvl="0">
      <w:lvlJc w:val="left"/>
      <w:lvlText w:val="%1."/>
      <w:numFmt w:val="decimal"/>
      <w:start w:val="14"/>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2" Type="http://schemas.openxmlformats.org/officeDocument/2006/relationships/hyperlink" Target="https://www.sec.gov/Archives/edgar/data/0001779474/000114036121021785/brhc10025756_ex3-1.htm" TargetMode="External"/><Relationship Id="rId93" Type="http://schemas.openxmlformats.org/officeDocument/2006/relationships/hyperlink" Target="https://www.sec.gov/Archives/edgar/data/0001779474/000114036121021785/brhc1002575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2022-08-09T18:53:29Z</dcterms:created>
  <dcterms:modified xsi:type="dcterms:W3CDTF">2022-08-09T18:53:29Z</dcterms:modified>
</cp:coreProperties>
</file>