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Francis Douglas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WM TECHNOLOGY,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41 DISCOVERY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WM TECHNOLOGY,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MAPS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05/16/2025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72" w:lineRule="exact"/>
        <w:rPr>
          <w:sz w:val="24"/>
          <w:szCs w:val="24"/>
          <w:color w:val="auto"/>
        </w:rPr>
      </w:pPr>
    </w:p>
    <w:p>
      <w:pPr>
        <w:sectPr>
          <w:pgSz w:w="11900" w:h="16838" w:orient="portrait"/>
          <w:cols w:equalWidth="0" w:num="3">
            <w:col w:w="3200" w:space="720"/>
            <w:col w:w="3160" w:space="655"/>
            <w:col w:w="3345"/>
          </w:cols>
          <w:pgMar w:left="460" w:top="219" w:right="359" w:bottom="0" w:gutter="0" w:footer="0" w:header="0"/>
          <w:type w:val="continuous"/>
        </w:sectPr>
      </w:pPr>
    </w:p>
    <w:p>
      <w:pPr>
        <w:spacing w:after="0" w:line="17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92618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6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6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6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6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05/16/2025</w:t>
            </w: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155,897</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1.1078</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8,886,513</w:t>
            </w:r>
          </w:p>
        </w:tc>
        <w:tc>
          <w:tcPr>
            <w:tcW w:w="920" w:type="dxa"/>
            <w:vAlign w:val="bottom"/>
            <w:tcBorders>
              <w:bottom w:val="single" w:sz="8" w:color="2C2C2C"/>
            </w:tcBorders>
          </w:tcPr>
          <w:p>
            <w:pPr>
              <w:jc w:val="center"/>
              <w:ind w:right="5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V Common Stock</w:t>
            </w:r>
            <w:r>
              <w:rPr>
                <w:rFonts w:ascii="Times New Roman" w:cs="Times New Roman" w:eastAsia="Times New Roman" w:hAnsi="Times New Roman"/>
                <w:sz w:val="22"/>
                <w:szCs w:val="22"/>
                <w:color w:val="008000"/>
                <w:vertAlign w:val="superscript"/>
              </w:rPr>
              <w:t>(3)(4)</w:t>
            </w:r>
          </w:p>
        </w:tc>
        <w:tc>
          <w:tcPr>
            <w:tcW w:w="11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3,740,393</w:t>
            </w:r>
          </w:p>
        </w:tc>
        <w:tc>
          <w:tcPr>
            <w:tcW w:w="920" w:type="dxa"/>
            <w:vAlign w:val="bottom"/>
            <w:tcBorders>
              <w:bottom w:val="single" w:sz="8" w:color="2C2C2C"/>
            </w:tcBorders>
          </w:tcPr>
          <w:p>
            <w:pPr>
              <w:jc w:val="center"/>
              <w:ind w:right="5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V Common Stock</w:t>
            </w:r>
            <w:r>
              <w:rPr>
                <w:rFonts w:ascii="Times New Roman" w:cs="Times New Roman" w:eastAsia="Times New Roman" w:hAnsi="Times New Roman"/>
                <w:sz w:val="22"/>
                <w:szCs w:val="22"/>
                <w:color w:val="008000"/>
                <w:vertAlign w:val="superscript"/>
              </w:rPr>
              <w:t>(3)(4)</w:t>
            </w: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8,691,425</w:t>
            </w:r>
          </w:p>
        </w:tc>
        <w:tc>
          <w:tcPr>
            <w:tcW w:w="920" w:type="dxa"/>
            <w:vAlign w:val="bottom"/>
            <w:vMerge w:val="restart"/>
          </w:tcPr>
          <w:p>
            <w:pPr>
              <w:jc w:val="center"/>
              <w:ind w:right="51"/>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60" w:type="dxa"/>
            <w:vAlign w:val="bottom"/>
            <w:gridSpan w:val="4"/>
            <w:vMerge w:val="continue"/>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V Common Stock</w:t>
            </w:r>
            <w:r>
              <w:rPr>
                <w:rFonts w:ascii="Times New Roman" w:cs="Times New Roman" w:eastAsia="Times New Roman" w:hAnsi="Times New Roman"/>
                <w:sz w:val="22"/>
                <w:szCs w:val="22"/>
                <w:color w:val="008000"/>
                <w:vertAlign w:val="superscript"/>
              </w:rPr>
              <w:t>(3)(4)</w:t>
            </w: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8,469,191</w:t>
            </w:r>
          </w:p>
        </w:tc>
        <w:tc>
          <w:tcPr>
            <w:tcW w:w="920" w:type="dxa"/>
            <w:vAlign w:val="bottom"/>
            <w:vMerge w:val="restart"/>
          </w:tcPr>
          <w:p>
            <w:pPr>
              <w:jc w:val="center"/>
              <w:ind w:right="51"/>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60" w:type="dxa"/>
            <w:vAlign w:val="bottom"/>
            <w:gridSpan w:val="4"/>
            <w:vMerge w:val="continue"/>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(6)</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V Common Stock</w:t>
            </w:r>
            <w:r>
              <w:rPr>
                <w:rFonts w:ascii="Times New Roman" w:cs="Times New Roman" w:eastAsia="Times New Roman" w:hAnsi="Times New Roman"/>
                <w:sz w:val="22"/>
                <w:szCs w:val="22"/>
                <w:color w:val="008000"/>
                <w:vertAlign w:val="superscript"/>
              </w:rPr>
              <w:t>(3)(4)</w:t>
            </w: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1,468,555</w:t>
            </w:r>
          </w:p>
        </w:tc>
        <w:tc>
          <w:tcPr>
            <w:tcW w:w="920" w:type="dxa"/>
            <w:vAlign w:val="bottom"/>
            <w:vMerge w:val="restart"/>
          </w:tcPr>
          <w:p>
            <w:pPr>
              <w:jc w:val="center"/>
              <w:ind w:right="51"/>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60" w:type="dxa"/>
            <w:vAlign w:val="bottom"/>
            <w:gridSpan w:val="4"/>
            <w:vMerge w:val="continue"/>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(7)</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V Common Stock</w:t>
            </w:r>
            <w:r>
              <w:rPr>
                <w:rFonts w:ascii="Times New Roman" w:cs="Times New Roman" w:eastAsia="Times New Roman" w:hAnsi="Times New Roman"/>
                <w:sz w:val="22"/>
                <w:szCs w:val="22"/>
                <w:color w:val="008000"/>
                <w:vertAlign w:val="superscript"/>
              </w:rPr>
              <w:t>(3)(4)</w:t>
            </w: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600,618</w:t>
            </w:r>
          </w:p>
        </w:tc>
        <w:tc>
          <w:tcPr>
            <w:tcW w:w="920" w:type="dxa"/>
            <w:vAlign w:val="bottom"/>
            <w:vMerge w:val="restart"/>
          </w:tcPr>
          <w:p>
            <w:pPr>
              <w:jc w:val="center"/>
              <w:ind w:right="51"/>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60" w:type="dxa"/>
            <w:vAlign w:val="bottom"/>
            <w:gridSpan w:val="4"/>
            <w:vMerge w:val="continue"/>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20" w:type="dxa"/>
            <w:vAlign w:val="bottom"/>
            <w:gridSpan w:val="18"/>
          </w:tcPr>
          <w:p>
            <w:pPr>
              <w:ind w:left="9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60" w:type="dxa"/>
            <w:vAlign w:val="bottom"/>
            <w:gridSpan w:val="14"/>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6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gridSpan w:val="2"/>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Borders>
              <w:bottom w:val="single" w:sz="8" w:color="0000EE"/>
            </w:tcBorders>
            <w:gridSpan w:val="2"/>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Francis Douglas</w:t>
              </w:r>
            </w:hyperlink>
          </w:p>
        </w:tc>
        <w:tc>
          <w:tcPr>
            <w:tcW w:w="1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(First)</w:t>
            </w:r>
          </w:p>
        </w:tc>
        <w:tc>
          <w:tcPr>
            <w:tcW w:w="116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WM TECHNOLOGY, INC.</w:t>
            </w: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41 DISCOVERY</w:t>
            </w:r>
          </w:p>
        </w:tc>
        <w:tc>
          <w:tcPr>
            <w:tcW w:w="1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76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92618</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gridSpan w:val="2"/>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(State)</w:t>
            </w:r>
          </w:p>
        </w:tc>
        <w:tc>
          <w:tcPr>
            <w:tcW w:w="116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-3533140</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Ghost Media Group, LLC</w:t>
        </w:r>
      </w:hyperlink>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line="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67989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809240" cy="67989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3"/>
          </w:tcPr>
          <w:p>
            <w:pPr>
              <w:ind w:left="10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WM TECHNOLOGY, INC.</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41 DISCOVERY</w:t>
            </w: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4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138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0000FF"/>
              </w:rPr>
              <w:t>CA</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92618</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3"/>
          </w:tcPr>
          <w:p>
            <w:pPr>
              <w:ind w:left="10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80" w:type="dxa"/>
            <w:vAlign w:val="bottom"/>
            <w:gridSpan w:val="4"/>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WM Founders Legacy I, LLC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3"/>
          </w:tcPr>
          <w:p>
            <w:pPr>
              <w:ind w:left="10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WM TECHNOLOGY, INC.</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41 DISCOVERY</w:t>
            </w: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4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138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0000FF"/>
              </w:rPr>
              <w:t>CA</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92618</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3"/>
          </w:tcPr>
          <w:p>
            <w:pPr>
              <w:ind w:left="10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80" w:type="dxa"/>
            <w:vAlign w:val="bottom"/>
            <w:gridSpan w:val="4"/>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Genco Incentives, LLC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3"/>
          </w:tcPr>
          <w:p>
            <w:pPr>
              <w:ind w:left="10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WM TECHNOLOGY, INC.</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41 DISCOVERY</w:t>
            </w: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4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138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0000FF"/>
              </w:rPr>
              <w:t>CA</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92618</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3"/>
          </w:tcPr>
          <w:p>
            <w:pPr>
              <w:ind w:left="10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line="238" w:lineRule="auto"/>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Rebecca Francis Legacy Trust dated 5/14/24,</w:t>
        </w:r>
      </w:hyperlink>
    </w:p>
    <w:p>
      <w:pPr>
        <w:ind w:left="10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Douglas M. Francis, Trustee</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(Last)</w:t>
            </w:r>
          </w:p>
        </w:tc>
        <w:tc>
          <w:tcPr>
            <w:tcW w:w="1240" w:type="dxa"/>
            <w:vAlign w:val="bottom"/>
          </w:tcPr>
          <w:p>
            <w:pPr>
              <w:ind w:left="100"/>
              <w:spacing w:after="0"/>
              <w:rPr>
                <w:sz w:val="20"/>
                <w:szCs w:val="20"/>
                <w:color w:val="auto"/>
              </w:rPr>
            </w:pPr>
            <w:r>
              <w:rPr>
                <w:rFonts w:ascii="Arial" w:cs="Arial" w:eastAsia="Arial" w:hAnsi="Arial"/>
                <w:sz w:val="13"/>
                <w:szCs w:val="13"/>
                <w:color w:val="auto"/>
              </w:rPr>
              <w:t>(First)</w:t>
            </w:r>
          </w:p>
        </w:tc>
        <w:tc>
          <w:tcPr>
            <w:tcW w:w="1620" w:type="dxa"/>
            <w:vAlign w:val="bottom"/>
          </w:tcPr>
          <w:p>
            <w:pPr>
              <w:ind w:left="2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5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WM TECHNOLOGY, INC.</w:t>
            </w:r>
          </w:p>
        </w:tc>
        <w:tc>
          <w:tcPr>
            <w:tcW w:w="16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41 DISCOVERY</w:t>
            </w:r>
          </w:p>
        </w:tc>
        <w:tc>
          <w:tcPr>
            <w:tcW w:w="124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69"/>
        </w:trPr>
        <w:tc>
          <w:tcPr>
            <w:tcW w:w="13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124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92618</w:t>
            </w:r>
          </w:p>
        </w:tc>
      </w:tr>
      <w:tr>
        <w:trPr>
          <w:trHeight w:val="155"/>
        </w:trPr>
        <w:tc>
          <w:tcPr>
            <w:tcW w:w="4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26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as well as any related brokerage commission fees.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20" w:right="28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$1.0801 to $1.4101. The Reporting Person will provide upon request to the SEC, the Issuer or security holder of the Issuer,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20" w:right="6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Class V common stock ("Class V Common Stock") of the Issuer (as defined below) provide no economic rights in the Issuer to the holder thereof. However, each holder of Class V Common Stock will be entitled to vote with the holders of Class A common stock ("Class A Common Stock") of the Issuer, with each share of Class V Common Stock entitling the holder to a number of votes equal to the number of Post-Merger Class A Units (as described in footnote 4 below) held by such Class V Common Stockholder at the time of such vote.</w:t>
      </w:r>
    </w:p>
    <w:p>
      <w:pPr>
        <w:spacing w:after="0" w:line="20" w:lineRule="exact"/>
        <w:rPr>
          <w:rFonts w:ascii="Times New Roman" w:cs="Times New Roman" w:eastAsia="Times New Roman" w:hAnsi="Times New Roman"/>
          <w:sz w:val="13"/>
          <w:szCs w:val="13"/>
          <w:color w:val="008000"/>
        </w:rPr>
      </w:pPr>
    </w:p>
    <w:p>
      <w:pPr>
        <w:ind w:left="20" w:right="44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Post-Merger Class A Units represent non-voting limited liability company interests of WM Holding Company, LLC. Pursuant to the terms of an exchange agreement, these Class A units and an equivalent number of shares of Class V Common Stock are exchangeable on a one-for-one basis for shares of Class A Common Stock. These exchange rights do not expire.</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directly by the Rebecca Francis Legacy Trust dated 5/14/24, of which the Reporting Person is the Investment Trustee.</w:t>
      </w:r>
    </w:p>
    <w:p>
      <w:pPr>
        <w:spacing w:after="0" w:line="50" w:lineRule="exact"/>
        <w:rPr>
          <w:rFonts w:ascii="Times New Roman" w:cs="Times New Roman" w:eastAsia="Times New Roman" w:hAnsi="Times New Roman"/>
          <w:sz w:val="13"/>
          <w:szCs w:val="13"/>
          <w:color w:val="008000"/>
        </w:rPr>
      </w:pPr>
    </w:p>
    <w:p>
      <w:pPr>
        <w:ind w:left="20" w:right="2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directly by Ghost Media Group, LLC ("Ghost Media") which is controlled by Mr. Francis. Accordingly, Mr. Francis may be deemed to be a beneficial owner of the shares held by Ghost Media.</w:t>
      </w:r>
    </w:p>
    <w:p>
      <w:pPr>
        <w:spacing w:after="0" w:line="7" w:lineRule="exact"/>
        <w:rPr>
          <w:rFonts w:ascii="Times New Roman" w:cs="Times New Roman" w:eastAsia="Times New Roman" w:hAnsi="Times New Roman"/>
          <w:sz w:val="13"/>
          <w:szCs w:val="13"/>
          <w:color w:val="008000"/>
        </w:rPr>
      </w:pPr>
    </w:p>
    <w:p>
      <w:pPr>
        <w:ind w:left="20" w:right="8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directly by WM Founders Legacy I, LLC ("WM Founders") which is controlled by Mr. Francis. Accordingly, Mr. Francis may be deemed to be a beneficial owner of the shares held by WM Founders.</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directly by Genco Incentives, LLC ("Genco") which is controlled by Mr. Francis. Accordingly, Mr. Francis may be deemed to be a beneficial owner of the shares held by Genco.</w:t>
      </w:r>
    </w:p>
    <w:p>
      <w:pPr>
        <w:sectPr>
          <w:pgSz w:w="11900" w:h="16867" w:orient="portrait"/>
          <w:cols w:equalWidth="0" w:num="1">
            <w:col w:w="10880"/>
          </w:cols>
          <w:pgMar w:left="480" w:top="167" w:right="539" w:bottom="0" w:gutter="0" w:footer="0" w:header="0"/>
        </w:sectPr>
      </w:pPr>
    </w:p>
    <w:p>
      <w:pPr>
        <w:spacing w:after="0" w:line="7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Douglas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496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849630" cy="8255"/>
                    </a:xfrm>
                    <a:prstGeom prst="rect">
                      <a:avLst/>
                    </a:prstGeom>
                    <a:noFill/>
                  </pic:spPr>
                </pic:pic>
              </a:graphicData>
            </a:graphic>
          </wp:anchor>
        </w:drawing>
      </w:r>
    </w:p>
    <w:p>
      <w:pPr>
        <w:spacing w:after="0" w:line="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Ghost Media Group,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074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Douglas Francis,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954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WM Founders Legacy 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442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/s/ Douglas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140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0140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905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39052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Genco Incentives,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258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Douglas Francis,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639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Rebecca Francis Legacy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309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33096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dated 5/14/24, by /s/ Douglas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922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2922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Francis, Investment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211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2211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86" w:lineRule="exact"/>
        <w:rPr>
          <w:sz w:val="20"/>
          <w:szCs w:val="20"/>
          <w:color w:val="auto"/>
        </w:rPr>
      </w:pPr>
    </w:p>
    <w:p>
      <w:pPr>
        <w:sectPr>
          <w:pgSz w:w="11900" w:h="16867" w:orient="portrait"/>
          <w:cols w:equalWidth="0" w:num="2">
            <w:col w:w="8680" w:space="80"/>
            <w:col w:w="2120"/>
          </w:cols>
          <w:pgMar w:left="480" w:top="167" w:right="539" w:bottom="0" w:gutter="0" w:footer="0" w:header="0"/>
          <w:type w:val="continuous"/>
        </w:sectPr>
      </w:pPr>
    </w:p>
    <w:p>
      <w:pPr>
        <w:jc w:val="right"/>
        <w:ind w:right="1840"/>
        <w:spacing w:after="0"/>
        <w:tabs>
          <w:tab w:leader="none" w:pos="2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67" w:orient="portrait"/>
          <w:cols w:equalWidth="0" w:num="1">
            <w:col w:w="10880"/>
          </w:cols>
          <w:pgMar w:left="480" w:top="167" w:right="539" w:bottom="0" w:gutter="0" w:footer="0" w:header="0"/>
          <w:type w:val="continuous"/>
        </w:sectPr>
      </w:pPr>
    </w:p>
    <w:bookmarkStart w:id="2" w:name="page3"/>
    <w:bookmarkEnd w:id="2"/>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40"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8"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13" Type="http://schemas.openxmlformats.org/officeDocument/2006/relationships/hyperlink" Target="http://www.sec.gov/cgi-bin/browse-edgar?action=getcompany&amp;CIK=0001519966" TargetMode="External"/><Relationship Id="rId14" Type="http://schemas.openxmlformats.org/officeDocument/2006/relationships/hyperlink" Target="http://www.sec.gov/cgi-bin/browse-edgar?action=getcompany&amp;CIK=0001779474" TargetMode="External"/><Relationship Id="rId17" Type="http://schemas.openxmlformats.org/officeDocument/2006/relationships/hyperlink" Target="http://www.sec.gov/cgi-bin/browse-edgar?action=getcompany&amp;CIK=0001859722" TargetMode="External"/><Relationship Id="rId19" Type="http://schemas.openxmlformats.org/officeDocument/2006/relationships/hyperlink" Target="http://www.sec.gov/cgi-bin/browse-edgar?action=getcompany&amp;CIK=0001859724" TargetMode="External"/><Relationship Id="rId20" Type="http://schemas.openxmlformats.org/officeDocument/2006/relationships/hyperlink" Target="http://www.sec.gov/cgi-bin/browse-edgar?action=getcompany&amp;CIK=0001859765" TargetMode="External"/><Relationship Id="rId21" Type="http://schemas.openxmlformats.org/officeDocument/2006/relationships/hyperlink" Target="http://www.sec.gov/cgi-bin/browse-edgar?action=getcompany&amp;CIK=00020516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2025-05-20T16:46:14Z</dcterms:created>
  <dcterms:modified xsi:type="dcterms:W3CDTF">2025-05-20T16:46:14Z</dcterms:modified>
</cp:coreProperties>
</file>