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color w:val="auto"/>
        </w:rPr>
        <w:t>Washington, D.C. 20549</w:t>
      </w:r>
    </w:p>
    <w:p>
      <w:pPr>
        <w:ind w:left="4360"/>
        <w:spacing w:after="0"/>
        <w:rPr>
          <w:sz w:val="20"/>
          <w:szCs w:val="20"/>
          <w:color w:val="auto"/>
        </w:rPr>
      </w:pPr>
      <w:r>
        <w:rPr>
          <w:rFonts w:ascii="Arial" w:cs="Arial" w:eastAsia="Arial" w:hAnsi="Arial"/>
          <w:sz w:val="22"/>
          <w:szCs w:val="22"/>
          <w:color w:val="auto"/>
        </w:rPr>
        <w:t>_________________________</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ind w:left="12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left="640" w:right="9160" w:hanging="6"/>
        <w:spacing w:after="0" w:line="265" w:lineRule="exact"/>
        <w:tabs>
          <w:tab w:leader="none" w:pos="103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20" w:hanging="386"/>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(Page 1 of 11 Pages)</w:t>
      </w:r>
    </w:p>
    <w:p>
      <w:pPr>
        <w:spacing w:after="0" w:line="85"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8" w:lineRule="exact"/>
        <w:rPr>
          <w:sz w:val="24"/>
          <w:szCs w:val="24"/>
          <w:color w:val="auto"/>
        </w:rPr>
      </w:pPr>
    </w:p>
    <w:p>
      <w:pPr>
        <w:ind w:firstLine="648"/>
        <w:spacing w:after="0" w:line="23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20" w:firstLine="648"/>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26"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CUSIP No. G8136L106</w:t>
            </w:r>
          </w:p>
        </w:tc>
        <w:tc>
          <w:tcPr>
            <w:tcW w:w="1480" w:type="dxa"/>
            <w:vAlign w:val="bottom"/>
          </w:tcPr>
          <w:p>
            <w:pPr>
              <w:spacing w:after="0"/>
              <w:rPr>
                <w:sz w:val="20"/>
                <w:szCs w:val="20"/>
                <w:color w:val="auto"/>
              </w:rPr>
            </w:pPr>
          </w:p>
        </w:tc>
        <w:tc>
          <w:tcPr>
            <w:tcW w:w="6280" w:type="dxa"/>
            <w:vAlign w:val="bottom"/>
          </w:tcPr>
          <w:p>
            <w:pPr>
              <w:ind w:left="1800"/>
              <w:spacing w:after="0"/>
              <w:rPr>
                <w:sz w:val="20"/>
                <w:szCs w:val="20"/>
                <w:color w:val="auto"/>
              </w:rPr>
            </w:pPr>
            <w:r>
              <w:rPr>
                <w:rFonts w:ascii="Arial" w:cs="Arial" w:eastAsia="Arial" w:hAnsi="Arial"/>
                <w:sz w:val="18"/>
                <w:szCs w:val="18"/>
                <w:b w:val="1"/>
                <w:bCs w:val="1"/>
                <w:color w:val="auto"/>
              </w:rPr>
              <w:t>13G/A</w:t>
            </w:r>
          </w:p>
        </w:tc>
        <w:tc>
          <w:tcPr>
            <w:tcW w:w="1460" w:type="dxa"/>
            <w:vAlign w:val="bottom"/>
          </w:tcPr>
          <w:p>
            <w:pPr>
              <w:ind w:left="60"/>
              <w:spacing w:after="0"/>
              <w:rPr>
                <w:sz w:val="20"/>
                <w:szCs w:val="20"/>
                <w:color w:val="auto"/>
              </w:rPr>
            </w:pPr>
            <w:r>
              <w:rPr>
                <w:rFonts w:ascii="Arial" w:cs="Arial" w:eastAsia="Arial" w:hAnsi="Arial"/>
                <w:sz w:val="18"/>
                <w:szCs w:val="18"/>
                <w:b w:val="1"/>
                <w:bCs w:val="1"/>
                <w:color w:val="auto"/>
                <w:w w:val="83"/>
              </w:rPr>
              <w:t>Page 2 of 11 Pages</w:t>
            </w:r>
          </w:p>
        </w:tc>
        <w:tc>
          <w:tcPr>
            <w:tcW w:w="0" w:type="dxa"/>
            <w:vAlign w:val="bottom"/>
          </w:tcPr>
          <w:p>
            <w:pPr>
              <w:spacing w:after="0"/>
              <w:rPr>
                <w:sz w:val="1"/>
                <w:szCs w:val="1"/>
                <w:color w:val="auto"/>
              </w:rPr>
            </w:pPr>
          </w:p>
        </w:tc>
      </w:tr>
      <w:tr>
        <w:trPr>
          <w:trHeight w:val="351"/>
        </w:trPr>
        <w:tc>
          <w:tcPr>
            <w:tcW w:w="22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NAME OF REPORTING PERSON</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0" w:type="dxa"/>
            <w:vAlign w:val="bottom"/>
            <w:tcBorders>
              <w:left w:val="single" w:sz="8" w:color="auto"/>
              <w:right w:val="single" w:sz="8" w:color="auto"/>
            </w:tcBorders>
          </w:tcPr>
          <w:p>
            <w:pPr>
              <w:spacing w:after="0"/>
              <w:rPr>
                <w:sz w:val="24"/>
                <w:szCs w:val="24"/>
                <w:color w:val="auto"/>
              </w:rPr>
            </w:pP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Davidson Kempner Partners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tcBorders>
            <w:gridSpan w:val="2"/>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2</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1460" w:type="dxa"/>
            <w:vAlign w:val="bottom"/>
            <w:tcBorders>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16"/>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SEC USE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7760" w:type="dxa"/>
            <w:vAlign w:val="bottom"/>
            <w:tcBorders>
              <w:bottom w:val="single" w:sz="8" w:color="auto"/>
            </w:tcBorders>
            <w:gridSpan w:val="2"/>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4</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right w:val="single" w:sz="8" w:color="auto"/>
            </w:tcBorders>
          </w:tcPr>
          <w:p>
            <w:pPr>
              <w:spacing w:after="0"/>
              <w:rPr>
                <w:sz w:val="23"/>
                <w:szCs w:val="23"/>
                <w:color w:val="auto"/>
              </w:rPr>
            </w:pPr>
          </w:p>
        </w:tc>
        <w:tc>
          <w:tcPr>
            <w:tcW w:w="1480" w:type="dxa"/>
            <w:vAlign w:val="bottom"/>
          </w:tcPr>
          <w:p>
            <w:pPr>
              <w:ind w:left="420"/>
              <w:spacing w:after="0"/>
              <w:rPr>
                <w:sz w:val="20"/>
                <w:szCs w:val="20"/>
                <w:color w:val="auto"/>
              </w:rPr>
            </w:pPr>
            <w:r>
              <w:rPr>
                <w:rFonts w:ascii="Arial" w:cs="Arial" w:eastAsia="Arial" w:hAnsi="Arial"/>
                <w:sz w:val="22"/>
                <w:szCs w:val="22"/>
                <w:color w:val="auto"/>
              </w:rPr>
              <w:t>New York</w:t>
            </w:r>
          </w:p>
        </w:tc>
        <w:tc>
          <w:tcPr>
            <w:tcW w:w="62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200" w:type="dxa"/>
            <w:vAlign w:val="bottom"/>
            <w:tcBorders>
              <w:left w:val="single" w:sz="8" w:color="auto"/>
              <w:right w:val="single" w:sz="8" w:color="auto"/>
            </w:tcBorders>
          </w:tcPr>
          <w:p>
            <w:pPr>
              <w:spacing w:after="0"/>
              <w:rPr>
                <w:sz w:val="23"/>
                <w:szCs w:val="23"/>
                <w:color w:val="auto"/>
              </w:rPr>
            </w:pPr>
          </w:p>
        </w:tc>
        <w:tc>
          <w:tcPr>
            <w:tcW w:w="1480" w:type="dxa"/>
            <w:vAlign w:val="bottom"/>
            <w:tcBorders>
              <w:right w:val="single" w:sz="8" w:color="auto"/>
            </w:tcBorders>
          </w:tcPr>
          <w:p>
            <w:pPr>
              <w:ind w:left="680"/>
              <w:spacing w:after="0"/>
              <w:rPr>
                <w:sz w:val="20"/>
                <w:szCs w:val="20"/>
                <w:color w:val="auto"/>
              </w:rPr>
            </w:pPr>
            <w:r>
              <w:rPr>
                <w:rFonts w:ascii="Arial" w:cs="Arial" w:eastAsia="Arial" w:hAnsi="Arial"/>
                <w:sz w:val="22"/>
                <w:szCs w:val="22"/>
                <w:b w:val="1"/>
                <w:bCs w:val="1"/>
                <w:color w:val="auto"/>
              </w:rPr>
              <w:t>5</w:t>
            </w:r>
          </w:p>
        </w:tc>
        <w:tc>
          <w:tcPr>
            <w:tcW w:w="628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NUMBER OF</w:t>
            </w:r>
          </w:p>
        </w:tc>
        <w:tc>
          <w:tcPr>
            <w:tcW w:w="1480" w:type="dxa"/>
            <w:vAlign w:val="bottom"/>
            <w:tcBorders>
              <w:right w:val="single" w:sz="8" w:color="auto"/>
            </w:tcBorders>
          </w:tcPr>
          <w:p>
            <w:pPr>
              <w:spacing w:after="0"/>
              <w:rPr>
                <w:sz w:val="23"/>
                <w:szCs w:val="23"/>
                <w:color w:val="auto"/>
              </w:rPr>
            </w:pPr>
          </w:p>
        </w:tc>
        <w:tc>
          <w:tcPr>
            <w:tcW w:w="6280" w:type="dxa"/>
            <w:vAlign w:val="bottom"/>
          </w:tcPr>
          <w:p>
            <w:pPr>
              <w:ind w:left="440"/>
              <w:spacing w:after="0"/>
              <w:rPr>
                <w:sz w:val="20"/>
                <w:szCs w:val="20"/>
                <w:color w:val="auto"/>
              </w:rPr>
            </w:pPr>
            <w:r>
              <w:rPr>
                <w:rFonts w:ascii="Arial" w:cs="Arial" w:eastAsia="Arial" w:hAnsi="Arial"/>
                <w:sz w:val="22"/>
                <w:szCs w:val="22"/>
                <w:color w:val="auto"/>
              </w:rPr>
              <w:t>0</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200" w:type="dxa"/>
            <w:vAlign w:val="bottom"/>
            <w:tcBorders>
              <w:left w:val="single" w:sz="8" w:color="auto"/>
              <w:right w:val="single" w:sz="8" w:color="auto"/>
            </w:tcBorders>
            <w:vMerge w:val="continue"/>
          </w:tcPr>
          <w:p>
            <w:pPr>
              <w:spacing w:after="0"/>
              <w:rPr>
                <w:sz w:val="3"/>
                <w:szCs w:val="3"/>
                <w:color w:val="auto"/>
              </w:rPr>
            </w:pP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6</w:t>
            </w:r>
          </w:p>
        </w:tc>
        <w:tc>
          <w:tcPr>
            <w:tcW w:w="628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14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color w:val="auto"/>
                <w:w w:val="92"/>
              </w:rPr>
              <w:t>SHARES</w:t>
            </w:r>
          </w:p>
        </w:tc>
        <w:tc>
          <w:tcPr>
            <w:tcW w:w="1480" w:type="dxa"/>
            <w:vAlign w:val="bottom"/>
            <w:tcBorders>
              <w:right w:val="single" w:sz="8" w:color="auto"/>
            </w:tcBorders>
            <w:vMerge w:val="continue"/>
          </w:tcPr>
          <w:p>
            <w:pPr>
              <w:spacing w:after="0"/>
              <w:rPr>
                <w:sz w:val="19"/>
                <w:szCs w:val="19"/>
                <w:color w:val="auto"/>
              </w:rPr>
            </w:pPr>
          </w:p>
        </w:tc>
        <w:tc>
          <w:tcPr>
            <w:tcW w:w="6280" w:type="dxa"/>
            <w:vAlign w:val="bottom"/>
            <w:vMerge w:val="continue"/>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BENEFICIALLY</w:t>
            </w:r>
          </w:p>
        </w:tc>
        <w:tc>
          <w:tcPr>
            <w:tcW w:w="1480" w:type="dxa"/>
            <w:vAlign w:val="bottom"/>
            <w:tcBorders>
              <w:right w:val="single" w:sz="8" w:color="auto"/>
            </w:tcBorders>
          </w:tcPr>
          <w:p>
            <w:pPr>
              <w:spacing w:after="0"/>
              <w:rPr>
                <w:sz w:val="22"/>
                <w:szCs w:val="22"/>
                <w:color w:val="auto"/>
              </w:rPr>
            </w:pPr>
          </w:p>
        </w:tc>
        <w:tc>
          <w:tcPr>
            <w:tcW w:w="6280" w:type="dxa"/>
            <w:vAlign w:val="bottom"/>
          </w:tcPr>
          <w:p>
            <w:pPr>
              <w:ind w:left="440"/>
              <w:spacing w:after="0"/>
              <w:rPr>
                <w:sz w:val="20"/>
                <w:szCs w:val="20"/>
                <w:color w:val="auto"/>
              </w:rPr>
            </w:pPr>
            <w:r>
              <w:rPr>
                <w:rFonts w:ascii="Arial" w:cs="Arial" w:eastAsia="Arial" w:hAnsi="Arial"/>
                <w:sz w:val="22"/>
                <w:szCs w:val="22"/>
                <w:color w:val="auto"/>
              </w:rPr>
              <w:t>357,960</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480" w:type="dxa"/>
            <w:vAlign w:val="bottom"/>
            <w:tcBorders>
              <w:bottom w:val="single" w:sz="8" w:color="auto"/>
              <w:right w:val="single" w:sz="8" w:color="auto"/>
            </w:tcBorders>
          </w:tcPr>
          <w:p>
            <w:pPr>
              <w:spacing w:after="0"/>
              <w:rPr>
                <w:sz w:val="10"/>
                <w:szCs w:val="10"/>
                <w:color w:val="auto"/>
              </w:rPr>
            </w:pPr>
          </w:p>
        </w:tc>
        <w:tc>
          <w:tcPr>
            <w:tcW w:w="628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7</w:t>
            </w:r>
          </w:p>
        </w:tc>
        <w:tc>
          <w:tcPr>
            <w:tcW w:w="6280" w:type="dxa"/>
            <w:vAlign w:val="bottom"/>
            <w:vMerge w:val="restart"/>
          </w:tcPr>
          <w:p>
            <w:pPr>
              <w:ind w:left="100"/>
              <w:spacing w:after="0"/>
              <w:rPr>
                <w:sz w:val="20"/>
                <w:szCs w:val="20"/>
                <w:color w:val="auto"/>
              </w:rPr>
            </w:pPr>
            <w:r>
              <w:rPr>
                <w:rFonts w:ascii="Arial" w:cs="Arial" w:eastAsia="Arial" w:hAnsi="Arial"/>
                <w:sz w:val="22"/>
                <w:szCs w:val="22"/>
                <w:color w:val="auto"/>
              </w:rPr>
              <w:t>SOLE DISPOSITIVE POWER</w:t>
            </w: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20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9"/>
                <w:szCs w:val="19"/>
                <w:color w:val="auto"/>
              </w:rPr>
              <w:t>EACH</w:t>
            </w:r>
          </w:p>
        </w:tc>
        <w:tc>
          <w:tcPr>
            <w:tcW w:w="1480" w:type="dxa"/>
            <w:vAlign w:val="bottom"/>
            <w:tcBorders>
              <w:right w:val="single" w:sz="8" w:color="auto"/>
            </w:tcBorders>
            <w:vMerge w:val="continue"/>
          </w:tcPr>
          <w:p>
            <w:pPr>
              <w:spacing w:after="0"/>
              <w:rPr>
                <w:sz w:val="15"/>
                <w:szCs w:val="15"/>
                <w:color w:val="auto"/>
              </w:rPr>
            </w:pPr>
          </w:p>
        </w:tc>
        <w:tc>
          <w:tcPr>
            <w:tcW w:w="6280" w:type="dxa"/>
            <w:vAlign w:val="bottom"/>
            <w:vMerge w:val="continue"/>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REPORTING</w:t>
            </w:r>
          </w:p>
        </w:tc>
        <w:tc>
          <w:tcPr>
            <w:tcW w:w="1480" w:type="dxa"/>
            <w:vAlign w:val="bottom"/>
            <w:tcBorders>
              <w:right w:val="single" w:sz="8" w:color="auto"/>
            </w:tcBorders>
          </w:tcPr>
          <w:p>
            <w:pPr>
              <w:spacing w:after="0"/>
              <w:rPr>
                <w:sz w:val="23"/>
                <w:szCs w:val="23"/>
                <w:color w:val="auto"/>
              </w:rPr>
            </w:pPr>
          </w:p>
        </w:tc>
        <w:tc>
          <w:tcPr>
            <w:tcW w:w="6280" w:type="dxa"/>
            <w:vAlign w:val="bottom"/>
          </w:tcPr>
          <w:p>
            <w:pPr>
              <w:ind w:left="440"/>
              <w:spacing w:after="0"/>
              <w:rPr>
                <w:sz w:val="20"/>
                <w:szCs w:val="20"/>
                <w:color w:val="auto"/>
              </w:rPr>
            </w:pPr>
            <w:r>
              <w:rPr>
                <w:rFonts w:ascii="Arial" w:cs="Arial" w:eastAsia="Arial" w:hAnsi="Arial"/>
                <w:sz w:val="22"/>
                <w:szCs w:val="22"/>
                <w:color w:val="auto"/>
              </w:rPr>
              <w:t>0</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vMerge w:val="continue"/>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480" w:type="dxa"/>
            <w:vAlign w:val="bottom"/>
            <w:tcBorders>
              <w:bottom w:val="single" w:sz="8" w:color="auto"/>
              <w:right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200" w:type="dxa"/>
            <w:vAlign w:val="bottom"/>
            <w:tcBorders>
              <w:left w:val="single" w:sz="8" w:color="auto"/>
              <w:right w:val="single" w:sz="8" w:color="auto"/>
            </w:tcBorders>
            <w:vMerge w:val="continue"/>
          </w:tcPr>
          <w:p>
            <w:pPr>
              <w:spacing w:after="0"/>
              <w:rPr>
                <w:sz w:val="17"/>
                <w:szCs w:val="17"/>
                <w:color w:val="auto"/>
              </w:rPr>
            </w:pP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8</w:t>
            </w:r>
          </w:p>
        </w:tc>
        <w:tc>
          <w:tcPr>
            <w:tcW w:w="6280" w:type="dxa"/>
            <w:vAlign w:val="bottom"/>
            <w:vMerge w:val="restart"/>
          </w:tcPr>
          <w:p>
            <w:pPr>
              <w:ind w:left="100"/>
              <w:spacing w:after="0"/>
              <w:rPr>
                <w:sz w:val="20"/>
                <w:szCs w:val="20"/>
                <w:color w:val="auto"/>
              </w:rPr>
            </w:pPr>
            <w:r>
              <w:rPr>
                <w:rFonts w:ascii="Arial" w:cs="Arial" w:eastAsia="Arial" w:hAnsi="Arial"/>
                <w:sz w:val="22"/>
                <w:szCs w:val="22"/>
                <w:color w:val="auto"/>
              </w:rPr>
              <w:t>SHARED DISPOSITIVE POWER</w:t>
            </w: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6280" w:type="dxa"/>
            <w:vAlign w:val="bottom"/>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6280" w:type="dxa"/>
            <w:vAlign w:val="bottom"/>
          </w:tcPr>
          <w:p>
            <w:pPr>
              <w:ind w:left="440"/>
              <w:spacing w:after="0"/>
              <w:rPr>
                <w:sz w:val="20"/>
                <w:szCs w:val="20"/>
                <w:color w:val="auto"/>
              </w:rPr>
            </w:pPr>
            <w:r>
              <w:rPr>
                <w:rFonts w:ascii="Arial" w:cs="Arial" w:eastAsia="Arial" w:hAnsi="Arial"/>
                <w:sz w:val="22"/>
                <w:szCs w:val="22"/>
                <w:color w:val="auto"/>
              </w:rPr>
              <w:t>357,960</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774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9</w:t>
            </w:r>
          </w:p>
        </w:tc>
        <w:tc>
          <w:tcPr>
            <w:tcW w:w="922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right w:val="single" w:sz="8" w:color="auto"/>
            </w:tcBorders>
          </w:tcPr>
          <w:p>
            <w:pPr>
              <w:spacing w:after="0"/>
              <w:rPr>
                <w:sz w:val="23"/>
                <w:szCs w:val="23"/>
                <w:color w:val="auto"/>
              </w:rPr>
            </w:pPr>
          </w:p>
        </w:tc>
        <w:tc>
          <w:tcPr>
            <w:tcW w:w="1480" w:type="dxa"/>
            <w:vAlign w:val="bottom"/>
          </w:tcPr>
          <w:p>
            <w:pPr>
              <w:ind w:left="420"/>
              <w:spacing w:after="0"/>
              <w:rPr>
                <w:sz w:val="20"/>
                <w:szCs w:val="20"/>
                <w:color w:val="auto"/>
              </w:rPr>
            </w:pPr>
            <w:r>
              <w:rPr>
                <w:rFonts w:ascii="Arial" w:cs="Arial" w:eastAsia="Arial" w:hAnsi="Arial"/>
                <w:sz w:val="22"/>
                <w:szCs w:val="22"/>
                <w:color w:val="auto"/>
              </w:rPr>
              <w:t>357,960</w:t>
            </w:r>
          </w:p>
        </w:tc>
        <w:tc>
          <w:tcPr>
            <w:tcW w:w="62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w w:val="95"/>
              </w:rPr>
              <w:t>CHECK BOX IF THE AGGREGATE AMOUNT IN ROW (9) EXCLUDES CERTAIN</w:t>
            </w:r>
          </w:p>
        </w:tc>
        <w:tc>
          <w:tcPr>
            <w:tcW w:w="1460" w:type="dxa"/>
            <w:vAlign w:val="bottom"/>
            <w:tcBorders>
              <w:right w:val="single" w:sz="8" w:color="auto"/>
            </w:tcBorders>
          </w:tcPr>
          <w:p>
            <w:pPr>
              <w:ind w:left="42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7"/>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ind w:left="100"/>
              <w:spacing w:after="0" w:line="246" w:lineRule="exact"/>
              <w:rPr>
                <w:sz w:val="20"/>
                <w:szCs w:val="20"/>
                <w:color w:val="auto"/>
              </w:rPr>
            </w:pPr>
            <w:r>
              <w:rPr>
                <w:rFonts w:ascii="Arial" w:cs="Arial" w:eastAsia="Arial" w:hAnsi="Arial"/>
                <w:sz w:val="22"/>
                <w:szCs w:val="22"/>
                <w:color w:val="auto"/>
              </w:rPr>
              <w:t>SHARES</w:t>
            </w:r>
          </w:p>
        </w:tc>
        <w:tc>
          <w:tcPr>
            <w:tcW w:w="62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right w:val="single" w:sz="8" w:color="auto"/>
            </w:tcBorders>
          </w:tcPr>
          <w:p>
            <w:pPr>
              <w:spacing w:after="0"/>
              <w:rPr>
                <w:sz w:val="23"/>
                <w:szCs w:val="23"/>
                <w:color w:val="auto"/>
              </w:rPr>
            </w:pPr>
          </w:p>
        </w:tc>
        <w:tc>
          <w:tcPr>
            <w:tcW w:w="1480" w:type="dxa"/>
            <w:vAlign w:val="bottom"/>
          </w:tcPr>
          <w:p>
            <w:pPr>
              <w:ind w:left="420"/>
              <w:spacing w:after="0"/>
              <w:rPr>
                <w:sz w:val="20"/>
                <w:szCs w:val="20"/>
                <w:color w:val="auto"/>
              </w:rPr>
            </w:pPr>
            <w:r>
              <w:rPr>
                <w:rFonts w:ascii="Arial" w:cs="Arial" w:eastAsia="Arial" w:hAnsi="Arial"/>
                <w:sz w:val="22"/>
                <w:szCs w:val="22"/>
                <w:color w:val="auto"/>
              </w:rPr>
              <w:t>1.43%</w:t>
            </w:r>
          </w:p>
        </w:tc>
        <w:tc>
          <w:tcPr>
            <w:tcW w:w="62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776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right w:val="single" w:sz="8" w:color="auto"/>
            </w:tcBorders>
          </w:tcPr>
          <w:p>
            <w:pPr>
              <w:spacing w:after="0"/>
              <w:rPr>
                <w:sz w:val="23"/>
                <w:szCs w:val="23"/>
                <w:color w:val="auto"/>
              </w:rPr>
            </w:pPr>
          </w:p>
        </w:tc>
        <w:tc>
          <w:tcPr>
            <w:tcW w:w="1480" w:type="dxa"/>
            <w:vAlign w:val="bottom"/>
          </w:tcPr>
          <w:p>
            <w:pPr>
              <w:ind w:left="420"/>
              <w:spacing w:after="0"/>
              <w:rPr>
                <w:sz w:val="20"/>
                <w:szCs w:val="20"/>
                <w:color w:val="auto"/>
              </w:rPr>
            </w:pPr>
            <w:r>
              <w:rPr>
                <w:rFonts w:ascii="Arial" w:cs="Arial" w:eastAsia="Arial" w:hAnsi="Arial"/>
                <w:sz w:val="22"/>
                <w:szCs w:val="22"/>
                <w:color w:val="auto"/>
              </w:rPr>
              <w:t>PN</w:t>
            </w:r>
          </w:p>
        </w:tc>
        <w:tc>
          <w:tcPr>
            <w:tcW w:w="62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34"/>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828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NAME OF REPORTING PERSON</w:t>
            </w: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00" w:type="dxa"/>
            <w:vAlign w:val="bottom"/>
            <w:tcBorders>
              <w:left w:val="single" w:sz="8" w:color="auto"/>
              <w:right w:val="single" w:sz="8" w:color="auto"/>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Davidson Kempner Institutional Partners, L.P.</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8280" w:type="dxa"/>
            <w:vAlign w:val="bottom"/>
            <w:tcBorders>
              <w:bottom w:val="single" w:sz="8" w:color="auto"/>
            </w:tcBorders>
            <w:gridSpan w:val="3"/>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2</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1340" w:type="dxa"/>
            <w:vAlign w:val="bottom"/>
            <w:tcBorders>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1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SEC USE ONLY</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gridSpan w:val="3"/>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4</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CITIZENSHIP OR PLACE OF ORGANIZATION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80" w:type="dxa"/>
            <w:vAlign w:val="bottom"/>
            <w:gridSpan w:val="2"/>
          </w:tcPr>
          <w:p>
            <w:pPr>
              <w:ind w:left="420"/>
              <w:spacing w:after="0"/>
              <w:rPr>
                <w:sz w:val="20"/>
                <w:szCs w:val="20"/>
                <w:color w:val="auto"/>
              </w:rPr>
            </w:pPr>
            <w:r>
              <w:rPr>
                <w:rFonts w:ascii="Arial" w:cs="Arial" w:eastAsia="Arial" w:hAnsi="Arial"/>
                <w:sz w:val="22"/>
                <w:szCs w:val="22"/>
                <w:color w:val="auto"/>
                <w:w w:val="90"/>
              </w:rPr>
              <w:t>Delaware</w:t>
            </w:r>
          </w:p>
        </w:tc>
        <w:tc>
          <w:tcPr>
            <w:tcW w:w="70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2"/>
                <w:szCs w:val="22"/>
                <w:b w:val="1"/>
                <w:bCs w:val="1"/>
                <w:color w:val="auto"/>
              </w:rPr>
              <w:t>5</w:t>
            </w:r>
          </w:p>
        </w:tc>
        <w:tc>
          <w:tcPr>
            <w:tcW w:w="60" w:type="dxa"/>
            <w:vAlign w:val="bottom"/>
          </w:tcPr>
          <w:p>
            <w:pPr>
              <w:spacing w:after="0"/>
              <w:rPr>
                <w:sz w:val="23"/>
                <w:szCs w:val="23"/>
                <w:color w:val="auto"/>
              </w:rPr>
            </w:pPr>
          </w:p>
        </w:tc>
        <w:tc>
          <w:tcPr>
            <w:tcW w:w="700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NUMBER OF</w:t>
            </w:r>
          </w:p>
        </w:tc>
        <w:tc>
          <w:tcPr>
            <w:tcW w:w="12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0" w:type="dxa"/>
            <w:vAlign w:val="bottom"/>
          </w:tcPr>
          <w:p>
            <w:pPr>
              <w:ind w:left="36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800" w:type="dxa"/>
            <w:vAlign w:val="bottom"/>
            <w:tcBorders>
              <w:left w:val="single" w:sz="8" w:color="auto"/>
              <w:right w:val="single" w:sz="8" w:color="auto"/>
            </w:tcBorders>
            <w:vMerge w:val="continue"/>
          </w:tcPr>
          <w:p>
            <w:pPr>
              <w:spacing w:after="0"/>
              <w:rPr>
                <w:sz w:val="3"/>
                <w:szCs w:val="3"/>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6</w:t>
            </w:r>
          </w:p>
        </w:tc>
        <w:tc>
          <w:tcPr>
            <w:tcW w:w="60" w:type="dxa"/>
            <w:vAlign w:val="bottom"/>
          </w:tcPr>
          <w:p>
            <w:pPr>
              <w:spacing w:after="0"/>
              <w:rPr>
                <w:sz w:val="3"/>
                <w:szCs w:val="3"/>
                <w:color w:val="auto"/>
              </w:rPr>
            </w:pPr>
          </w:p>
        </w:tc>
        <w:tc>
          <w:tcPr>
            <w:tcW w:w="7000" w:type="dxa"/>
            <w:vAlign w:val="bottom"/>
            <w:vMerge w:val="restart"/>
          </w:tcPr>
          <w:p>
            <w:pPr>
              <w:ind w:left="40"/>
              <w:spacing w:after="0"/>
              <w:rPr>
                <w:sz w:val="20"/>
                <w:szCs w:val="20"/>
                <w:color w:val="auto"/>
              </w:rPr>
            </w:pPr>
            <w:r>
              <w:rPr>
                <w:rFonts w:ascii="Arial" w:cs="Arial" w:eastAsia="Arial" w:hAnsi="Arial"/>
                <w:sz w:val="22"/>
                <w:szCs w:val="22"/>
                <w:color w:val="auto"/>
              </w:rPr>
              <w:t>SHARED VOTING POWER</w:t>
            </w: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color w:val="auto"/>
                <w:w w:val="92"/>
              </w:rPr>
              <w:t>SHARES</w:t>
            </w:r>
          </w:p>
        </w:tc>
        <w:tc>
          <w:tcPr>
            <w:tcW w:w="122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BENEFICIALLY</w:t>
            </w: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000" w:type="dxa"/>
            <w:vAlign w:val="bottom"/>
          </w:tcPr>
          <w:p>
            <w:pPr>
              <w:ind w:left="360"/>
              <w:spacing w:after="0"/>
              <w:rPr>
                <w:sz w:val="20"/>
                <w:szCs w:val="20"/>
                <w:color w:val="auto"/>
              </w:rPr>
            </w:pPr>
            <w:r>
              <w:rPr>
                <w:rFonts w:ascii="Arial" w:cs="Arial" w:eastAsia="Arial" w:hAnsi="Arial"/>
                <w:sz w:val="22"/>
                <w:szCs w:val="22"/>
                <w:color w:val="auto"/>
              </w:rPr>
              <w:t>755,630</w:t>
            </w: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22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0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7</w:t>
            </w:r>
          </w:p>
        </w:tc>
        <w:tc>
          <w:tcPr>
            <w:tcW w:w="60" w:type="dxa"/>
            <w:vAlign w:val="bottom"/>
          </w:tcPr>
          <w:p>
            <w:pPr>
              <w:spacing w:after="0"/>
              <w:rPr>
                <w:sz w:val="9"/>
                <w:szCs w:val="9"/>
                <w:color w:val="auto"/>
              </w:rPr>
            </w:pPr>
          </w:p>
        </w:tc>
        <w:tc>
          <w:tcPr>
            <w:tcW w:w="7000" w:type="dxa"/>
            <w:vAlign w:val="bottom"/>
            <w:vMerge w:val="restart"/>
          </w:tcPr>
          <w:p>
            <w:pPr>
              <w:ind w:left="40"/>
              <w:spacing w:after="0"/>
              <w:rPr>
                <w:sz w:val="20"/>
                <w:szCs w:val="20"/>
                <w:color w:val="auto"/>
              </w:rPr>
            </w:pPr>
            <w:r>
              <w:rPr>
                <w:rFonts w:ascii="Arial" w:cs="Arial" w:eastAsia="Arial" w:hAnsi="Arial"/>
                <w:sz w:val="22"/>
                <w:szCs w:val="22"/>
                <w:color w:val="auto"/>
              </w:rPr>
              <w:t>SOLE DISPOSITIVE POWER</w:t>
            </w: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80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9"/>
                <w:szCs w:val="19"/>
                <w:color w:val="auto"/>
              </w:rPr>
              <w:t>EACH</w:t>
            </w:r>
          </w:p>
        </w:tc>
        <w:tc>
          <w:tcPr>
            <w:tcW w:w="12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REPORTING</w:t>
            </w:r>
          </w:p>
        </w:tc>
        <w:tc>
          <w:tcPr>
            <w:tcW w:w="12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0" w:type="dxa"/>
            <w:vAlign w:val="bottom"/>
          </w:tcPr>
          <w:p>
            <w:pPr>
              <w:ind w:left="36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80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800" w:type="dxa"/>
            <w:vAlign w:val="bottom"/>
            <w:tcBorders>
              <w:left w:val="single" w:sz="8" w:color="auto"/>
              <w:right w:val="single" w:sz="8" w:color="auto"/>
            </w:tcBorders>
            <w:vMerge w:val="continue"/>
          </w:tcPr>
          <w:p>
            <w:pPr>
              <w:spacing w:after="0"/>
              <w:rPr>
                <w:sz w:val="17"/>
                <w:szCs w:val="17"/>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8</w:t>
            </w:r>
          </w:p>
        </w:tc>
        <w:tc>
          <w:tcPr>
            <w:tcW w:w="60" w:type="dxa"/>
            <w:vAlign w:val="bottom"/>
          </w:tcPr>
          <w:p>
            <w:pPr>
              <w:spacing w:after="0"/>
              <w:rPr>
                <w:sz w:val="17"/>
                <w:szCs w:val="17"/>
                <w:color w:val="auto"/>
              </w:rPr>
            </w:pPr>
          </w:p>
        </w:tc>
        <w:tc>
          <w:tcPr>
            <w:tcW w:w="7000" w:type="dxa"/>
            <w:vAlign w:val="bottom"/>
            <w:vMerge w:val="restart"/>
          </w:tcPr>
          <w:p>
            <w:pPr>
              <w:ind w:left="40"/>
              <w:spacing w:after="0"/>
              <w:rPr>
                <w:sz w:val="20"/>
                <w:szCs w:val="20"/>
                <w:color w:val="auto"/>
              </w:rPr>
            </w:pPr>
            <w:r>
              <w:rPr>
                <w:rFonts w:ascii="Arial" w:cs="Arial" w:eastAsia="Arial" w:hAnsi="Arial"/>
                <w:sz w:val="22"/>
                <w:szCs w:val="22"/>
                <w:color w:val="auto"/>
              </w:rPr>
              <w:t>SHARED DISPOSITIVE POWER</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8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7000" w:type="dxa"/>
            <w:vAlign w:val="bottom"/>
            <w:vMerge w:val="continue"/>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0" w:type="dxa"/>
            <w:vAlign w:val="bottom"/>
          </w:tcPr>
          <w:p>
            <w:pPr>
              <w:ind w:left="360"/>
              <w:spacing w:after="0"/>
              <w:rPr>
                <w:sz w:val="20"/>
                <w:szCs w:val="20"/>
                <w:color w:val="auto"/>
              </w:rPr>
            </w:pPr>
            <w:r>
              <w:rPr>
                <w:rFonts w:ascii="Arial" w:cs="Arial" w:eastAsia="Arial" w:hAnsi="Arial"/>
                <w:sz w:val="22"/>
                <w:szCs w:val="22"/>
                <w:color w:val="auto"/>
              </w:rPr>
              <w:t>755,630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9</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w w:val="98"/>
              </w:rPr>
              <w:t>AGGREGATE AMOUNT BENEFICIALLY OWNED BY EACH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w w:val="95"/>
              </w:rPr>
              <w:t>755,630</w:t>
            </w:r>
          </w:p>
        </w:tc>
        <w:tc>
          <w:tcPr>
            <w:tcW w:w="6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10</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CHECK BOX IF THE AGGREGATE AMOUNT IN ROW (9) EXCLUDES CERTAIN</w:t>
            </w:r>
          </w:p>
        </w:tc>
        <w:tc>
          <w:tcPr>
            <w:tcW w:w="1340" w:type="dxa"/>
            <w:vAlign w:val="bottom"/>
            <w:tcBorders>
              <w:right w:val="single" w:sz="8" w:color="auto"/>
            </w:tcBorders>
          </w:tcPr>
          <w:p>
            <w:pPr>
              <w:ind w:left="42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gridSpan w:val="2"/>
          </w:tcPr>
          <w:p>
            <w:pPr>
              <w:ind w:left="100"/>
              <w:spacing w:after="0" w:line="246" w:lineRule="exact"/>
              <w:rPr>
                <w:sz w:val="20"/>
                <w:szCs w:val="20"/>
                <w:color w:val="auto"/>
              </w:rPr>
            </w:pPr>
            <w:r>
              <w:rPr>
                <w:rFonts w:ascii="Arial" w:cs="Arial" w:eastAsia="Arial" w:hAnsi="Arial"/>
                <w:sz w:val="22"/>
                <w:szCs w:val="22"/>
                <w:color w:val="auto"/>
              </w:rPr>
              <w:t>SHARES</w:t>
            </w:r>
          </w:p>
        </w:tc>
        <w:tc>
          <w:tcPr>
            <w:tcW w:w="70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rPr>
              <w:t>3.02%</w:t>
            </w:r>
          </w:p>
        </w:tc>
        <w:tc>
          <w:tcPr>
            <w:tcW w:w="6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12</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TYPE OF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80" w:type="dxa"/>
            <w:vAlign w:val="bottom"/>
            <w:gridSpan w:val="2"/>
          </w:tcPr>
          <w:p>
            <w:pPr>
              <w:ind w:left="420"/>
              <w:spacing w:after="0"/>
              <w:rPr>
                <w:sz w:val="20"/>
                <w:szCs w:val="20"/>
                <w:color w:val="auto"/>
              </w:rPr>
            </w:pPr>
            <w:r>
              <w:rPr>
                <w:rFonts w:ascii="Arial" w:cs="Arial" w:eastAsia="Arial" w:hAnsi="Arial"/>
                <w:sz w:val="22"/>
                <w:szCs w:val="22"/>
                <w:color w:val="auto"/>
              </w:rPr>
              <w:t>PN</w:t>
            </w:r>
          </w:p>
        </w:tc>
        <w:tc>
          <w:tcPr>
            <w:tcW w:w="700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34"/>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8280" w:type="dxa"/>
            <w:vAlign w:val="bottom"/>
            <w:tcBorders>
              <w:top w:val="single" w:sz="8" w:color="auto"/>
            </w:tcBorders>
            <w:gridSpan w:val="2"/>
          </w:tcPr>
          <w:p>
            <w:pPr>
              <w:ind w:left="100"/>
              <w:spacing w:after="0"/>
              <w:rPr>
                <w:sz w:val="20"/>
                <w:szCs w:val="20"/>
                <w:color w:val="auto"/>
              </w:rPr>
            </w:pPr>
            <w:r>
              <w:rPr>
                <w:rFonts w:ascii="Arial" w:cs="Arial" w:eastAsia="Arial" w:hAnsi="Arial"/>
                <w:sz w:val="22"/>
                <w:szCs w:val="22"/>
                <w:color w:val="auto"/>
              </w:rPr>
              <w:t>NAME OF REPORTING PERSON</w:t>
            </w: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00" w:type="dxa"/>
            <w:vAlign w:val="bottom"/>
            <w:tcBorders>
              <w:left w:val="single" w:sz="8" w:color="auto"/>
              <w:right w:val="single" w:sz="8" w:color="auto"/>
            </w:tcBorders>
          </w:tcPr>
          <w:p>
            <w:pPr>
              <w:spacing w:after="0"/>
              <w:rPr>
                <w:sz w:val="24"/>
                <w:szCs w:val="24"/>
                <w:color w:val="auto"/>
              </w:rPr>
            </w:pP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Davidson Kempner International, Ltd.</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8280" w:type="dxa"/>
            <w:vAlign w:val="bottom"/>
            <w:tcBorders>
              <w:bottom w:val="single" w:sz="8" w:color="auto"/>
            </w:tcBorders>
            <w:gridSpan w:val="2"/>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2</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1340" w:type="dxa"/>
            <w:vAlign w:val="bottom"/>
            <w:tcBorders>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1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SEC USE ONLY</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4</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8280" w:type="dxa"/>
            <w:vAlign w:val="bottom"/>
            <w:gridSpan w:val="2"/>
          </w:tcPr>
          <w:p>
            <w:pPr>
              <w:ind w:left="420"/>
              <w:spacing w:after="0"/>
              <w:rPr>
                <w:sz w:val="20"/>
                <w:szCs w:val="20"/>
                <w:color w:val="auto"/>
              </w:rPr>
            </w:pPr>
            <w:r>
              <w:rPr>
                <w:rFonts w:ascii="Arial" w:cs="Arial" w:eastAsia="Arial" w:hAnsi="Arial"/>
                <w:sz w:val="22"/>
                <w:szCs w:val="22"/>
                <w:color w:val="auto"/>
              </w:rPr>
              <w:t>British Virgin Islands</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2"/>
                <w:szCs w:val="22"/>
                <w:b w:val="1"/>
                <w:bCs w:val="1"/>
                <w:color w:val="auto"/>
              </w:rPr>
              <w:t>5</w:t>
            </w:r>
          </w:p>
        </w:tc>
        <w:tc>
          <w:tcPr>
            <w:tcW w:w="706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NUMBER OF</w:t>
            </w:r>
          </w:p>
        </w:tc>
        <w:tc>
          <w:tcPr>
            <w:tcW w:w="1220" w:type="dxa"/>
            <w:vAlign w:val="bottom"/>
            <w:tcBorders>
              <w:right w:val="single" w:sz="8" w:color="auto"/>
            </w:tcBorders>
          </w:tcPr>
          <w:p>
            <w:pPr>
              <w:spacing w:after="0"/>
              <w:rPr>
                <w:sz w:val="23"/>
                <w:szCs w:val="23"/>
                <w:color w:val="auto"/>
              </w:rPr>
            </w:pPr>
          </w:p>
        </w:tc>
        <w:tc>
          <w:tcPr>
            <w:tcW w:w="7060" w:type="dxa"/>
            <w:vAlign w:val="bottom"/>
          </w:tcPr>
          <w:p>
            <w:pPr>
              <w:ind w:left="42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800" w:type="dxa"/>
            <w:vAlign w:val="bottom"/>
            <w:tcBorders>
              <w:left w:val="single" w:sz="8" w:color="auto"/>
              <w:right w:val="single" w:sz="8" w:color="auto"/>
            </w:tcBorders>
            <w:vMerge w:val="continue"/>
          </w:tcPr>
          <w:p>
            <w:pPr>
              <w:spacing w:after="0"/>
              <w:rPr>
                <w:sz w:val="3"/>
                <w:szCs w:val="3"/>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6</w:t>
            </w:r>
          </w:p>
        </w:tc>
        <w:tc>
          <w:tcPr>
            <w:tcW w:w="706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color w:val="auto"/>
                <w:w w:val="92"/>
              </w:rPr>
              <w:t>SHARES</w:t>
            </w:r>
          </w:p>
        </w:tc>
        <w:tc>
          <w:tcPr>
            <w:tcW w:w="1220" w:type="dxa"/>
            <w:vAlign w:val="bottom"/>
            <w:tcBorders>
              <w:right w:val="single" w:sz="8" w:color="auto"/>
            </w:tcBorders>
            <w:vMerge w:val="continue"/>
          </w:tcPr>
          <w:p>
            <w:pPr>
              <w:spacing w:after="0"/>
              <w:rPr>
                <w:sz w:val="19"/>
                <w:szCs w:val="19"/>
                <w:color w:val="auto"/>
              </w:rPr>
            </w:pPr>
          </w:p>
        </w:tc>
        <w:tc>
          <w:tcPr>
            <w:tcW w:w="7060" w:type="dxa"/>
            <w:vAlign w:val="bottom"/>
            <w:vMerge w:val="continue"/>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BENEFICIALLY</w:t>
            </w:r>
          </w:p>
        </w:tc>
        <w:tc>
          <w:tcPr>
            <w:tcW w:w="1220" w:type="dxa"/>
            <w:vAlign w:val="bottom"/>
            <w:tcBorders>
              <w:right w:val="single" w:sz="8" w:color="auto"/>
            </w:tcBorders>
          </w:tcPr>
          <w:p>
            <w:pPr>
              <w:spacing w:after="0"/>
              <w:rPr>
                <w:sz w:val="22"/>
                <w:szCs w:val="22"/>
                <w:color w:val="auto"/>
              </w:rPr>
            </w:pPr>
          </w:p>
        </w:tc>
        <w:tc>
          <w:tcPr>
            <w:tcW w:w="7060" w:type="dxa"/>
            <w:vAlign w:val="bottom"/>
          </w:tcPr>
          <w:p>
            <w:pPr>
              <w:ind w:left="420"/>
              <w:spacing w:after="0"/>
              <w:rPr>
                <w:sz w:val="20"/>
                <w:szCs w:val="20"/>
                <w:color w:val="auto"/>
              </w:rPr>
            </w:pPr>
            <w:r>
              <w:rPr>
                <w:rFonts w:ascii="Arial" w:cs="Arial" w:eastAsia="Arial" w:hAnsi="Arial"/>
                <w:sz w:val="22"/>
                <w:szCs w:val="22"/>
                <w:color w:val="auto"/>
              </w:rPr>
              <w:t>786,410</w:t>
            </w: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220" w:type="dxa"/>
            <w:vAlign w:val="bottom"/>
            <w:tcBorders>
              <w:bottom w:val="single" w:sz="8" w:color="auto"/>
              <w:right w:val="single" w:sz="8" w:color="auto"/>
            </w:tcBorders>
          </w:tcPr>
          <w:p>
            <w:pPr>
              <w:spacing w:after="0"/>
              <w:rPr>
                <w:sz w:val="10"/>
                <w:szCs w:val="10"/>
                <w:color w:val="auto"/>
              </w:rPr>
            </w:pPr>
          </w:p>
        </w:tc>
        <w:tc>
          <w:tcPr>
            <w:tcW w:w="706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0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7</w:t>
            </w:r>
          </w:p>
        </w:tc>
        <w:tc>
          <w:tcPr>
            <w:tcW w:w="7060" w:type="dxa"/>
            <w:vAlign w:val="bottom"/>
            <w:vMerge w:val="restart"/>
          </w:tcPr>
          <w:p>
            <w:pPr>
              <w:ind w:left="100"/>
              <w:spacing w:after="0"/>
              <w:rPr>
                <w:sz w:val="20"/>
                <w:szCs w:val="20"/>
                <w:color w:val="auto"/>
              </w:rPr>
            </w:pPr>
            <w:r>
              <w:rPr>
                <w:rFonts w:ascii="Arial" w:cs="Arial" w:eastAsia="Arial" w:hAnsi="Arial"/>
                <w:sz w:val="22"/>
                <w:szCs w:val="22"/>
                <w:color w:val="auto"/>
              </w:rPr>
              <w:t>SOLE DISPOSITIVE POWER</w:t>
            </w: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80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9"/>
                <w:szCs w:val="19"/>
                <w:color w:val="auto"/>
              </w:rPr>
              <w:t>EACH</w:t>
            </w:r>
          </w:p>
        </w:tc>
        <w:tc>
          <w:tcPr>
            <w:tcW w:w="1220" w:type="dxa"/>
            <w:vAlign w:val="bottom"/>
            <w:tcBorders>
              <w:right w:val="single" w:sz="8" w:color="auto"/>
            </w:tcBorders>
            <w:vMerge w:val="continue"/>
          </w:tcPr>
          <w:p>
            <w:pPr>
              <w:spacing w:after="0"/>
              <w:rPr>
                <w:sz w:val="15"/>
                <w:szCs w:val="15"/>
                <w:color w:val="auto"/>
              </w:rPr>
            </w:pPr>
          </w:p>
        </w:tc>
        <w:tc>
          <w:tcPr>
            <w:tcW w:w="706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REPORTING</w:t>
            </w:r>
          </w:p>
        </w:tc>
        <w:tc>
          <w:tcPr>
            <w:tcW w:w="1220" w:type="dxa"/>
            <w:vAlign w:val="bottom"/>
            <w:tcBorders>
              <w:right w:val="single" w:sz="8" w:color="auto"/>
            </w:tcBorders>
          </w:tcPr>
          <w:p>
            <w:pPr>
              <w:spacing w:after="0"/>
              <w:rPr>
                <w:sz w:val="23"/>
                <w:szCs w:val="23"/>
                <w:color w:val="auto"/>
              </w:rPr>
            </w:pPr>
          </w:p>
        </w:tc>
        <w:tc>
          <w:tcPr>
            <w:tcW w:w="7060" w:type="dxa"/>
            <w:vAlign w:val="bottom"/>
          </w:tcPr>
          <w:p>
            <w:pPr>
              <w:ind w:left="42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80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70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706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800" w:type="dxa"/>
            <w:vAlign w:val="bottom"/>
            <w:tcBorders>
              <w:left w:val="single" w:sz="8" w:color="auto"/>
              <w:right w:val="single" w:sz="8" w:color="auto"/>
            </w:tcBorders>
            <w:vMerge w:val="continue"/>
          </w:tcPr>
          <w:p>
            <w:pPr>
              <w:spacing w:after="0"/>
              <w:rPr>
                <w:sz w:val="17"/>
                <w:szCs w:val="17"/>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8</w:t>
            </w:r>
          </w:p>
        </w:tc>
        <w:tc>
          <w:tcPr>
            <w:tcW w:w="7060" w:type="dxa"/>
            <w:vAlign w:val="bottom"/>
            <w:vMerge w:val="restart"/>
          </w:tcPr>
          <w:p>
            <w:pPr>
              <w:ind w:left="100"/>
              <w:spacing w:after="0"/>
              <w:rPr>
                <w:sz w:val="20"/>
                <w:szCs w:val="20"/>
                <w:color w:val="auto"/>
              </w:rPr>
            </w:pPr>
            <w:r>
              <w:rPr>
                <w:rFonts w:ascii="Arial" w:cs="Arial" w:eastAsia="Arial" w:hAnsi="Arial"/>
                <w:sz w:val="22"/>
                <w:szCs w:val="22"/>
                <w:color w:val="auto"/>
              </w:rPr>
              <w:t>SHARED DISPOSITIVE POWER</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8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7060" w:type="dxa"/>
            <w:vAlign w:val="bottom"/>
            <w:vMerge w:val="continue"/>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7060" w:type="dxa"/>
            <w:vAlign w:val="bottom"/>
          </w:tcPr>
          <w:p>
            <w:pPr>
              <w:ind w:left="420"/>
              <w:spacing w:after="0"/>
              <w:rPr>
                <w:sz w:val="20"/>
                <w:szCs w:val="20"/>
                <w:color w:val="auto"/>
              </w:rPr>
            </w:pPr>
            <w:r>
              <w:rPr>
                <w:rFonts w:ascii="Arial" w:cs="Arial" w:eastAsia="Arial" w:hAnsi="Arial"/>
                <w:sz w:val="22"/>
                <w:szCs w:val="22"/>
                <w:color w:val="auto"/>
              </w:rPr>
              <w:t>786,410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9</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w w:val="98"/>
              </w:rPr>
              <w:t>AGGREGATE AMOUNT BENEFICIALLY OWNED BY EACH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w w:val="95"/>
              </w:rPr>
              <w:t>786,410</w:t>
            </w:r>
          </w:p>
        </w:tc>
        <w:tc>
          <w:tcPr>
            <w:tcW w:w="706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10</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CHECK BOX IF THE AGGREGATE AMOUNT IN ROW (9) EXCLUDES CERTAIN</w:t>
            </w:r>
          </w:p>
        </w:tc>
        <w:tc>
          <w:tcPr>
            <w:tcW w:w="1340" w:type="dxa"/>
            <w:vAlign w:val="bottom"/>
            <w:tcBorders>
              <w:right w:val="single" w:sz="8" w:color="auto"/>
            </w:tcBorders>
          </w:tcPr>
          <w:p>
            <w:pPr>
              <w:ind w:left="42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tcPr>
          <w:p>
            <w:pPr>
              <w:ind w:left="100"/>
              <w:spacing w:after="0" w:line="246" w:lineRule="exact"/>
              <w:rPr>
                <w:sz w:val="20"/>
                <w:szCs w:val="20"/>
                <w:color w:val="auto"/>
              </w:rPr>
            </w:pPr>
            <w:r>
              <w:rPr>
                <w:rFonts w:ascii="Arial" w:cs="Arial" w:eastAsia="Arial" w:hAnsi="Arial"/>
                <w:sz w:val="22"/>
                <w:szCs w:val="22"/>
                <w:color w:val="auto"/>
              </w:rPr>
              <w:t>SHARES</w:t>
            </w:r>
          </w:p>
        </w:tc>
        <w:tc>
          <w:tcPr>
            <w:tcW w:w="706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rPr>
              <w:t>3.15%</w:t>
            </w:r>
          </w:p>
        </w:tc>
        <w:tc>
          <w:tcPr>
            <w:tcW w:w="706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12</w:t>
            </w:r>
          </w:p>
        </w:tc>
        <w:tc>
          <w:tcPr>
            <w:tcW w:w="828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rPr>
              <w:t>CO</w:t>
            </w:r>
          </w:p>
        </w:tc>
        <w:tc>
          <w:tcPr>
            <w:tcW w:w="706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828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NAME OF REPORTING PERSON</w:t>
            </w: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8280" w:type="dxa"/>
            <w:vAlign w:val="bottom"/>
            <w:gridSpan w:val="3"/>
          </w:tcPr>
          <w:p>
            <w:pPr>
              <w:ind w:left="420"/>
              <w:spacing w:after="0"/>
              <w:rPr>
                <w:sz w:val="20"/>
                <w:szCs w:val="20"/>
                <w:color w:val="auto"/>
              </w:rPr>
            </w:pPr>
            <w:r>
              <w:rPr>
                <w:rFonts w:ascii="Arial" w:cs="Arial" w:eastAsia="Arial" w:hAnsi="Arial"/>
                <w:sz w:val="22"/>
                <w:szCs w:val="22"/>
                <w:color w:val="auto"/>
              </w:rPr>
              <w:t>Davidson Kempner Capital Management LP</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8280" w:type="dxa"/>
            <w:vAlign w:val="bottom"/>
            <w:tcBorders>
              <w:bottom w:val="single" w:sz="8" w:color="auto"/>
            </w:tcBorders>
            <w:gridSpan w:val="3"/>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2</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1340" w:type="dxa"/>
            <w:vAlign w:val="bottom"/>
            <w:tcBorders>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1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SEC USE ONLY</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gridSpan w:val="3"/>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4</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CITIZENSHIP OR PLACE OF ORGANIZATION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300" w:type="dxa"/>
            <w:vAlign w:val="bottom"/>
            <w:gridSpan w:val="2"/>
          </w:tcPr>
          <w:p>
            <w:pPr>
              <w:ind w:left="420"/>
              <w:spacing w:after="0"/>
              <w:rPr>
                <w:sz w:val="20"/>
                <w:szCs w:val="20"/>
                <w:color w:val="auto"/>
              </w:rPr>
            </w:pPr>
            <w:r>
              <w:rPr>
                <w:rFonts w:ascii="Arial" w:cs="Arial" w:eastAsia="Arial" w:hAnsi="Arial"/>
                <w:sz w:val="22"/>
                <w:szCs w:val="22"/>
                <w:color w:val="auto"/>
                <w:w w:val="92"/>
              </w:rPr>
              <w:t>Delaware</w:t>
            </w: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2"/>
                <w:szCs w:val="22"/>
                <w:b w:val="1"/>
                <w:bCs w:val="1"/>
                <w:color w:val="auto"/>
              </w:rPr>
              <w:t>5</w:t>
            </w:r>
          </w:p>
        </w:tc>
        <w:tc>
          <w:tcPr>
            <w:tcW w:w="8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NUMBER OF</w:t>
            </w:r>
          </w:p>
        </w:tc>
        <w:tc>
          <w:tcPr>
            <w:tcW w:w="12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980" w:type="dxa"/>
            <w:vAlign w:val="bottom"/>
          </w:tcPr>
          <w:p>
            <w:pPr>
              <w:ind w:left="34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right w:val="single" w:sz="8" w:color="auto"/>
            </w:tcBorders>
          </w:tcPr>
          <w:p>
            <w:pPr>
              <w:jc w:val="center"/>
              <w:spacing w:after="0" w:line="247" w:lineRule="exact"/>
              <w:rPr>
                <w:sz w:val="20"/>
                <w:szCs w:val="20"/>
                <w:color w:val="auto"/>
              </w:rPr>
            </w:pPr>
            <w:r>
              <w:rPr>
                <w:rFonts w:ascii="Arial" w:cs="Arial" w:eastAsia="Arial" w:hAnsi="Arial"/>
                <w:sz w:val="22"/>
                <w:szCs w:val="22"/>
                <w:color w:val="auto"/>
                <w:w w:val="92"/>
              </w:rPr>
              <w:t>SHARES</w:t>
            </w:r>
          </w:p>
        </w:tc>
        <w:tc>
          <w:tcPr>
            <w:tcW w:w="1220" w:type="dxa"/>
            <w:vAlign w:val="bottom"/>
            <w:tcBorders>
              <w:right w:val="single" w:sz="8" w:color="auto"/>
            </w:tcBorders>
          </w:tcPr>
          <w:p>
            <w:pPr>
              <w:ind w:left="540"/>
              <w:spacing w:after="0" w:line="247" w:lineRule="exact"/>
              <w:rPr>
                <w:sz w:val="20"/>
                <w:szCs w:val="20"/>
                <w:color w:val="auto"/>
              </w:rPr>
            </w:pPr>
            <w:r>
              <w:rPr>
                <w:rFonts w:ascii="Arial" w:cs="Arial" w:eastAsia="Arial" w:hAnsi="Arial"/>
                <w:sz w:val="22"/>
                <w:szCs w:val="22"/>
                <w:b w:val="1"/>
                <w:bCs w:val="1"/>
                <w:color w:val="auto"/>
              </w:rPr>
              <w:t>6</w:t>
            </w:r>
          </w:p>
        </w:tc>
        <w:tc>
          <w:tcPr>
            <w:tcW w:w="80" w:type="dxa"/>
            <w:vAlign w:val="bottom"/>
          </w:tcPr>
          <w:p>
            <w:pPr>
              <w:spacing w:after="0"/>
              <w:rPr>
                <w:sz w:val="21"/>
                <w:szCs w:val="21"/>
                <w:color w:val="auto"/>
              </w:rPr>
            </w:pPr>
          </w:p>
        </w:tc>
        <w:tc>
          <w:tcPr>
            <w:tcW w:w="6980" w:type="dxa"/>
            <w:vAlign w:val="bottom"/>
          </w:tcPr>
          <w:p>
            <w:pPr>
              <w:ind w:left="20"/>
              <w:spacing w:after="0" w:line="247" w:lineRule="exact"/>
              <w:rPr>
                <w:sz w:val="20"/>
                <w:szCs w:val="20"/>
                <w:color w:val="auto"/>
              </w:rPr>
            </w:pPr>
            <w:r>
              <w:rPr>
                <w:rFonts w:ascii="Arial" w:cs="Arial" w:eastAsia="Arial" w:hAnsi="Arial"/>
                <w:sz w:val="22"/>
                <w:szCs w:val="22"/>
                <w:color w:val="auto"/>
              </w:rPr>
              <w:t>SHARED VOTING POWER</w:t>
            </w:r>
          </w:p>
        </w:tc>
        <w:tc>
          <w:tcPr>
            <w:tcW w:w="1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800" w:type="dxa"/>
            <w:vAlign w:val="bottom"/>
            <w:tcBorders>
              <w:left w:val="single" w:sz="8" w:color="auto"/>
              <w:right w:val="single" w:sz="8" w:color="auto"/>
            </w:tcBorders>
          </w:tcPr>
          <w:p>
            <w:pPr>
              <w:jc w:val="center"/>
              <w:spacing w:after="0" w:line="233" w:lineRule="exact"/>
              <w:rPr>
                <w:sz w:val="20"/>
                <w:szCs w:val="20"/>
                <w:color w:val="auto"/>
              </w:rPr>
            </w:pPr>
            <w:r>
              <w:rPr>
                <w:rFonts w:ascii="Arial" w:cs="Arial" w:eastAsia="Arial" w:hAnsi="Arial"/>
                <w:sz w:val="22"/>
                <w:szCs w:val="22"/>
                <w:color w:val="auto"/>
                <w:w w:val="97"/>
              </w:rPr>
              <w:t>BENEFICIALLY</w:t>
            </w:r>
          </w:p>
        </w:tc>
        <w:tc>
          <w:tcPr>
            <w:tcW w:w="1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tcPr>
          <w:p>
            <w:pPr>
              <w:ind w:left="340"/>
              <w:spacing w:after="0" w:line="233" w:lineRule="exact"/>
              <w:rPr>
                <w:sz w:val="20"/>
                <w:szCs w:val="20"/>
                <w:color w:val="auto"/>
              </w:rPr>
            </w:pPr>
            <w:r>
              <w:rPr>
                <w:rFonts w:ascii="Arial" w:cs="Arial" w:eastAsia="Arial" w:hAnsi="Arial"/>
                <w:sz w:val="22"/>
                <w:szCs w:val="22"/>
                <w:color w:val="auto"/>
              </w:rPr>
              <w:t>1,900,000</w:t>
            </w: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auto"/>
              <w:right w:val="single" w:sz="8" w:color="auto"/>
            </w:tcBorders>
            <w:vMerge w:val="restart"/>
          </w:tcPr>
          <w:p>
            <w:pPr>
              <w:jc w:val="center"/>
              <w:spacing w:after="0" w:line="236" w:lineRule="exact"/>
              <w:rPr>
                <w:sz w:val="20"/>
                <w:szCs w:val="20"/>
                <w:color w:val="auto"/>
              </w:rPr>
            </w:pPr>
            <w:r>
              <w:rPr>
                <w:rFonts w:ascii="Arial" w:cs="Arial" w:eastAsia="Arial" w:hAnsi="Arial"/>
                <w:sz w:val="22"/>
                <w:szCs w:val="22"/>
                <w:color w:val="auto"/>
                <w:w w:val="96"/>
              </w:rPr>
              <w:t>OWNED BY</w:t>
            </w:r>
          </w:p>
        </w:tc>
        <w:tc>
          <w:tcPr>
            <w:tcW w:w="12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800" w:type="dxa"/>
            <w:vAlign w:val="bottom"/>
            <w:tcBorders>
              <w:left w:val="single" w:sz="8" w:color="auto"/>
              <w:right w:val="single" w:sz="8" w:color="auto"/>
            </w:tcBorders>
            <w:vMerge w:val="continue"/>
          </w:tcPr>
          <w:p>
            <w:pPr>
              <w:spacing w:after="0"/>
              <w:rPr>
                <w:sz w:val="14"/>
                <w:szCs w:val="14"/>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b w:val="1"/>
                <w:bCs w:val="1"/>
                <w:color w:val="auto"/>
              </w:rPr>
              <w:t>7</w:t>
            </w:r>
          </w:p>
        </w:tc>
        <w:tc>
          <w:tcPr>
            <w:tcW w:w="80" w:type="dxa"/>
            <w:vAlign w:val="bottom"/>
          </w:tcPr>
          <w:p>
            <w:pPr>
              <w:spacing w:after="0"/>
              <w:rPr>
                <w:sz w:val="14"/>
                <w:szCs w:val="14"/>
                <w:color w:val="auto"/>
              </w:rPr>
            </w:pPr>
          </w:p>
        </w:tc>
        <w:tc>
          <w:tcPr>
            <w:tcW w:w="6980" w:type="dxa"/>
            <w:vAlign w:val="bottom"/>
            <w:vMerge w:val="restart"/>
          </w:tcPr>
          <w:p>
            <w:pPr>
              <w:ind w:left="20"/>
              <w:spacing w:after="0"/>
              <w:rPr>
                <w:sz w:val="20"/>
                <w:szCs w:val="20"/>
                <w:color w:val="auto"/>
              </w:rPr>
            </w:pPr>
            <w:r>
              <w:rPr>
                <w:rFonts w:ascii="Arial" w:cs="Arial" w:eastAsia="Arial" w:hAnsi="Arial"/>
                <w:sz w:val="22"/>
                <w:szCs w:val="22"/>
                <w:color w:val="auto"/>
              </w:rPr>
              <w:t>SOLE DISPOSITIVE POWER</w:t>
            </w: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12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00" w:type="dxa"/>
            <w:vAlign w:val="bottom"/>
            <w:tcBorders>
              <w:left w:val="single" w:sz="8" w:color="auto"/>
              <w:right w:val="single" w:sz="8" w:color="auto"/>
            </w:tcBorders>
            <w:vMerge w:val="restart"/>
          </w:tcPr>
          <w:p>
            <w:pPr>
              <w:jc w:val="center"/>
              <w:spacing w:after="0" w:line="238" w:lineRule="exact"/>
              <w:rPr>
                <w:sz w:val="20"/>
                <w:szCs w:val="20"/>
                <w:color w:val="auto"/>
              </w:rPr>
            </w:pPr>
            <w:r>
              <w:rPr>
                <w:rFonts w:ascii="Arial" w:cs="Arial" w:eastAsia="Arial" w:hAnsi="Arial"/>
                <w:sz w:val="22"/>
                <w:szCs w:val="22"/>
                <w:color w:val="auto"/>
                <w:w w:val="91"/>
              </w:rPr>
              <w:t>REPORTING</w:t>
            </w:r>
          </w:p>
        </w:tc>
        <w:tc>
          <w:tcPr>
            <w:tcW w:w="1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PERSON WITH</w:t>
            </w: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2"/>
                <w:szCs w:val="22"/>
                <w:b w:val="1"/>
                <w:bCs w:val="1"/>
                <w:color w:val="auto"/>
              </w:rPr>
              <w:t>8</w:t>
            </w:r>
          </w:p>
        </w:tc>
        <w:tc>
          <w:tcPr>
            <w:tcW w:w="8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980" w:type="dxa"/>
            <w:vAlign w:val="bottom"/>
          </w:tcPr>
          <w:p>
            <w:pPr>
              <w:ind w:left="340"/>
              <w:spacing w:after="0"/>
              <w:rPr>
                <w:sz w:val="20"/>
                <w:szCs w:val="20"/>
                <w:color w:val="auto"/>
              </w:rPr>
            </w:pPr>
            <w:r>
              <w:rPr>
                <w:rFonts w:ascii="Arial" w:cs="Arial" w:eastAsia="Arial" w:hAnsi="Arial"/>
                <w:sz w:val="22"/>
                <w:szCs w:val="22"/>
                <w:color w:val="auto"/>
              </w:rPr>
              <w:t>1,900,000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9</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w w:val="98"/>
              </w:rPr>
              <w:t>AGGREGATE AMOUNT BENEFICIALLY OWNED BY EACH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300" w:type="dxa"/>
            <w:vAlign w:val="bottom"/>
            <w:gridSpan w:val="2"/>
          </w:tcPr>
          <w:p>
            <w:pPr>
              <w:ind w:left="420"/>
              <w:spacing w:after="0"/>
              <w:rPr>
                <w:sz w:val="20"/>
                <w:szCs w:val="20"/>
                <w:color w:val="auto"/>
              </w:rPr>
            </w:pPr>
            <w:r>
              <w:rPr>
                <w:rFonts w:ascii="Arial" w:cs="Arial" w:eastAsia="Arial" w:hAnsi="Arial"/>
                <w:sz w:val="22"/>
                <w:szCs w:val="22"/>
                <w:color w:val="auto"/>
                <w:w w:val="87"/>
              </w:rPr>
              <w:t>1,900,000</w:t>
            </w: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10</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CHECK BOX IF THE AGGREGATE AMOUNT IN ROW (9) EXCLUDES CERTAIN</w:t>
            </w:r>
          </w:p>
        </w:tc>
        <w:tc>
          <w:tcPr>
            <w:tcW w:w="1340" w:type="dxa"/>
            <w:vAlign w:val="bottom"/>
            <w:tcBorders>
              <w:right w:val="single" w:sz="8" w:color="auto"/>
            </w:tcBorders>
          </w:tcPr>
          <w:p>
            <w:pPr>
              <w:ind w:left="42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00"/>
              <w:spacing w:after="0" w:line="246" w:lineRule="exact"/>
              <w:rPr>
                <w:sz w:val="20"/>
                <w:szCs w:val="20"/>
                <w:color w:val="auto"/>
              </w:rPr>
            </w:pPr>
            <w:r>
              <w:rPr>
                <w:rFonts w:ascii="Arial" w:cs="Arial" w:eastAsia="Arial" w:hAnsi="Arial"/>
                <w:sz w:val="22"/>
                <w:szCs w:val="22"/>
                <w:color w:val="auto"/>
              </w:rPr>
              <w:t>SHARES</w:t>
            </w:r>
          </w:p>
        </w:tc>
        <w:tc>
          <w:tcPr>
            <w:tcW w:w="698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rPr>
              <w:t>7.60%</w:t>
            </w:r>
          </w:p>
        </w:tc>
        <w:tc>
          <w:tcPr>
            <w:tcW w:w="8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12</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TYPE OF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300" w:type="dxa"/>
            <w:vAlign w:val="bottom"/>
            <w:gridSpan w:val="2"/>
          </w:tcPr>
          <w:p>
            <w:pPr>
              <w:ind w:left="420"/>
              <w:spacing w:after="0"/>
              <w:rPr>
                <w:sz w:val="20"/>
                <w:szCs w:val="20"/>
                <w:color w:val="auto"/>
              </w:rPr>
            </w:pPr>
            <w:r>
              <w:rPr>
                <w:rFonts w:ascii="Arial" w:cs="Arial" w:eastAsia="Arial" w:hAnsi="Arial"/>
                <w:sz w:val="22"/>
                <w:szCs w:val="22"/>
                <w:color w:val="auto"/>
              </w:rPr>
              <w:t>PN</w:t>
            </w: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828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NAME OF REPORTING PERSON</w:t>
            </w: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8280" w:type="dxa"/>
            <w:vAlign w:val="bottom"/>
            <w:gridSpan w:val="3"/>
          </w:tcPr>
          <w:p>
            <w:pPr>
              <w:ind w:left="420"/>
              <w:spacing w:after="0"/>
              <w:rPr>
                <w:sz w:val="20"/>
                <w:szCs w:val="20"/>
                <w:color w:val="auto"/>
              </w:rPr>
            </w:pPr>
            <w:r>
              <w:rPr>
                <w:rFonts w:ascii="Arial" w:cs="Arial" w:eastAsia="Arial" w:hAnsi="Arial"/>
                <w:sz w:val="22"/>
                <w:szCs w:val="22"/>
                <w:color w:val="auto"/>
              </w:rPr>
              <w:t>Anthony A. Yoseloff</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8280" w:type="dxa"/>
            <w:vAlign w:val="bottom"/>
            <w:tcBorders>
              <w:bottom w:val="single" w:sz="8" w:color="auto"/>
            </w:tcBorders>
            <w:gridSpan w:val="3"/>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2</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1340" w:type="dxa"/>
            <w:vAlign w:val="bottom"/>
            <w:tcBorders>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1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32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SEC USE ONLY</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gridSpan w:val="3"/>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4</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CITIZENSHIP OR PLACE OF ORGANIZATION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8280" w:type="dxa"/>
            <w:vAlign w:val="bottom"/>
            <w:gridSpan w:val="3"/>
          </w:tcPr>
          <w:p>
            <w:pPr>
              <w:ind w:left="420"/>
              <w:spacing w:after="0"/>
              <w:rPr>
                <w:sz w:val="20"/>
                <w:szCs w:val="20"/>
                <w:color w:val="auto"/>
              </w:rPr>
            </w:pPr>
            <w:r>
              <w:rPr>
                <w:rFonts w:ascii="Arial" w:cs="Arial" w:eastAsia="Arial" w:hAnsi="Arial"/>
                <w:sz w:val="22"/>
                <w:szCs w:val="22"/>
                <w:color w:val="auto"/>
              </w:rPr>
              <w:t>United States</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NUMBER OF</w:t>
            </w:r>
          </w:p>
        </w:tc>
        <w:tc>
          <w:tcPr>
            <w:tcW w:w="12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5</w:t>
            </w:r>
          </w:p>
        </w:tc>
        <w:tc>
          <w:tcPr>
            <w:tcW w:w="8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980" w:type="dxa"/>
            <w:vAlign w:val="bottom"/>
          </w:tcPr>
          <w:p>
            <w:pPr>
              <w:ind w:left="340"/>
              <w:spacing w:after="0" w:line="243" w:lineRule="exact"/>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12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98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0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rPr>
              <w:t>6</w:t>
            </w:r>
          </w:p>
        </w:tc>
        <w:tc>
          <w:tcPr>
            <w:tcW w:w="80" w:type="dxa"/>
            <w:vAlign w:val="bottom"/>
          </w:tcPr>
          <w:p>
            <w:pPr>
              <w:spacing w:after="0"/>
              <w:rPr>
                <w:sz w:val="8"/>
                <w:szCs w:val="8"/>
                <w:color w:val="auto"/>
              </w:rPr>
            </w:pPr>
          </w:p>
        </w:tc>
        <w:tc>
          <w:tcPr>
            <w:tcW w:w="6980" w:type="dxa"/>
            <w:vAlign w:val="bottom"/>
            <w:vMerge w:val="restart"/>
          </w:tcPr>
          <w:p>
            <w:pPr>
              <w:ind w:left="20"/>
              <w:spacing w:after="0"/>
              <w:rPr>
                <w:sz w:val="20"/>
                <w:szCs w:val="20"/>
                <w:color w:val="auto"/>
              </w:rPr>
            </w:pPr>
            <w:r>
              <w:rPr>
                <w:rFonts w:ascii="Arial" w:cs="Arial" w:eastAsia="Arial" w:hAnsi="Arial"/>
                <w:sz w:val="22"/>
                <w:szCs w:val="22"/>
                <w:color w:val="auto"/>
              </w:rPr>
              <w:t>SHARED VOTING POWER</w:t>
            </w:r>
          </w:p>
        </w:tc>
        <w:tc>
          <w:tcPr>
            <w:tcW w:w="1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22"/>
                <w:szCs w:val="22"/>
                <w:color w:val="auto"/>
                <w:w w:val="96"/>
              </w:rPr>
              <w:t>OWNED BY</w:t>
            </w:r>
          </w:p>
        </w:tc>
        <w:tc>
          <w:tcPr>
            <w:tcW w:w="122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980" w:type="dxa"/>
            <w:vAlign w:val="bottom"/>
            <w:vMerge w:val="continue"/>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right w:val="single" w:sz="8" w:color="auto"/>
            </w:tcBorders>
          </w:tcPr>
          <w:p>
            <w:pPr>
              <w:jc w:val="center"/>
              <w:spacing w:after="0" w:line="240" w:lineRule="exact"/>
              <w:rPr>
                <w:sz w:val="20"/>
                <w:szCs w:val="20"/>
                <w:color w:val="auto"/>
              </w:rPr>
            </w:pPr>
            <w:r>
              <w:rPr>
                <w:rFonts w:ascii="Arial" w:cs="Arial" w:eastAsia="Arial" w:hAnsi="Arial"/>
                <w:sz w:val="22"/>
                <w:szCs w:val="22"/>
                <w:color w:val="auto"/>
                <w:w w:val="98"/>
              </w:rPr>
              <w:t>EACH</w:t>
            </w:r>
          </w:p>
        </w:tc>
        <w:tc>
          <w:tcPr>
            <w:tcW w:w="12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tcPr>
          <w:p>
            <w:pPr>
              <w:ind w:left="340"/>
              <w:spacing w:after="0" w:line="226" w:lineRule="exact"/>
              <w:rPr>
                <w:sz w:val="20"/>
                <w:szCs w:val="20"/>
                <w:color w:val="auto"/>
              </w:rPr>
            </w:pPr>
            <w:r>
              <w:rPr>
                <w:rFonts w:ascii="Arial" w:cs="Arial" w:eastAsia="Arial" w:hAnsi="Arial"/>
                <w:sz w:val="22"/>
                <w:szCs w:val="22"/>
                <w:color w:val="auto"/>
              </w:rPr>
              <w:t>1,900,000</w:t>
            </w: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REPORTING</w:t>
            </w:r>
          </w:p>
        </w:tc>
        <w:tc>
          <w:tcPr>
            <w:tcW w:w="12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7</w:t>
            </w:r>
          </w:p>
        </w:tc>
        <w:tc>
          <w:tcPr>
            <w:tcW w:w="8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PERSON WITH</w:t>
            </w:r>
          </w:p>
        </w:tc>
        <w:tc>
          <w:tcPr>
            <w:tcW w:w="12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980" w:type="dxa"/>
            <w:vAlign w:val="bottom"/>
          </w:tcPr>
          <w:p>
            <w:pPr>
              <w:ind w:left="340"/>
              <w:spacing w:after="0"/>
              <w:rPr>
                <w:sz w:val="20"/>
                <w:szCs w:val="20"/>
                <w:color w:val="auto"/>
              </w:rPr>
            </w:pPr>
            <w:r>
              <w:rPr>
                <w:rFonts w:ascii="Arial" w:cs="Arial" w:eastAsia="Arial" w:hAnsi="Arial"/>
                <w:sz w:val="22"/>
                <w:szCs w:val="22"/>
                <w:color w:val="auto"/>
              </w:rPr>
              <w:t>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8</w:t>
            </w:r>
          </w:p>
        </w:tc>
        <w:tc>
          <w:tcPr>
            <w:tcW w:w="8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980" w:type="dxa"/>
            <w:vAlign w:val="bottom"/>
          </w:tcPr>
          <w:p>
            <w:pPr>
              <w:ind w:left="340"/>
              <w:spacing w:after="0"/>
              <w:rPr>
                <w:sz w:val="20"/>
                <w:szCs w:val="20"/>
                <w:color w:val="auto"/>
              </w:rPr>
            </w:pPr>
            <w:r>
              <w:rPr>
                <w:rFonts w:ascii="Arial" w:cs="Arial" w:eastAsia="Arial" w:hAnsi="Arial"/>
                <w:sz w:val="22"/>
                <w:szCs w:val="22"/>
                <w:color w:val="auto"/>
              </w:rPr>
              <w:t>1,900,000</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9</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w w:val="98"/>
              </w:rPr>
              <w:t>AGGREGATE AMOUNT BENEFICIALLY OWNED BY EACH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300" w:type="dxa"/>
            <w:vAlign w:val="bottom"/>
            <w:gridSpan w:val="2"/>
          </w:tcPr>
          <w:p>
            <w:pPr>
              <w:ind w:left="420"/>
              <w:spacing w:after="0"/>
              <w:rPr>
                <w:sz w:val="20"/>
                <w:szCs w:val="20"/>
                <w:color w:val="auto"/>
              </w:rPr>
            </w:pPr>
            <w:r>
              <w:rPr>
                <w:rFonts w:ascii="Arial" w:cs="Arial" w:eastAsia="Arial" w:hAnsi="Arial"/>
                <w:sz w:val="22"/>
                <w:szCs w:val="22"/>
                <w:color w:val="auto"/>
                <w:w w:val="87"/>
              </w:rPr>
              <w:t>1,900,000</w:t>
            </w: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10</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CHECK BOX IF THE AGGREGATE AMOUNT IN ROW (9) EXCLUDES CERTAIN</w:t>
            </w:r>
          </w:p>
        </w:tc>
        <w:tc>
          <w:tcPr>
            <w:tcW w:w="1340" w:type="dxa"/>
            <w:vAlign w:val="bottom"/>
            <w:tcBorders>
              <w:right w:val="single" w:sz="8" w:color="auto"/>
            </w:tcBorders>
          </w:tcPr>
          <w:p>
            <w:pPr>
              <w:ind w:left="42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00"/>
              <w:spacing w:after="0" w:line="246" w:lineRule="exact"/>
              <w:rPr>
                <w:sz w:val="20"/>
                <w:szCs w:val="20"/>
                <w:color w:val="auto"/>
              </w:rPr>
            </w:pPr>
            <w:r>
              <w:rPr>
                <w:rFonts w:ascii="Arial" w:cs="Arial" w:eastAsia="Arial" w:hAnsi="Arial"/>
                <w:sz w:val="22"/>
                <w:szCs w:val="22"/>
                <w:color w:val="auto"/>
              </w:rPr>
              <w:t>SHARES</w:t>
            </w:r>
          </w:p>
        </w:tc>
        <w:tc>
          <w:tcPr>
            <w:tcW w:w="698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220" w:type="dxa"/>
            <w:vAlign w:val="bottom"/>
          </w:tcPr>
          <w:p>
            <w:pPr>
              <w:ind w:left="420"/>
              <w:spacing w:after="0"/>
              <w:rPr>
                <w:sz w:val="20"/>
                <w:szCs w:val="20"/>
                <w:color w:val="auto"/>
              </w:rPr>
            </w:pPr>
            <w:r>
              <w:rPr>
                <w:rFonts w:ascii="Arial" w:cs="Arial" w:eastAsia="Arial" w:hAnsi="Arial"/>
                <w:sz w:val="22"/>
                <w:szCs w:val="22"/>
                <w:color w:val="auto"/>
              </w:rPr>
              <w:t>7.60%</w:t>
            </w:r>
          </w:p>
        </w:tc>
        <w:tc>
          <w:tcPr>
            <w:tcW w:w="8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12</w:t>
            </w:r>
          </w:p>
        </w:tc>
        <w:tc>
          <w:tcPr>
            <w:tcW w:w="8280" w:type="dxa"/>
            <w:vAlign w:val="bottom"/>
            <w:gridSpan w:val="3"/>
          </w:tcPr>
          <w:p>
            <w:pPr>
              <w:ind w:left="100"/>
              <w:spacing w:after="0"/>
              <w:rPr>
                <w:sz w:val="20"/>
                <w:szCs w:val="20"/>
                <w:color w:val="auto"/>
              </w:rPr>
            </w:pPr>
            <w:r>
              <w:rPr>
                <w:rFonts w:ascii="Arial" w:cs="Arial" w:eastAsia="Arial" w:hAnsi="Arial"/>
                <w:sz w:val="22"/>
                <w:szCs w:val="22"/>
                <w:color w:val="auto"/>
              </w:rPr>
              <w:t>TYPE OF REPORTING PERSON</w:t>
            </w: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0" w:type="dxa"/>
            <w:vAlign w:val="bottom"/>
            <w:tcBorders>
              <w:left w:val="single" w:sz="8" w:color="auto"/>
              <w:right w:val="single" w:sz="8" w:color="auto"/>
            </w:tcBorders>
          </w:tcPr>
          <w:p>
            <w:pPr>
              <w:spacing w:after="0"/>
              <w:rPr>
                <w:sz w:val="23"/>
                <w:szCs w:val="23"/>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22"/>
                <w:szCs w:val="22"/>
                <w:color w:val="auto"/>
              </w:rPr>
              <w:t>IN</w:t>
            </w:r>
          </w:p>
        </w:tc>
        <w:tc>
          <w:tcPr>
            <w:tcW w:w="698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420"/>
          </w:cols>
          <w:pgMar w:left="240" w:top="229" w:right="239" w:bottom="1440" w:gutter="0" w:footer="0" w:header="0"/>
        </w:sectPr>
      </w:pPr>
    </w:p>
    <w:p>
      <w:pPr>
        <w:spacing w:after="0" w:line="351"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2"/>
          <w:szCs w:val="22"/>
          <w:b w:val="1"/>
          <w:bCs w:val="1"/>
          <w:color w:val="auto"/>
        </w:rPr>
        <w:t>Item 1 (a).</w:t>
      </w:r>
      <w:r>
        <w:rPr>
          <w:sz w:val="20"/>
          <w:szCs w:val="20"/>
          <w:color w:val="auto"/>
        </w:rPr>
        <w:tab/>
      </w:r>
      <w:r>
        <w:rPr>
          <w:rFonts w:ascii="Arial" w:cs="Arial" w:eastAsia="Arial" w:hAnsi="Arial"/>
          <w:sz w:val="21"/>
          <w:szCs w:val="21"/>
          <w:b w:val="1"/>
          <w:bCs w:val="1"/>
          <w:color w:val="auto"/>
        </w:rPr>
        <w:t>NAME OF ISSUER</w:t>
      </w:r>
    </w:p>
    <w:p>
      <w:pPr>
        <w:spacing w:after="0" w:line="239"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Silver Spike Acquisition Corp. (the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227"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21"/>
          <w:szCs w:val="21"/>
          <w:b w:val="1"/>
          <w:bCs w:val="1"/>
          <w:color w:val="auto"/>
        </w:rPr>
        <w:t>ADDRESS OF ISSUER’S PRINCIPAL EXECUTIVE OFFICES</w:t>
      </w:r>
    </w:p>
    <w:p>
      <w:pPr>
        <w:spacing w:after="0" w:line="239"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1114 6th Ave, 41st Floor, New York, New York, 10036.</w:t>
      </w:r>
    </w:p>
    <w:p>
      <w:pPr>
        <w:spacing w:after="0" w:line="227"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21"/>
          <w:szCs w:val="21"/>
          <w:b w:val="1"/>
          <w:bCs w:val="1"/>
          <w:color w:val="auto"/>
        </w:rPr>
        <w:t>NAME OF PERSON FILING</w:t>
      </w:r>
    </w:p>
    <w:p>
      <w:pPr>
        <w:spacing w:after="0" w:line="239" w:lineRule="exact"/>
        <w:rPr>
          <w:sz w:val="20"/>
          <w:szCs w:val="20"/>
          <w:color w:val="auto"/>
        </w:rPr>
      </w:pPr>
    </w:p>
    <w:p>
      <w:pPr>
        <w:ind w:left="1820" w:right="340"/>
        <w:spacing w:after="0" w:line="251" w:lineRule="auto"/>
        <w:rPr>
          <w:sz w:val="20"/>
          <w:szCs w:val="20"/>
          <w:color w:val="auto"/>
        </w:rPr>
      </w:pPr>
      <w:r>
        <w:rPr>
          <w:rFonts w:ascii="Arial" w:cs="Arial" w:eastAsia="Arial" w:hAnsi="Arial"/>
          <w:sz w:val="22"/>
          <w:szCs w:val="22"/>
          <w:color w:val="auto"/>
        </w:rPr>
        <w:t>This Statement is filed by each of the entities and persons listed below, all of whom together are referred to herein as the “</w:t>
      </w:r>
      <w:r>
        <w:rPr>
          <w:rFonts w:ascii="Arial" w:cs="Arial" w:eastAsia="Arial" w:hAnsi="Arial"/>
          <w:sz w:val="22"/>
          <w:szCs w:val="22"/>
          <w:u w:val="single" w:color="auto"/>
          <w:color w:val="auto"/>
        </w:rPr>
        <w:t>Reporting Persons</w:t>
      </w:r>
      <w:r>
        <w:rPr>
          <w:rFonts w:ascii="Arial" w:cs="Arial" w:eastAsia="Arial" w:hAnsi="Arial"/>
          <w:sz w:val="22"/>
          <w:szCs w:val="22"/>
          <w:color w:val="auto"/>
        </w:rPr>
        <w:t>”:</w:t>
      </w:r>
    </w:p>
    <w:p>
      <w:pPr>
        <w:spacing w:after="0" w:line="200" w:lineRule="exact"/>
        <w:rPr>
          <w:sz w:val="20"/>
          <w:szCs w:val="20"/>
          <w:color w:val="auto"/>
        </w:rPr>
      </w:pPr>
    </w:p>
    <w:p>
      <w:pPr>
        <w:ind w:left="2620" w:right="220" w:hanging="793"/>
        <w:spacing w:after="0" w:line="252" w:lineRule="auto"/>
        <w:tabs>
          <w:tab w:leader="none" w:pos="2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Davidson Kempner Partners, a New York limited partnership (“</w:t>
      </w:r>
      <w:r>
        <w:rPr>
          <w:rFonts w:ascii="Arial" w:cs="Arial" w:eastAsia="Arial" w:hAnsi="Arial"/>
          <w:sz w:val="21"/>
          <w:szCs w:val="21"/>
          <w:u w:val="single" w:color="auto"/>
          <w:color w:val="auto"/>
        </w:rPr>
        <w:t>DKP</w:t>
      </w:r>
      <w:r>
        <w:rPr>
          <w:rFonts w:ascii="Arial" w:cs="Arial" w:eastAsia="Arial" w:hAnsi="Arial"/>
          <w:sz w:val="21"/>
          <w:szCs w:val="21"/>
          <w:color w:val="auto"/>
        </w:rPr>
        <w:t>”). MHD Management Co., a New York limited partnership (“</w:t>
      </w:r>
      <w:r>
        <w:rPr>
          <w:rFonts w:ascii="Arial" w:cs="Arial" w:eastAsia="Arial" w:hAnsi="Arial"/>
          <w:sz w:val="21"/>
          <w:szCs w:val="21"/>
          <w:u w:val="single" w:color="auto"/>
          <w:color w:val="auto"/>
        </w:rPr>
        <w:t>MHD</w:t>
      </w:r>
      <w:r>
        <w:rPr>
          <w:rFonts w:ascii="Arial" w:cs="Arial" w:eastAsia="Arial" w:hAnsi="Arial"/>
          <w:sz w:val="21"/>
          <w:szCs w:val="21"/>
          <w:color w:val="auto"/>
        </w:rPr>
        <w:t>”), is the general partner of DKP and MHD Management Co. GP, L.L.C., a Delaware limited liability company, is the general partner of MHD. DKCM is responsible for the voting and investment decisions of DKP;</w:t>
      </w:r>
    </w:p>
    <w:p>
      <w:pPr>
        <w:spacing w:after="0" w:line="201" w:lineRule="exact"/>
        <w:rPr>
          <w:rFonts w:ascii="Arial" w:cs="Arial" w:eastAsia="Arial" w:hAnsi="Arial"/>
          <w:sz w:val="21"/>
          <w:szCs w:val="21"/>
          <w:color w:val="auto"/>
        </w:rPr>
      </w:pPr>
    </w:p>
    <w:p>
      <w:pPr>
        <w:ind w:left="2620" w:right="200" w:hanging="793"/>
        <w:spacing w:after="0"/>
        <w:tabs>
          <w:tab w:leader="none" w:pos="2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Davidson Kempner Institutional Partners, L.P., a Delaware limited partnership (“</w:t>
      </w:r>
      <w:r>
        <w:rPr>
          <w:rFonts w:ascii="Arial" w:cs="Arial" w:eastAsia="Arial" w:hAnsi="Arial"/>
          <w:sz w:val="22"/>
          <w:szCs w:val="22"/>
          <w:u w:val="single" w:color="auto"/>
          <w:color w:val="auto"/>
        </w:rPr>
        <w:t>DKIP</w:t>
      </w:r>
      <w:r>
        <w:rPr>
          <w:rFonts w:ascii="Arial" w:cs="Arial" w:eastAsia="Arial" w:hAnsi="Arial"/>
          <w:sz w:val="22"/>
          <w:szCs w:val="22"/>
          <w:color w:val="auto"/>
        </w:rPr>
        <w:t>”). Davidson Kempner Advisers Inc., a New York corporation, is the general partner of DKIP. DKCM is responsible for the voting and investment decisions of DKIP;</w:t>
      </w:r>
    </w:p>
    <w:p>
      <w:pPr>
        <w:spacing w:after="0" w:line="213" w:lineRule="exact"/>
        <w:rPr>
          <w:rFonts w:ascii="Arial" w:cs="Arial" w:eastAsia="Arial" w:hAnsi="Arial"/>
          <w:sz w:val="22"/>
          <w:szCs w:val="22"/>
          <w:color w:val="auto"/>
        </w:rPr>
      </w:pPr>
    </w:p>
    <w:p>
      <w:pPr>
        <w:ind w:left="2620" w:hanging="793"/>
        <w:spacing w:after="0"/>
        <w:tabs>
          <w:tab w:leader="none" w:pos="2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Davidson Kempner International, Ltd., a British Virgin Islands business company</w:t>
      </w:r>
    </w:p>
    <w:p>
      <w:pPr>
        <w:spacing w:after="0" w:line="8" w:lineRule="exact"/>
        <w:rPr>
          <w:rFonts w:ascii="Arial" w:cs="Arial" w:eastAsia="Arial" w:hAnsi="Arial"/>
          <w:sz w:val="22"/>
          <w:szCs w:val="22"/>
          <w:color w:val="auto"/>
        </w:rPr>
      </w:pPr>
    </w:p>
    <w:p>
      <w:pPr>
        <w:ind w:left="2620" w:right="820"/>
        <w:spacing w:after="0" w:line="237"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DKIL</w:t>
      </w:r>
      <w:r>
        <w:rPr>
          <w:rFonts w:ascii="Arial" w:cs="Arial" w:eastAsia="Arial" w:hAnsi="Arial"/>
          <w:sz w:val="22"/>
          <w:szCs w:val="22"/>
          <w:color w:val="auto"/>
        </w:rPr>
        <w:t>”). DKCM is the investment manager of DKIL and is responsible for the voting and investment decisions of DKIL;</w:t>
      </w:r>
    </w:p>
    <w:p>
      <w:pPr>
        <w:spacing w:after="0" w:line="211" w:lineRule="exact"/>
        <w:rPr>
          <w:rFonts w:ascii="Arial" w:cs="Arial" w:eastAsia="Arial" w:hAnsi="Arial"/>
          <w:sz w:val="22"/>
          <w:szCs w:val="22"/>
          <w:color w:val="auto"/>
        </w:rPr>
      </w:pPr>
    </w:p>
    <w:p>
      <w:pPr>
        <w:ind w:left="2620" w:right="160" w:hanging="793"/>
        <w:spacing w:after="0" w:line="246" w:lineRule="auto"/>
        <w:tabs>
          <w:tab w:leader="none" w:pos="2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Davidson Kempner Capital Management LP, a Delaware limited partnership and a registered investment adviser with the U.S. Securities and Exchange Commission, acts as investment manager to each of DKP, DKIP and DKIL (“</w:t>
      </w:r>
      <w:r>
        <w:rPr>
          <w:rFonts w:ascii="Arial" w:cs="Arial" w:eastAsia="Arial" w:hAnsi="Arial"/>
          <w:sz w:val="21"/>
          <w:szCs w:val="21"/>
          <w:u w:val="single" w:color="auto"/>
          <w:color w:val="auto"/>
        </w:rPr>
        <w:t>DKCM</w:t>
      </w:r>
      <w:r>
        <w:rPr>
          <w:rFonts w:ascii="Arial" w:cs="Arial" w:eastAsia="Arial" w:hAnsi="Arial"/>
          <w:sz w:val="21"/>
          <w:szCs w:val="21"/>
          <w:color w:val="auto"/>
        </w:rPr>
        <w:t>”) either directly or by virtue of a sub-advisory agreement with the investment manager of the relevant fund. DKCM GP LLC, a Delaware limited liability company, is the general partner of DKCM. The managing members of DKCM are Anthony A. Yoseloff, Eric P. Epstein, Avram Z. Friedman, Conor Bastable, Shulamit Leviant, Morgan P. Blackwell, Patrick W. Dennis, Gabriel T. Schwartz, Zachary Z. Altschuler, Joshua D. Morris and Suzanne K. Gibbons; and</w:t>
      </w:r>
    </w:p>
    <w:p>
      <w:pPr>
        <w:spacing w:after="0" w:line="207" w:lineRule="exact"/>
        <w:rPr>
          <w:rFonts w:ascii="Arial" w:cs="Arial" w:eastAsia="Arial" w:hAnsi="Arial"/>
          <w:sz w:val="21"/>
          <w:szCs w:val="21"/>
          <w:color w:val="auto"/>
        </w:rPr>
      </w:pPr>
    </w:p>
    <w:p>
      <w:pPr>
        <w:ind w:left="2620" w:right="220" w:hanging="793"/>
        <w:spacing w:after="0" w:line="297" w:lineRule="auto"/>
        <w:tabs>
          <w:tab w:leader="none" w:pos="2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Mr. Anthony A. Yoseloff through DKCM, is responsible for the voting and investment decisions relating to the securities held by DKP, DKIP and DKIL reported herein. Effective January 1, 2020, Mr. Thomas L. Kempner, Jr. retired from DKCM and is therefore no longer a Reporting Person.</w:t>
      </w:r>
    </w:p>
    <w:p>
      <w:pPr>
        <w:sectPr>
          <w:pgSz w:w="11900" w:h="16838" w:orient="portrait"/>
          <w:cols w:equalWidth="0" w:num="1">
            <w:col w:w="11420"/>
          </w:cols>
          <w:pgMar w:left="240" w:top="229" w:right="239" w:bottom="1440" w:gutter="0" w:footer="0" w:header="0"/>
          <w:type w:val="continuous"/>
        </w:sectPr>
      </w:pPr>
    </w:p>
    <w:bookmarkStart w:id="7" w:name="page8"/>
    <w:bookmarkEnd w:id="7"/>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420"/>
          </w:cols>
          <w:pgMar w:left="240" w:top="229" w:right="239" w:bottom="1440" w:gutter="0" w:footer="0" w:header="0"/>
        </w:sectPr>
      </w:pPr>
    </w:p>
    <w:p>
      <w:pPr>
        <w:spacing w:after="0" w:line="351"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21"/>
          <w:szCs w:val="21"/>
          <w:b w:val="1"/>
          <w:bCs w:val="1"/>
          <w:color w:val="auto"/>
        </w:rPr>
        <w:t>ADDRESS OF PRINCIPAL BUSINESS OFFICE OR, IF NONE, RESIDENCE</w:t>
      </w:r>
    </w:p>
    <w:p>
      <w:pPr>
        <w:spacing w:after="0" w:line="239" w:lineRule="exact"/>
        <w:rPr>
          <w:sz w:val="20"/>
          <w:szCs w:val="20"/>
          <w:color w:val="auto"/>
        </w:rPr>
      </w:pPr>
    </w:p>
    <w:p>
      <w:pPr>
        <w:ind w:left="1820" w:right="700"/>
        <w:spacing w:after="0" w:line="328" w:lineRule="auto"/>
        <w:rPr>
          <w:sz w:val="20"/>
          <w:szCs w:val="20"/>
          <w:color w:val="auto"/>
        </w:rPr>
      </w:pPr>
      <w:r>
        <w:rPr>
          <w:rFonts w:ascii="Arial" w:cs="Arial" w:eastAsia="Arial" w:hAnsi="Arial"/>
          <w:sz w:val="19"/>
          <w:szCs w:val="19"/>
          <w:color w:val="auto"/>
        </w:rPr>
        <w:t>The address of the principal business office of each of the Reporting Persons is c/o Davidson Kempner Capital Management LP, 520 Madison Avenue, 30th Floor, New York, New York 10022.</w:t>
      </w:r>
    </w:p>
    <w:p>
      <w:pPr>
        <w:spacing w:after="0" w:line="126"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22"/>
          <w:szCs w:val="22"/>
          <w:b w:val="1"/>
          <w:bCs w:val="1"/>
          <w:color w:val="auto"/>
        </w:rPr>
        <w:t>CITIZENSHIP</w:t>
      </w:r>
    </w:p>
    <w:p>
      <w:pPr>
        <w:spacing w:after="0" w:line="239" w:lineRule="exact"/>
        <w:rPr>
          <w:sz w:val="20"/>
          <w:szCs w:val="20"/>
          <w:color w:val="auto"/>
        </w:rPr>
      </w:pPr>
    </w:p>
    <w:p>
      <w:pPr>
        <w:ind w:left="2520" w:hanging="801"/>
        <w:spacing w:after="0"/>
        <w:tabs>
          <w:tab w:leader="none" w:pos="2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DKP – a New York limited partnership</w:t>
      </w:r>
    </w:p>
    <w:p>
      <w:pPr>
        <w:spacing w:after="0" w:line="233" w:lineRule="exact"/>
        <w:rPr>
          <w:rFonts w:ascii="Arial" w:cs="Arial" w:eastAsia="Arial" w:hAnsi="Arial"/>
          <w:sz w:val="22"/>
          <w:szCs w:val="22"/>
          <w:color w:val="auto"/>
        </w:rPr>
      </w:pPr>
    </w:p>
    <w:p>
      <w:pPr>
        <w:ind w:left="2520" w:hanging="801"/>
        <w:spacing w:after="0"/>
        <w:tabs>
          <w:tab w:leader="none" w:pos="2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DKIP – a Delaware limited partnership</w:t>
      </w:r>
    </w:p>
    <w:p>
      <w:pPr>
        <w:spacing w:after="0" w:line="233" w:lineRule="exact"/>
        <w:rPr>
          <w:rFonts w:ascii="Arial" w:cs="Arial" w:eastAsia="Arial" w:hAnsi="Arial"/>
          <w:sz w:val="22"/>
          <w:szCs w:val="22"/>
          <w:color w:val="auto"/>
        </w:rPr>
      </w:pPr>
    </w:p>
    <w:p>
      <w:pPr>
        <w:ind w:left="2520" w:hanging="801"/>
        <w:spacing w:after="0"/>
        <w:tabs>
          <w:tab w:leader="none" w:pos="2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DKIL – a British Virgin Islands business company</w:t>
      </w:r>
    </w:p>
    <w:p>
      <w:pPr>
        <w:spacing w:after="0" w:line="233" w:lineRule="exact"/>
        <w:rPr>
          <w:rFonts w:ascii="Arial" w:cs="Arial" w:eastAsia="Arial" w:hAnsi="Arial"/>
          <w:sz w:val="22"/>
          <w:szCs w:val="22"/>
          <w:color w:val="auto"/>
        </w:rPr>
      </w:pPr>
    </w:p>
    <w:p>
      <w:pPr>
        <w:ind w:left="2520" w:hanging="801"/>
        <w:spacing w:after="0"/>
        <w:tabs>
          <w:tab w:leader="none" w:pos="2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DKCM – a Delaware limited partnership</w:t>
      </w:r>
    </w:p>
    <w:p>
      <w:pPr>
        <w:spacing w:after="0" w:line="233" w:lineRule="exact"/>
        <w:rPr>
          <w:rFonts w:ascii="Arial" w:cs="Arial" w:eastAsia="Arial" w:hAnsi="Arial"/>
          <w:sz w:val="22"/>
          <w:szCs w:val="22"/>
          <w:color w:val="auto"/>
        </w:rPr>
      </w:pPr>
    </w:p>
    <w:p>
      <w:pPr>
        <w:ind w:left="2520" w:hanging="801"/>
        <w:spacing w:after="0"/>
        <w:tabs>
          <w:tab w:leader="none" w:pos="2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Mr. Anthony A. Yoseloff – United States</w:t>
      </w:r>
    </w:p>
    <w:p>
      <w:pPr>
        <w:spacing w:after="0" w:line="227"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21"/>
          <w:szCs w:val="21"/>
          <w:b w:val="1"/>
          <w:bCs w:val="1"/>
          <w:color w:val="auto"/>
        </w:rPr>
        <w:t>TITLE OF CLASS OF SECURITIES</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Class A Ordinary Shares, par value $0.0001 per share (the “</w:t>
      </w:r>
      <w:r>
        <w:rPr>
          <w:rFonts w:ascii="Arial" w:cs="Arial" w:eastAsia="Arial" w:hAnsi="Arial"/>
          <w:sz w:val="22"/>
          <w:szCs w:val="22"/>
          <w:u w:val="single" w:color="auto"/>
          <w:color w:val="auto"/>
        </w:rPr>
        <w:t>Class A Ordinary Shares</w:t>
      </w:r>
      <w:r>
        <w:rPr>
          <w:rFonts w:ascii="Arial" w:cs="Arial" w:eastAsia="Arial" w:hAnsi="Arial"/>
          <w:sz w:val="22"/>
          <w:szCs w:val="22"/>
          <w:color w:val="auto"/>
        </w:rPr>
        <w:t>”)</w:t>
      </w:r>
    </w:p>
    <w:p>
      <w:pPr>
        <w:spacing w:after="0" w:line="227"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21"/>
          <w:szCs w:val="21"/>
          <w:b w:val="1"/>
          <w:bCs w:val="1"/>
          <w:color w:val="auto"/>
        </w:rPr>
        <w:t>CUSIP NUMBER:</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G8136L106</w:t>
      </w:r>
    </w:p>
    <w:p>
      <w:pPr>
        <w:spacing w:after="0" w:line="227" w:lineRule="exact"/>
        <w:rPr>
          <w:sz w:val="20"/>
          <w:szCs w:val="20"/>
          <w:color w:val="auto"/>
        </w:rPr>
      </w:pPr>
    </w:p>
    <w:p>
      <w:pPr>
        <w:ind w:left="1720" w:right="100" w:hanging="1606"/>
        <w:spacing w:after="0" w:line="256" w:lineRule="auto"/>
        <w:tabs>
          <w:tab w:leader="none" w:pos="17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RULES 13d-1(b), OR 13d-2(b) OR (c), CHECK WHETHER THE PERSON FILING IS A:</w:t>
      </w:r>
    </w:p>
    <w:p>
      <w:pPr>
        <w:spacing w:after="0" w:line="169" w:lineRule="exact"/>
        <w:rPr>
          <w:sz w:val="20"/>
          <w:szCs w:val="20"/>
          <w:color w:val="auto"/>
        </w:rPr>
      </w:pPr>
    </w:p>
    <w:p>
      <w:pPr>
        <w:ind w:left="2500" w:hanging="781"/>
        <w:spacing w:after="0" w:line="253" w:lineRule="exact"/>
        <w:tabs>
          <w:tab w:leader="none" w:pos="2500" w:val="left"/>
        </w:tabs>
        <w:numPr>
          <w:ilvl w:val="0"/>
          <w:numId w:val="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Act;</w:t>
      </w:r>
    </w:p>
    <w:p>
      <w:pPr>
        <w:spacing w:after="0" w:line="219" w:lineRule="exact"/>
        <w:rPr>
          <w:rFonts w:ascii="Arial" w:cs="Arial" w:eastAsia="Arial" w:hAnsi="Arial"/>
          <w:sz w:val="22"/>
          <w:szCs w:val="22"/>
          <w:color w:val="auto"/>
        </w:rPr>
      </w:pPr>
    </w:p>
    <w:p>
      <w:pPr>
        <w:ind w:left="2500" w:hanging="781"/>
        <w:spacing w:after="0" w:line="253" w:lineRule="exact"/>
        <w:tabs>
          <w:tab w:leader="none" w:pos="2500" w:val="left"/>
        </w:tabs>
        <w:numPr>
          <w:ilvl w:val="0"/>
          <w:numId w:val="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Act;</w:t>
      </w:r>
    </w:p>
    <w:p>
      <w:pPr>
        <w:spacing w:after="0" w:line="219" w:lineRule="exact"/>
        <w:rPr>
          <w:rFonts w:ascii="Arial" w:cs="Arial" w:eastAsia="Arial" w:hAnsi="Arial"/>
          <w:sz w:val="22"/>
          <w:szCs w:val="22"/>
          <w:color w:val="auto"/>
        </w:rPr>
      </w:pPr>
    </w:p>
    <w:p>
      <w:pPr>
        <w:ind w:left="2500" w:hanging="781"/>
        <w:spacing w:after="0" w:line="253" w:lineRule="exact"/>
        <w:tabs>
          <w:tab w:leader="none" w:pos="2500" w:val="left"/>
        </w:tabs>
        <w:numPr>
          <w:ilvl w:val="0"/>
          <w:numId w:val="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Act;</w:t>
      </w:r>
    </w:p>
    <w:p>
      <w:pPr>
        <w:spacing w:after="0" w:line="219" w:lineRule="exact"/>
        <w:rPr>
          <w:rFonts w:ascii="Arial" w:cs="Arial" w:eastAsia="Arial" w:hAnsi="Arial"/>
          <w:sz w:val="22"/>
          <w:szCs w:val="22"/>
          <w:color w:val="auto"/>
        </w:rPr>
      </w:pPr>
    </w:p>
    <w:p>
      <w:pPr>
        <w:ind w:left="2500" w:hanging="781"/>
        <w:spacing w:after="0" w:line="242" w:lineRule="exact"/>
        <w:tabs>
          <w:tab w:leader="none" w:pos="2500" w:val="left"/>
        </w:tabs>
        <w:numPr>
          <w:ilvl w:val="0"/>
          <w:numId w:val="4"/>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Investment company registered under Section 8 of the Investment Company Act of 1940;</w:t>
      </w:r>
    </w:p>
    <w:p>
      <w:pPr>
        <w:spacing w:after="0" w:line="231" w:lineRule="exact"/>
        <w:rPr>
          <w:rFonts w:ascii="Arial" w:cs="Arial" w:eastAsia="Arial" w:hAnsi="Arial"/>
          <w:sz w:val="21"/>
          <w:szCs w:val="21"/>
          <w:color w:val="auto"/>
        </w:rPr>
      </w:pPr>
    </w:p>
    <w:p>
      <w:pPr>
        <w:ind w:left="2500" w:hanging="781"/>
        <w:spacing w:after="0" w:line="253" w:lineRule="exact"/>
        <w:tabs>
          <w:tab w:leader="none" w:pos="2500" w:val="left"/>
        </w:tabs>
        <w:numPr>
          <w:ilvl w:val="0"/>
          <w:numId w:val="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investment adviser in accordance with Rule 13d-1(b)(1)(ii)(E);</w:t>
      </w:r>
    </w:p>
    <w:p>
      <w:pPr>
        <w:spacing w:after="0" w:line="219" w:lineRule="exact"/>
        <w:rPr>
          <w:rFonts w:ascii="Arial" w:cs="Arial" w:eastAsia="Arial" w:hAnsi="Arial"/>
          <w:sz w:val="22"/>
          <w:szCs w:val="22"/>
          <w:color w:val="auto"/>
        </w:rPr>
      </w:pPr>
    </w:p>
    <w:p>
      <w:pPr>
        <w:ind w:left="2500" w:hanging="781"/>
        <w:spacing w:after="0" w:line="242" w:lineRule="exact"/>
        <w:tabs>
          <w:tab w:leader="none" w:pos="2500" w:val="left"/>
        </w:tabs>
        <w:numPr>
          <w:ilvl w:val="0"/>
          <w:numId w:val="4"/>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An employee benefit plan or endowment fund in accordance with Rule 13d-1(b)(1)(ii)(F);</w:t>
      </w:r>
    </w:p>
    <w:p>
      <w:pPr>
        <w:spacing w:after="0" w:line="244" w:lineRule="exact"/>
        <w:rPr>
          <w:rFonts w:ascii="Arial" w:cs="Arial" w:eastAsia="Arial" w:hAnsi="Arial"/>
          <w:sz w:val="21"/>
          <w:szCs w:val="21"/>
          <w:color w:val="auto"/>
        </w:rPr>
      </w:pPr>
    </w:p>
    <w:p>
      <w:pPr>
        <w:ind w:left="2500" w:hanging="781"/>
        <w:spacing w:after="0" w:line="253" w:lineRule="exact"/>
        <w:tabs>
          <w:tab w:leader="none" w:pos="2500" w:val="left"/>
        </w:tabs>
        <w:numPr>
          <w:ilvl w:val="0"/>
          <w:numId w:val="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parent holding company or control person in accordance with Rule 13d-1(b)(1)(ii)(G);</w:t>
      </w:r>
    </w:p>
    <w:p>
      <w:pPr>
        <w:sectPr>
          <w:pgSz w:w="11900" w:h="16838" w:orient="portrait"/>
          <w:cols w:equalWidth="0" w:num="1">
            <w:col w:w="11420"/>
          </w:cols>
          <w:pgMar w:left="240" w:top="229" w:right="239" w:bottom="1440" w:gutter="0" w:footer="0" w:header="0"/>
          <w:type w:val="continuous"/>
        </w:sectPr>
      </w:pPr>
    </w:p>
    <w:bookmarkStart w:id="8" w:name="page9"/>
    <w:bookmarkEnd w:id="8"/>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420"/>
          </w:cols>
          <w:pgMar w:left="240" w:top="229" w:right="239" w:bottom="1440" w:gutter="0" w:footer="0" w:header="0"/>
        </w:sectPr>
      </w:pPr>
    </w:p>
    <w:p>
      <w:pPr>
        <w:spacing w:after="0" w:line="331" w:lineRule="exact"/>
        <w:rPr>
          <w:sz w:val="20"/>
          <w:szCs w:val="20"/>
          <w:color w:val="auto"/>
        </w:rPr>
      </w:pPr>
    </w:p>
    <w:p>
      <w:pPr>
        <w:ind w:left="2500" w:hanging="781"/>
        <w:spacing w:after="0" w:line="253" w:lineRule="exact"/>
        <w:tabs>
          <w:tab w:leader="none" w:pos="250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savings association as defined in Section 3(b) of the Federal Deposit Insurance Act;</w:t>
      </w:r>
    </w:p>
    <w:p>
      <w:pPr>
        <w:spacing w:after="0" w:line="233" w:lineRule="exact"/>
        <w:rPr>
          <w:rFonts w:ascii="Arial" w:cs="Arial" w:eastAsia="Arial" w:hAnsi="Arial"/>
          <w:sz w:val="22"/>
          <w:szCs w:val="22"/>
          <w:color w:val="auto"/>
        </w:rPr>
      </w:pPr>
    </w:p>
    <w:p>
      <w:pPr>
        <w:ind w:left="2500" w:hanging="781"/>
        <w:spacing w:after="0" w:line="219" w:lineRule="exact"/>
        <w:tabs>
          <w:tab w:leader="none" w:pos="2500" w:val="left"/>
        </w:tabs>
        <w:numPr>
          <w:ilvl w:val="0"/>
          <w:numId w:val="5"/>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church plan that is excluded from the definition of an investment company under Section 3(c)</w:t>
      </w:r>
    </w:p>
    <w:p>
      <w:pPr>
        <w:spacing w:after="0" w:line="69" w:lineRule="exact"/>
        <w:rPr>
          <w:rFonts w:ascii="Arial" w:cs="Arial" w:eastAsia="Arial" w:hAnsi="Arial"/>
          <w:sz w:val="19"/>
          <w:szCs w:val="19"/>
          <w:color w:val="auto"/>
        </w:rPr>
      </w:pPr>
    </w:p>
    <w:p>
      <w:pPr>
        <w:ind w:left="3380" w:hanging="405"/>
        <w:spacing w:after="0"/>
        <w:tabs>
          <w:tab w:leader="none" w:pos="3380" w:val="left"/>
        </w:tabs>
        <w:numPr>
          <w:ilvl w:val="1"/>
          <w:numId w:val="5"/>
        </w:numPr>
        <w:rPr>
          <w:rFonts w:ascii="Arial" w:cs="Arial" w:eastAsia="Arial" w:hAnsi="Arial"/>
          <w:sz w:val="22"/>
          <w:szCs w:val="22"/>
          <w:color w:val="auto"/>
        </w:rPr>
      </w:pPr>
      <w:r>
        <w:rPr>
          <w:rFonts w:ascii="Arial" w:cs="Arial" w:eastAsia="Arial" w:hAnsi="Arial"/>
          <w:sz w:val="22"/>
          <w:szCs w:val="22"/>
          <w:color w:val="auto"/>
        </w:rPr>
        <w:t>of the Investment Company Act;</w:t>
      </w:r>
    </w:p>
    <w:p>
      <w:pPr>
        <w:spacing w:after="0" w:line="188" w:lineRule="exact"/>
        <w:rPr>
          <w:rFonts w:ascii="Arial" w:cs="Arial" w:eastAsia="Arial" w:hAnsi="Arial"/>
          <w:sz w:val="22"/>
          <w:szCs w:val="22"/>
          <w:color w:val="auto"/>
        </w:rPr>
      </w:pPr>
    </w:p>
    <w:p>
      <w:pPr>
        <w:ind w:left="2500" w:hanging="781"/>
        <w:spacing w:after="0" w:line="253" w:lineRule="exact"/>
        <w:tabs>
          <w:tab w:leader="none" w:pos="250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non-U.S. institution in accordance with Rule 13d-1(b)(1)(ii)(J);</w:t>
      </w:r>
    </w:p>
    <w:p>
      <w:pPr>
        <w:spacing w:after="0" w:line="219" w:lineRule="exact"/>
        <w:rPr>
          <w:rFonts w:ascii="Arial" w:cs="Arial" w:eastAsia="Arial" w:hAnsi="Arial"/>
          <w:sz w:val="22"/>
          <w:szCs w:val="22"/>
          <w:color w:val="auto"/>
        </w:rPr>
      </w:pPr>
    </w:p>
    <w:p>
      <w:pPr>
        <w:ind w:left="2500" w:hanging="781"/>
        <w:spacing w:after="0" w:line="253" w:lineRule="exact"/>
        <w:tabs>
          <w:tab w:leader="none" w:pos="250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Rule 13d-1(b)(1)(ii)(K).</w:t>
      </w:r>
    </w:p>
    <w:p>
      <w:pPr>
        <w:spacing w:after="0" w:line="200" w:lineRule="exact"/>
        <w:rPr>
          <w:sz w:val="20"/>
          <w:szCs w:val="20"/>
          <w:color w:val="auto"/>
        </w:rPr>
      </w:pPr>
    </w:p>
    <w:p>
      <w:pPr>
        <w:spacing w:after="0" w:line="289" w:lineRule="exact"/>
        <w:rPr>
          <w:sz w:val="20"/>
          <w:szCs w:val="20"/>
          <w:color w:val="auto"/>
        </w:rPr>
      </w:pPr>
    </w:p>
    <w:p>
      <w:pPr>
        <w:ind w:left="1820" w:right="2420"/>
        <w:spacing w:after="0" w:line="251" w:lineRule="auto"/>
        <w:rPr>
          <w:sz w:val="20"/>
          <w:szCs w:val="20"/>
          <w:color w:val="auto"/>
        </w:rPr>
      </w:pPr>
      <w:r>
        <w:rPr>
          <w:rFonts w:ascii="Arial" w:cs="Arial" w:eastAsia="Arial" w:hAnsi="Arial"/>
          <w:sz w:val="22"/>
          <w:szCs w:val="22"/>
          <w:color w:val="auto"/>
        </w:rPr>
        <w:t>If filing as a non-U.S. institution in accordance with Rule 13d-1(b)(1)(ii)(J), please specify the type of institution:____________________________</w:t>
      </w:r>
    </w:p>
    <w:p>
      <w:pPr>
        <w:spacing w:after="0" w:line="194"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OWNERSHIP.</w:t>
      </w:r>
    </w:p>
    <w:p>
      <w:pPr>
        <w:spacing w:after="0" w:line="239" w:lineRule="exact"/>
        <w:rPr>
          <w:sz w:val="20"/>
          <w:szCs w:val="20"/>
          <w:color w:val="auto"/>
        </w:rPr>
      </w:pPr>
    </w:p>
    <w:p>
      <w:pPr>
        <w:ind w:left="1720" w:right="880"/>
        <w:spacing w:after="0" w:line="328" w:lineRule="auto"/>
        <w:rPr>
          <w:sz w:val="20"/>
          <w:szCs w:val="20"/>
          <w:color w:val="auto"/>
        </w:rPr>
      </w:pPr>
      <w:r>
        <w:rPr>
          <w:rFonts w:ascii="Arial" w:cs="Arial" w:eastAsia="Arial" w:hAnsi="Arial"/>
          <w:sz w:val="19"/>
          <w:szCs w:val="19"/>
          <w:color w:val="auto"/>
        </w:rPr>
        <w:t>The information required by Items 4(a) – (c) is set forth in Rows (5) – (11) of the cover page for each Reporting Person hereto and is incorporated herein by reference for each such Reporting Person.</w:t>
      </w:r>
    </w:p>
    <w:p>
      <w:pPr>
        <w:spacing w:after="0" w:line="132" w:lineRule="exact"/>
        <w:rPr>
          <w:sz w:val="20"/>
          <w:szCs w:val="20"/>
          <w:color w:val="auto"/>
        </w:rPr>
      </w:pPr>
    </w:p>
    <w:p>
      <w:pPr>
        <w:ind w:left="1720" w:right="260"/>
        <w:spacing w:after="0" w:line="238" w:lineRule="auto"/>
        <w:rPr>
          <w:sz w:val="20"/>
          <w:szCs w:val="20"/>
          <w:color w:val="auto"/>
        </w:rPr>
      </w:pPr>
      <w:r>
        <w:rPr>
          <w:rFonts w:ascii="Arial" w:cs="Arial" w:eastAsia="Arial" w:hAnsi="Arial"/>
          <w:sz w:val="22"/>
          <w:szCs w:val="22"/>
          <w:color w:val="auto"/>
        </w:rPr>
        <w:t>The percentages used in this Schedule 13G/A are calculated based upon 25,000,000 Class A Ordinary Shares outstanding as of November 13, 2019, as reported in the Issuer’s Quarterly Report on Form 10-Q for the quarterly period ended September 30, 2019, as filed with the Securities and Exchange Commission on November 13, 2019.</w:t>
      </w:r>
    </w:p>
    <w:p>
      <w:pPr>
        <w:spacing w:after="0" w:line="206"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OWNERSHIP OF FIVE PERCENT OR LESS OF A CLASS.</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OWNERSHIP OF MORE THAN FIVE PERCENT ON BEHALF OF ANOTHER PERSON.</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left="1720" w:right="120" w:hanging="1606"/>
        <w:spacing w:after="0" w:line="243" w:lineRule="auto"/>
        <w:tabs>
          <w:tab w:leader="none" w:pos="17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210"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1"/>
          <w:szCs w:val="21"/>
          <w:b w:val="1"/>
          <w:bCs w:val="1"/>
          <w:color w:val="auto"/>
        </w:rPr>
        <w:t>IDENTIFICATION AND CLASSIFICATION OF MEMBERS OF THE GROUP.</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29" w:right="239" w:bottom="1440" w:gutter="0" w:footer="0" w:header="0"/>
          <w:type w:val="continuous"/>
        </w:sectPr>
      </w:pPr>
    </w:p>
    <w:bookmarkStart w:id="9" w:name="page10"/>
    <w:bookmarkEnd w:id="9"/>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420"/>
          </w:cols>
          <w:pgMar w:left="240" w:top="229" w:right="239" w:bottom="1440" w:gutter="0" w:footer="0" w:header="0"/>
        </w:sectPr>
      </w:pPr>
    </w:p>
    <w:p>
      <w:pPr>
        <w:spacing w:after="0" w:line="351"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1"/>
          <w:szCs w:val="21"/>
          <w:b w:val="1"/>
          <w:bCs w:val="1"/>
          <w:color w:val="auto"/>
        </w:rPr>
        <w:t>NOTICE OF DISSOLUTION OF GROUP.</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2"/>
          <w:szCs w:val="22"/>
          <w:b w:val="1"/>
          <w:bCs w:val="1"/>
          <w:color w:val="auto"/>
        </w:rPr>
        <w:t>CERTIFICATION.</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Each of the Reporting Persons hereby makes the following certification:</w:t>
      </w:r>
    </w:p>
    <w:p>
      <w:pPr>
        <w:spacing w:after="0" w:line="233" w:lineRule="exact"/>
        <w:rPr>
          <w:sz w:val="20"/>
          <w:szCs w:val="20"/>
          <w:color w:val="auto"/>
        </w:rPr>
      </w:pPr>
    </w:p>
    <w:p>
      <w:pPr>
        <w:ind w:left="1720" w:right="100"/>
        <w:spacing w:after="0" w:line="252" w:lineRule="auto"/>
        <w:rPr>
          <w:sz w:val="20"/>
          <w:szCs w:val="20"/>
          <w:color w:val="auto"/>
        </w:rPr>
      </w:pPr>
      <w:r>
        <w:rPr>
          <w:rFonts w:ascii="Arial" w:cs="Arial" w:eastAsia="Arial" w:hAnsi="Arial"/>
          <w:sz w:val="21"/>
          <w:szCs w:val="21"/>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10" w:name="page11"/>
    <w:bookmarkEnd w:id="10"/>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480" w:type="dxa"/>
            <w:vAlign w:val="bottom"/>
          </w:tcPr>
          <w:p>
            <w:pPr>
              <w:spacing w:after="0"/>
              <w:rPr>
                <w:sz w:val="20"/>
                <w:szCs w:val="20"/>
                <w:color w:val="auto"/>
              </w:rPr>
            </w:pPr>
            <w:r>
              <w:rPr>
                <w:rFonts w:ascii="Arial" w:cs="Arial" w:eastAsia="Arial" w:hAnsi="Arial"/>
                <w:sz w:val="22"/>
                <w:szCs w:val="22"/>
                <w:color w:val="auto"/>
              </w:rPr>
              <w:t>DATE: February 13, 2020</w:t>
            </w: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/s/ Anthony A. Yoseloff</w:t>
            </w:r>
          </w:p>
        </w:tc>
        <w:tc>
          <w:tcPr>
            <w:tcW w:w="3660" w:type="dxa"/>
            <w:vAlign w:val="bottom"/>
          </w:tcPr>
          <w:p>
            <w:pPr>
              <w:spacing w:after="0"/>
              <w:rPr>
                <w:sz w:val="21"/>
                <w:szCs w:val="21"/>
                <w:color w:val="auto"/>
              </w:rPr>
            </w:pPr>
          </w:p>
        </w:tc>
      </w:tr>
      <w:tr>
        <w:trPr>
          <w:trHeight w:val="242"/>
        </w:trPr>
        <w:tc>
          <w:tcPr>
            <w:tcW w:w="5480" w:type="dxa"/>
            <w:vAlign w:val="bottom"/>
          </w:tcPr>
          <w:p>
            <w:pPr>
              <w:spacing w:after="0"/>
              <w:rPr>
                <w:sz w:val="21"/>
                <w:szCs w:val="21"/>
                <w:color w:val="auto"/>
              </w:rPr>
            </w:pPr>
          </w:p>
        </w:tc>
        <w:tc>
          <w:tcPr>
            <w:tcW w:w="5720" w:type="dxa"/>
            <w:vAlign w:val="bottom"/>
            <w:gridSpan w:val="2"/>
          </w:tcPr>
          <w:p>
            <w:pPr>
              <w:spacing w:after="0" w:line="242" w:lineRule="exact"/>
              <w:rPr>
                <w:sz w:val="20"/>
                <w:szCs w:val="20"/>
                <w:color w:val="auto"/>
              </w:rPr>
            </w:pPr>
            <w:r>
              <w:rPr>
                <w:rFonts w:ascii="Arial" w:cs="Arial" w:eastAsia="Arial" w:hAnsi="Arial"/>
                <w:sz w:val="22"/>
                <w:szCs w:val="22"/>
                <w:color w:val="auto"/>
                <w:w w:val="99"/>
              </w:rPr>
              <w:t>ANTHONY A. YOSELOFF, (i) individually, (ii) as Executive</w:t>
            </w:r>
          </w:p>
        </w:tc>
      </w:tr>
      <w:tr>
        <w:trPr>
          <w:trHeight w:val="243"/>
        </w:trPr>
        <w:tc>
          <w:tcPr>
            <w:tcW w:w="548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rPr>
              <w:t>Managing Member of: (a) Davidson Kempner Capital</w:t>
            </w:r>
          </w:p>
        </w:tc>
      </w:tr>
      <w:tr>
        <w:trPr>
          <w:trHeight w:val="243"/>
        </w:trPr>
        <w:tc>
          <w:tcPr>
            <w:tcW w:w="548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w w:val="92"/>
              </w:rPr>
              <w:t>Management LP, (x) for itself and (y) as Investment Manager of</w:t>
            </w:r>
          </w:p>
        </w:tc>
      </w:tr>
      <w:tr>
        <w:trPr>
          <w:trHeight w:val="243"/>
        </w:trPr>
        <w:tc>
          <w:tcPr>
            <w:tcW w:w="548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w w:val="90"/>
              </w:rPr>
              <w:t>Davidson Kempner International, Ltd. and (b) MHD Management</w:t>
            </w:r>
          </w:p>
        </w:tc>
      </w:tr>
      <w:tr>
        <w:trPr>
          <w:trHeight w:val="243"/>
        </w:trPr>
        <w:tc>
          <w:tcPr>
            <w:tcW w:w="548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w w:val="91"/>
              </w:rPr>
              <w:t>Co. GP, L.L.C., as General Partner of MHD Management Co. as</w:t>
            </w:r>
          </w:p>
        </w:tc>
      </w:tr>
      <w:tr>
        <w:trPr>
          <w:trHeight w:val="243"/>
        </w:trPr>
        <w:tc>
          <w:tcPr>
            <w:tcW w:w="548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w w:val="99"/>
              </w:rPr>
              <w:t>General Partner of Davidson Kempner Partners and (iii) as</w:t>
            </w:r>
          </w:p>
        </w:tc>
      </w:tr>
      <w:tr>
        <w:trPr>
          <w:trHeight w:val="243"/>
        </w:trPr>
        <w:tc>
          <w:tcPr>
            <w:tcW w:w="548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22"/>
                <w:szCs w:val="22"/>
                <w:color w:val="auto"/>
                <w:w w:val="92"/>
              </w:rPr>
              <w:t>Director of Davidson Kempner Advisers Inc. as General Partner</w:t>
            </w:r>
          </w:p>
        </w:tc>
      </w:tr>
      <w:tr>
        <w:trPr>
          <w:trHeight w:val="275"/>
        </w:trPr>
        <w:tc>
          <w:tcPr>
            <w:tcW w:w="548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22"/>
                <w:szCs w:val="22"/>
                <w:color w:val="auto"/>
              </w:rPr>
              <w:t>of Davidson Kempner Institutional Partners, L.P.</w:t>
            </w:r>
          </w:p>
        </w:tc>
      </w:tr>
    </w:tbl>
    <w:p>
      <w:pPr>
        <w:spacing w:after="0" w:line="1" w:lineRule="exact"/>
        <w:rPr>
          <w:sz w:val="20"/>
          <w:szCs w:val="20"/>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8"/>
    </w:lvl>
    <w:lvl w:ilvl="1">
      <w:lvlJc w:val="left"/>
      <w:lvlText w:val="(%2)"/>
      <w:numFmt w:val="decimal"/>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2020-02-17T16:56:53Z</dcterms:created>
  <dcterms:modified xsi:type="dcterms:W3CDTF">2020-02-17T16:56:53Z</dcterms:modified>
</cp:coreProperties>
</file>