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2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5, 2022</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100" w:type="dxa"/>
            <w:vAlign w:val="bottom"/>
          </w:tcPr>
          <w:p>
            <w:pPr>
              <w:jc w:val="right"/>
              <w:ind w:right="1293"/>
              <w:spacing w:after="0"/>
              <w:rPr>
                <w:sz w:val="20"/>
                <w:szCs w:val="20"/>
                <w:color w:val="auto"/>
              </w:rPr>
            </w:pPr>
            <w:r>
              <w:rPr>
                <w:rFonts w:ascii="Times New Roman" w:cs="Times New Roman" w:eastAsia="Times New Roman" w:hAnsi="Times New Roman"/>
                <w:sz w:val="17"/>
                <w:szCs w:val="17"/>
                <w:b w:val="1"/>
                <w:bCs w:val="1"/>
                <w:color w:val="auto"/>
              </w:rPr>
              <w:t>7372</w:t>
            </w:r>
          </w:p>
        </w:tc>
        <w:tc>
          <w:tcPr>
            <w:tcW w:w="200" w:type="dxa"/>
            <w:vAlign w:val="bottom"/>
          </w:tcPr>
          <w:p>
            <w:pPr>
              <w:spacing w:after="0"/>
              <w:rPr>
                <w:sz w:val="19"/>
                <w:szCs w:val="19"/>
                <w:color w:val="auto"/>
              </w:rPr>
            </w:pPr>
          </w:p>
        </w:tc>
        <w:tc>
          <w:tcPr>
            <w:tcW w:w="3120" w:type="dxa"/>
            <w:vAlign w:val="bottom"/>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rPr>
              <w:t>98-1605615</w:t>
            </w:r>
          </w:p>
        </w:tc>
      </w:tr>
      <w:tr>
        <w:trPr>
          <w:trHeight w:val="56"/>
        </w:trPr>
        <w:tc>
          <w:tcPr>
            <w:tcW w:w="3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r>
      <w:tr>
        <w:trPr>
          <w:trHeight w:val="250"/>
        </w:trPr>
        <w:tc>
          <w:tcPr>
            <w:tcW w:w="3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3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(Primary Standard Industrial</w:t>
            </w:r>
          </w:p>
        </w:tc>
        <w:tc>
          <w:tcPr>
            <w:tcW w:w="31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(I.R.S. Employer</w:t>
            </w:r>
          </w:p>
        </w:tc>
      </w:tr>
      <w:tr>
        <w:trPr>
          <w:trHeight w:val="228"/>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Classification Code No.)</w:t>
            </w:r>
          </w:p>
        </w:tc>
        <w:tc>
          <w:tcPr>
            <w:tcW w:w="3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Identification No.)</w:t>
            </w:r>
          </w:p>
        </w:tc>
      </w:tr>
    </w:tbl>
    <w:p>
      <w:pPr>
        <w:spacing w:after="0" w:line="108" w:lineRule="exact"/>
        <w:rPr>
          <w:sz w:val="24"/>
          <w:szCs w:val="24"/>
          <w:color w:val="auto"/>
        </w:rPr>
      </w:pPr>
    </w:p>
    <w:p>
      <w:pPr>
        <w:ind w:left="4600" w:hanging="213"/>
        <w:spacing w:after="0"/>
        <w:tabs>
          <w:tab w:leader="none" w:pos="460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Discovery</w:t>
      </w:r>
    </w:p>
    <w:p>
      <w:pPr>
        <w:spacing w:after="0" w:line="34" w:lineRule="exact"/>
        <w:rPr>
          <w:rFonts w:ascii="Times New Roman" w:cs="Times New Roman" w:eastAsia="Times New Roman" w:hAnsi="Times New Roman"/>
          <w:sz w:val="17"/>
          <w:szCs w:val="17"/>
          <w:b w:val="1"/>
          <w:bCs w:val="1"/>
          <w:color w:val="auto"/>
        </w:rPr>
      </w:pPr>
    </w:p>
    <w:p>
      <w:pPr>
        <w:ind w:left="3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Irvine, California 92618</w:t>
      </w:r>
    </w:p>
    <w:p>
      <w:pPr>
        <w:spacing w:after="0" w:line="20" w:lineRule="exact"/>
        <w:rPr>
          <w:rFonts w:ascii="Times New Roman" w:cs="Times New Roman" w:eastAsia="Times New Roman" w:hAnsi="Times New Roman"/>
          <w:sz w:val="17"/>
          <w:szCs w:val="17"/>
          <w:b w:val="1"/>
          <w:bCs w:val="1"/>
          <w:color w:val="auto"/>
        </w:rPr>
      </w:pPr>
    </w:p>
    <w:p>
      <w:pPr>
        <w:ind w:left="41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Tel: (844) 933-3627</w:t>
      </w:r>
    </w:p>
    <w:p>
      <w:pPr>
        <w:spacing w:after="0" w:line="2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(Address, Including Zip Code, and Telephone Number, Including Area Code, of Registrant’s Principal Executive Offices)</w:t>
      </w:r>
    </w:p>
    <w:p>
      <w:pPr>
        <w:spacing w:after="0" w:line="7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Brian Camire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Counsel</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w:t>
      </w:r>
    </w:p>
    <w:p>
      <w:pPr>
        <w:spacing w:after="0" w:line="21" w:lineRule="exact"/>
        <w:rPr>
          <w:sz w:val="24"/>
          <w:szCs w:val="24"/>
          <w:color w:val="auto"/>
        </w:rPr>
      </w:pPr>
    </w:p>
    <w:p>
      <w:pPr>
        <w:ind w:left="4600" w:hanging="213"/>
        <w:spacing w:after="0"/>
        <w:tabs>
          <w:tab w:leader="none" w:pos="46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Discovery</w:t>
      </w:r>
    </w:p>
    <w:p>
      <w:pPr>
        <w:spacing w:after="0" w:line="20" w:lineRule="exact"/>
        <w:rPr>
          <w:rFonts w:ascii="Times New Roman" w:cs="Times New Roman" w:eastAsia="Times New Roman" w:hAnsi="Times New Roman"/>
          <w:sz w:val="17"/>
          <w:szCs w:val="17"/>
          <w:b w:val="1"/>
          <w:bCs w:val="1"/>
          <w:color w:val="auto"/>
        </w:rPr>
      </w:pPr>
    </w:p>
    <w:p>
      <w:pPr>
        <w:ind w:left="3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Irvine, California 92618</w:t>
      </w:r>
    </w:p>
    <w:p>
      <w:pPr>
        <w:spacing w:after="0" w:line="20" w:lineRule="exact"/>
        <w:rPr>
          <w:rFonts w:ascii="Times New Roman" w:cs="Times New Roman" w:eastAsia="Times New Roman" w:hAnsi="Times New Roman"/>
          <w:sz w:val="17"/>
          <w:szCs w:val="17"/>
          <w:b w:val="1"/>
          <w:bCs w:val="1"/>
          <w:color w:val="auto"/>
        </w:rPr>
      </w:pPr>
    </w:p>
    <w:p>
      <w:pPr>
        <w:ind w:left="41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Tel: (844) 933-3627</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(Name, Address, Including Zip Code, and Telephone Number, Including Area Code, of Agent for Service)</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Dave Peinsipp</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Garth Osterman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Kristin VanderPas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Peter Byrne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Cooley LLP</w:t>
      </w:r>
    </w:p>
    <w:p>
      <w:pPr>
        <w:jc w:val="center"/>
        <w:spacing w:after="0" w:line="215" w:lineRule="auto"/>
        <w:rPr>
          <w:sz w:val="20"/>
          <w:szCs w:val="20"/>
          <w:color w:val="auto"/>
        </w:rPr>
      </w:pPr>
      <w:r>
        <w:rPr>
          <w:rFonts w:ascii="Times New Roman" w:cs="Times New Roman" w:eastAsia="Times New Roman" w:hAnsi="Times New Roman"/>
          <w:sz w:val="17"/>
          <w:szCs w:val="17"/>
          <w:b w:val="1"/>
          <w:bCs w:val="1"/>
          <w:color w:val="auto"/>
        </w:rPr>
        <w:t>101 California Street, 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7"/>
          <w:szCs w:val="17"/>
          <w:b w:val="1"/>
          <w:bCs w:val="1"/>
          <w:color w:val="auto"/>
        </w:rPr>
        <w:t>San Francisco, California 94111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(415) 693-2177</w:t>
      </w:r>
    </w:p>
    <w:p>
      <w:pPr>
        <w:spacing w:after="0" w:line="21" w:lineRule="exact"/>
        <w:rPr>
          <w:sz w:val="24"/>
          <w:szCs w:val="24"/>
          <w:color w:val="auto"/>
        </w:rPr>
      </w:pPr>
    </w:p>
    <w:p>
      <w:pPr>
        <w:jc w:val="both"/>
        <w:ind w:firstLine="360"/>
        <w:spacing w:after="0" w:line="274" w:lineRule="auto"/>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 From time to time after the effective date of this registration statement.</w:t>
      </w:r>
    </w:p>
    <w:p>
      <w:pPr>
        <w:spacing w:after="0" w:line="1" w:lineRule="exact"/>
        <w:rPr>
          <w:sz w:val="24"/>
          <w:szCs w:val="24"/>
          <w:color w:val="auto"/>
        </w:rPr>
      </w:pPr>
    </w:p>
    <w:p>
      <w:pPr>
        <w:jc w:val="both"/>
        <w:ind w:firstLine="360"/>
        <w:spacing w:after="0" w:line="232"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60"/>
        <w:spacing w:after="0" w:line="225"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60"/>
        <w:spacing w:after="0" w:line="261" w:lineRule="auto"/>
        <w:rPr>
          <w:sz w:val="20"/>
          <w:szCs w:val="20"/>
          <w:color w:val="auto"/>
        </w:rPr>
      </w:pPr>
      <w:r>
        <w:rPr>
          <w:rFonts w:ascii="Times New Roman" w:cs="Times New Roman" w:eastAsia="Times New Roman" w:hAnsi="Times New Roman"/>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71" w:lineRule="exact"/>
        <w:rPr>
          <w:sz w:val="20"/>
          <w:szCs w:val="20"/>
          <w:color w:val="auto"/>
        </w:rPr>
      </w:pPr>
      <w:r>
        <w:rPr>
          <w:rFonts w:ascii="MS PGothic" w:cs="MS PGothic" w:eastAsia="MS PGothic" w:hAnsi="MS PGothic"/>
          <w:sz w:val="17"/>
          <w:szCs w:val="17"/>
          <w:color w:val="auto"/>
        </w:rPr>
        <w:t>☐</w:t>
      </w:r>
    </w:p>
    <w:p>
      <w:pPr>
        <w:spacing w:after="0" w:line="66" w:lineRule="exact"/>
        <w:rPr>
          <w:sz w:val="24"/>
          <w:szCs w:val="24"/>
          <w:color w:val="auto"/>
        </w:rPr>
      </w:pPr>
    </w:p>
    <w:p>
      <w:pPr>
        <w:jc w:val="both"/>
        <w:ind w:firstLine="36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6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6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76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Accelerated filer</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76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20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Emerging growth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6" w:lineRule="exact"/>
        <w:rPr>
          <w:sz w:val="24"/>
          <w:szCs w:val="24"/>
          <w:color w:val="auto"/>
        </w:rPr>
      </w:pPr>
    </w:p>
    <w:p>
      <w:pPr>
        <w:ind w:firstLine="360"/>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 w:lineRule="exact"/>
        <w:rPr>
          <w:sz w:val="24"/>
          <w:szCs w:val="24"/>
          <w:color w:val="auto"/>
        </w:rPr>
      </w:pPr>
    </w:p>
    <w:p>
      <w:pPr>
        <w:ind w:firstLine="360"/>
        <w:spacing w:after="0" w:line="282" w:lineRule="auto"/>
        <w:rPr>
          <w:sz w:val="20"/>
          <w:szCs w:val="20"/>
          <w:color w:val="auto"/>
        </w:rPr>
      </w:pPr>
      <w:r>
        <w:rPr>
          <w:rFonts w:ascii="Times New Roman" w:cs="Times New Roman" w:eastAsia="Times New Roman" w:hAnsi="Times New Roman"/>
          <w:sz w:val="17"/>
          <w:szCs w:val="17"/>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w:t>
      </w:r>
    </w:p>
    <w:p>
      <w:pPr>
        <w:sectPr>
          <w:pgSz w:w="11900" w:h="16838" w:orient="portrait"/>
          <w:cols w:equalWidth="0" w:num="1">
            <w:col w:w="9720"/>
          </w:cols>
          <w:pgMar w:left="1080" w:top="223" w:right="1099" w:bottom="0" w:gutter="0" w:footer="0" w:header="0"/>
        </w:sectPr>
      </w:pPr>
    </w:p>
    <w:bookmarkStart w:id="1" w:name="page2"/>
    <w:bookmarkEnd w:id="1"/>
    <w:p>
      <w:pPr>
        <w:spacing w:after="0" w:line="304" w:lineRule="auto"/>
        <w:rPr>
          <w:sz w:val="20"/>
          <w:szCs w:val="20"/>
          <w:color w:val="auto"/>
        </w:rPr>
      </w:pPr>
      <w:r>
        <w:rPr>
          <w:rFonts w:ascii="Times New Roman" w:cs="Times New Roman" w:eastAsia="Times New Roman" w:hAnsi="Times New Roman"/>
          <w:sz w:val="17"/>
          <w:szCs w:val="17"/>
          <w:color w:val="auto"/>
        </w:rPr>
        <w:t>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302895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165735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126" w:right="1099"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WM Technology, Inc., a Delaware corporation, filed a Registration Statement on Form S-1 on July 8, 2021, which was declared effective on July 20,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(as amended and supplemented, the “registration statement”).</w:t>
      </w:r>
    </w:p>
    <w:p>
      <w:pPr>
        <w:spacing w:after="0" w:line="75" w:lineRule="exact"/>
        <w:rPr>
          <w:sz w:val="20"/>
          <w:szCs w:val="20"/>
          <w:color w:val="auto"/>
        </w:rPr>
      </w:pPr>
    </w:p>
    <w:p>
      <w:pPr>
        <w:jc w:val="both"/>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This Post-Effective Amendment No. 3 to the registration statement is being filed by the registrant to convert the registration statement on Form S-1 into a registration statement on Form S-3 (“Post-Effective Amendment No. 3”).</w:t>
      </w:r>
    </w:p>
    <w:p>
      <w:pPr>
        <w:spacing w:after="0" w:line="3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February 25, 2022, WM Technology, Inc. filed its Annual Report on Form 10-K for fiscal year ended December 31, 2021 (the “Annual Report on Form 10-K”). Interested parties should refer to such Annual Report on Form 10-K for more information.</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form of prospectus included in this Post-Effective Amendment may be used in one or more offerings by one or more selling stockholders identified in the prospectus contained herein with one or more of the underwriters named therein and with different types and amounts of securities offered.</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97155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76" w:lineRule="exact"/>
        <w:rPr>
          <w:sz w:val="20"/>
          <w:szCs w:val="20"/>
          <w:color w:val="auto"/>
        </w:rPr>
      </w:pPr>
    </w:p>
    <w:p>
      <w:pPr>
        <w:ind w:left="400"/>
        <w:spacing w:after="0"/>
        <w:tabs>
          <w:tab w:leader="none" w:pos="3620" w:val="left"/>
        </w:tabs>
        <w:rPr>
          <w:sz w:val="20"/>
          <w:szCs w:val="20"/>
          <w:color w:val="auto"/>
        </w:rPr>
      </w:pPr>
      <w:r>
        <w:rPr>
          <w:rFonts w:ascii="Times New Roman" w:cs="Times New Roman" w:eastAsia="Times New Roman" w:hAnsi="Times New Roman"/>
          <w:sz w:val="18"/>
          <w:szCs w:val="18"/>
          <w:color w:val="FC0014"/>
        </w:rPr>
        <w:t>PRELIMINARY PROSPECTUS</w:t>
      </w:r>
      <w:r>
        <w:rPr>
          <w:sz w:val="20"/>
          <w:szCs w:val="20"/>
          <w:color w:val="auto"/>
        </w:rPr>
        <w:tab/>
      </w:r>
      <w:r>
        <w:rPr>
          <w:rFonts w:ascii="Times New Roman" w:cs="Times New Roman" w:eastAsia="Times New Roman" w:hAnsi="Times New Roman"/>
          <w:sz w:val="17"/>
          <w:szCs w:val="17"/>
          <w:color w:val="FC0014"/>
        </w:rPr>
        <w:t>SUBJECT TO COMPLETION — DATED OCTOBER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240030</wp:posOffset>
            </wp:positionV>
            <wp:extent cx="3429000" cy="1020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110,898,382 Shares of Class A Common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105,014,011 Shares of Class A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7,000,000 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99" w:lineRule="exact"/>
        <w:rPr>
          <w:sz w:val="20"/>
          <w:szCs w:val="20"/>
          <w:color w:val="auto"/>
        </w:rPr>
      </w:pPr>
    </w:p>
    <w:p>
      <w:pPr>
        <w:jc w:val="both"/>
        <w:ind w:left="40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0"/>
          <w:szCs w:val="20"/>
          <w:color w:val="auto"/>
        </w:rPr>
      </w:pPr>
    </w:p>
    <w:p>
      <w:pPr>
        <w:jc w:val="both"/>
        <w:ind w:left="400" w:right="419" w:firstLine="360"/>
        <w:spacing w:after="0" w:line="270" w:lineRule="auto"/>
        <w:rPr>
          <w:sz w:val="20"/>
          <w:szCs w:val="20"/>
          <w:color w:val="auto"/>
        </w:rPr>
      </w:pPr>
      <w:r>
        <w:rPr>
          <w:rFonts w:ascii="Times New Roman" w:cs="Times New Roman" w:eastAsia="Times New Roman" w:hAnsi="Times New Roman"/>
          <w:sz w:val="17"/>
          <w:szCs w:val="17"/>
          <w:color w:val="auto"/>
        </w:rPr>
        <w:t>This prospectus also relates to the offer and sale from time to time by the selling securityholders named in this prospectus (the “Selling Securityholders”) of up to (i) 112,014,011 shares of Class A Common Stock, consisting of (a)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69" w:lineRule="exact"/>
        <w:rPr>
          <w:sz w:val="20"/>
          <w:szCs w:val="20"/>
          <w:color w:val="auto"/>
        </w:rPr>
      </w:pPr>
    </w:p>
    <w:p>
      <w:pPr>
        <w:jc w:val="both"/>
        <w:ind w:left="400" w:right="419" w:firstLine="360"/>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October 4, the closing price of our Class A Common Stock was $1.79 and the closing price for our Public Warrants was $0.40.</w:t>
      </w:r>
    </w:p>
    <w:p>
      <w:pPr>
        <w:spacing w:after="0" w:line="68"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of this prospectus, and under similar headings in any amendments or supplements to this prospectus and the documents incorporated herein by reference, to read about factors you should consider before buying our securities.</w:t>
      </w:r>
    </w:p>
    <w:p>
      <w:pPr>
        <w:spacing w:after="0" w:line="68"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139700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7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3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0"/>
                <w:szCs w:val="20"/>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24</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EXPERTS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32</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w w:val="96"/>
              </w:rPr>
              <w:t>II-1</w:t>
            </w:r>
          </w:p>
        </w:tc>
      </w:tr>
      <w:tr>
        <w:trPr>
          <w:trHeight w:val="74"/>
        </w:trPr>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96"/>
              </w:rPr>
              <w:t>II-5</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-3102610</wp:posOffset>
            </wp:positionV>
            <wp:extent cx="11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may contain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93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73933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We were founded in 2008 and operate a leading online cannabis marketplace for consumers together with a comprehensive set of eCommerce and compliance software solutions for cannabis businesses, which are sold to retailers and brands in the U.S. state-legal and Canadian cannabis markets. The Company’s mission is to power a transparent and inclusive global cannabis economy. Our technology addresses the challenges facing both consumers seeking to understand cannabis products and businesses who serve cannabis users in a legally compliant fashion. Over the past 14 years, the Weedmaps marketplace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6"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on providing detailed, accurate information about cannabis.</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On June 16, 2021, Silver Spike, our predecessor company, consummated the Business Combination, which was previously announced, pursuant to the Merger Agreement, by and among Silver Spike, Merger Sub, Legacy WMH, and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w:t>
      </w:r>
    </w:p>
    <w:p>
      <w:pPr>
        <w:spacing w:after="0" w:line="3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396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83966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p>
      <w:pPr>
        <w:ind w:left="132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WM Technology, Inc. (f/k/a Silver Spike Acquisition</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Corp.).</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ectPr>
          <w:pgSz w:w="11900" w:h="16838" w:orient="portrait"/>
          <w:cols w:equalWidth="0" w:num="1">
            <w:col w:w="11020"/>
          </w:cols>
          <w:pgMar w:left="440" w:top="263" w:right="439" w:bottom="1440" w:gutter="0" w:footer="0" w:header="0"/>
        </w:sectPr>
      </w:pP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103"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firstLine="6"/>
        <w:spacing w:after="0" w:line="25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88,836,328 shares (as of June 30, 2022).</w:t>
      </w:r>
    </w:p>
    <w:p>
      <w:pPr>
        <w:spacing w:after="0" w:line="200" w:lineRule="exact"/>
        <w:rPr>
          <w:sz w:val="20"/>
          <w:szCs w:val="20"/>
          <w:color w:val="auto"/>
        </w:rPr>
      </w:pPr>
    </w:p>
    <w:p>
      <w:pPr>
        <w:spacing w:after="0" w:line="349" w:lineRule="exact"/>
        <w:rPr>
          <w:sz w:val="20"/>
          <w:szCs w:val="20"/>
          <w:color w:val="auto"/>
        </w:rPr>
      </w:pPr>
    </w:p>
    <w:p>
      <w:pPr>
        <w:ind w:right="1300"/>
        <w:spacing w:after="0" w:line="282" w:lineRule="auto"/>
        <w:rPr>
          <w:sz w:val="20"/>
          <w:szCs w:val="20"/>
          <w:color w:val="auto"/>
        </w:rPr>
      </w:pPr>
      <w:r>
        <w:rPr>
          <w:rFonts w:ascii="Times New Roman" w:cs="Times New Roman" w:eastAsia="Times New Roman" w:hAnsi="Times New Roman"/>
          <w:sz w:val="18"/>
          <w:szCs w:val="18"/>
          <w:color w:val="auto"/>
        </w:rPr>
        <w:t>180,542,595 shares (based on total shares outstanding as of June 30, 2022).</w:t>
      </w:r>
    </w:p>
    <w:p>
      <w:pPr>
        <w:spacing w:after="0" w:line="90" w:lineRule="exact"/>
        <w:rPr>
          <w:sz w:val="20"/>
          <w:szCs w:val="20"/>
          <w:color w:val="auto"/>
        </w:rPr>
      </w:pPr>
    </w:p>
    <w:p>
      <w:pPr>
        <w:sectPr>
          <w:pgSz w:w="11900" w:h="16838" w:orient="portrait"/>
          <w:cols w:equalWidth="0" w:num="2">
            <w:col w:w="5520" w:space="320"/>
            <w:col w:w="5180"/>
          </w:cols>
          <w:pgMar w:left="440" w:top="263" w:right="439" w:bottom="1440" w:gutter="0" w:footer="0" w:header="0"/>
          <w:type w:val="continuous"/>
        </w:sectPr>
      </w:pPr>
    </w:p>
    <w:p>
      <w:pPr>
        <w:ind w:left="132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Exercise Price of Warrants</w:t>
      </w:r>
      <w:r>
        <w:rPr>
          <w:sz w:val="20"/>
          <w:szCs w:val="20"/>
          <w:color w:val="auto"/>
        </w:rPr>
        <w:tab/>
      </w:r>
      <w:r>
        <w:rPr>
          <w:rFonts w:ascii="Times New Roman" w:cs="Times New Roman" w:eastAsia="Times New Roman" w:hAnsi="Times New Roman"/>
          <w:sz w:val="18"/>
          <w:szCs w:val="18"/>
          <w:color w:val="auto"/>
        </w:rPr>
        <w:t>$11.50 per share, subject to adjustment as described</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herein.</w:t>
      </w:r>
    </w:p>
    <w:p>
      <w:pPr>
        <w:spacing w:after="0" w:line="122" w:lineRule="exact"/>
        <w:rPr>
          <w:sz w:val="20"/>
          <w:szCs w:val="20"/>
          <w:color w:val="auto"/>
        </w:rPr>
      </w:pPr>
    </w:p>
    <w:p>
      <w:pPr>
        <w:ind w:left="132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We will receive up to an aggregate of approximately</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$224.3 million from the exercise of the Warrants,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assuming the exercise in full of all of the Warrants for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cash. We expect to use the net proceeds from the</w:t>
      </w:r>
    </w:p>
    <w:p>
      <w:pPr>
        <w:spacing w:after="0" w:line="9" w:lineRule="exact"/>
        <w:rPr>
          <w:sz w:val="20"/>
          <w:szCs w:val="20"/>
          <w:color w:val="auto"/>
        </w:rPr>
      </w:pPr>
    </w:p>
    <w:p>
      <w:pPr>
        <w:ind w:left="5840"/>
        <w:spacing w:after="0"/>
        <w:tabs>
          <w:tab w:leader="none" w:pos="6560" w:val="left"/>
          <w:tab w:leader="none" w:pos="6860" w:val="left"/>
          <w:tab w:leader="none" w:pos="7220" w:val="left"/>
          <w:tab w:leader="none" w:pos="8000" w:val="left"/>
          <w:tab w:leader="none" w:pos="8360" w:val="left"/>
          <w:tab w:leader="none" w:pos="9040" w:val="left"/>
        </w:tabs>
        <w:rPr>
          <w:sz w:val="20"/>
          <w:szCs w:val="20"/>
          <w:color w:val="auto"/>
        </w:rPr>
      </w:pPr>
      <w:r>
        <w:rPr>
          <w:rFonts w:ascii="Times New Roman" w:cs="Times New Roman" w:eastAsia="Times New Roman" w:hAnsi="Times New Roman"/>
          <w:sz w:val="18"/>
          <w:szCs w:val="18"/>
          <w:color w:val="auto"/>
        </w:rPr>
        <w:t>exercise</w:t>
        <w:tab/>
        <w:t>of</w:t>
        <w:tab/>
        <w:t>the</w:t>
        <w:tab/>
        <w:t>Warrants</w:t>
        <w:tab/>
        <w:t>for</w:t>
        <w:tab/>
        <w:t>general</w:t>
        <w:tab/>
        <w:t>corporate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purposes. See the section entitled “Use of Proceeds.”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the</w:t>
      </w:r>
    </w:p>
    <w:p>
      <w:pPr>
        <w:spacing w:after="0" w:line="31" w:lineRule="exact"/>
        <w:rPr>
          <w:sz w:val="20"/>
          <w:szCs w:val="20"/>
          <w:color w:val="auto"/>
        </w:rPr>
      </w:pPr>
    </w:p>
    <w:p>
      <w:pPr>
        <w:ind w:left="14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Selling Securityholders</w:t>
      </w:r>
      <w:r>
        <w:rPr>
          <w:sz w:val="20"/>
          <w:szCs w:val="20"/>
          <w:color w:val="auto"/>
        </w:rPr>
        <w:tab/>
      </w:r>
      <w:r>
        <w:rPr>
          <w:rFonts w:ascii="Times New Roman" w:cs="Times New Roman" w:eastAsia="Times New Roman" w:hAnsi="Times New Roman"/>
          <w:sz w:val="18"/>
          <w:szCs w:val="18"/>
          <w:color w:val="auto"/>
        </w:rPr>
        <w:t>Up to (i) 105,014,011 shares of Class A Common</w:t>
      </w:r>
    </w:p>
    <w:p>
      <w:pPr>
        <w:spacing w:after="0" w:line="9" w:lineRule="exact"/>
        <w:rPr>
          <w:sz w:val="20"/>
          <w:szCs w:val="20"/>
          <w:color w:val="auto"/>
        </w:rPr>
      </w:pPr>
    </w:p>
    <w:p>
      <w:pPr>
        <w:jc w:val="right"/>
        <w:ind w:right="1280"/>
        <w:spacing w:after="0"/>
        <w:tabs>
          <w:tab w:leader="none" w:pos="3280" w:val="left"/>
          <w:tab w:leader="none" w:pos="2400" w:val="left"/>
          <w:tab w:leader="none" w:pos="2100" w:val="left"/>
          <w:tab w:leader="none" w:pos="1800" w:val="left"/>
          <w:tab w:leader="none" w:pos="840" w:val="left"/>
          <w:tab w:leader="none" w:pos="240" w:val="left"/>
        </w:tabs>
        <w:rPr>
          <w:sz w:val="20"/>
          <w:szCs w:val="20"/>
          <w:color w:val="auto"/>
        </w:rPr>
      </w:pPr>
      <w:r>
        <w:rPr>
          <w:rFonts w:ascii="Times New Roman" w:cs="Times New Roman" w:eastAsia="Times New Roman" w:hAnsi="Times New Roman"/>
          <w:sz w:val="18"/>
          <w:szCs w:val="18"/>
          <w:color w:val="auto"/>
        </w:rPr>
        <w:t>Stock,</w:t>
        <w:tab/>
        <w:t>consisting</w:t>
        <w:tab/>
        <w:t>of</w:t>
        <w:tab/>
        <w:t>(i)</w:t>
        <w:tab/>
        <w:t>38,750,000</w:t>
        <w:tab/>
        <w:t>issued</w:t>
        <w:tab/>
        <w:t>and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outstanding  shares  of  Class  A  Common  Stock,</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(ii) 59,264,011 shares of Class A Common Stock</w:t>
      </w:r>
    </w:p>
    <w:p>
      <w:pPr>
        <w:spacing w:after="0" w:line="9" w:lineRule="exact"/>
        <w:rPr>
          <w:sz w:val="20"/>
          <w:szCs w:val="20"/>
          <w:color w:val="auto"/>
        </w:rPr>
      </w:pPr>
    </w:p>
    <w:p>
      <w:pPr>
        <w:ind w:left="5840"/>
        <w:spacing w:after="0"/>
        <w:tabs>
          <w:tab w:leader="none" w:pos="6660" w:val="left"/>
          <w:tab w:leader="none" w:pos="7280" w:val="left"/>
          <w:tab w:leader="none" w:pos="8220" w:val="left"/>
          <w:tab w:leader="none" w:pos="8620" w:val="left"/>
          <w:tab w:leader="none" w:pos="9200" w:val="left"/>
        </w:tabs>
        <w:rPr>
          <w:sz w:val="20"/>
          <w:szCs w:val="20"/>
          <w:color w:val="auto"/>
        </w:rPr>
      </w:pPr>
      <w:r>
        <w:rPr>
          <w:rFonts w:ascii="Times New Roman" w:cs="Times New Roman" w:eastAsia="Times New Roman" w:hAnsi="Times New Roman"/>
          <w:sz w:val="18"/>
          <w:szCs w:val="18"/>
          <w:color w:val="auto"/>
        </w:rPr>
        <w:t>issuable</w:t>
        <w:tab/>
        <w:t>upon</w:t>
        <w:tab/>
        <w:t>exchange</w:t>
        <w:tab/>
        <w:t>of</w:t>
        <w:tab/>
        <w:t>such</w:t>
        <w:tab/>
        <w:t>Selling</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Securityholder’s Paired Interests or Class P Units and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(iii) 7,000,000 shares of Class A Common Stock</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issuable  upon  exercise  of  the  Private  Placement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Warrants.</w:t>
      </w:r>
    </w:p>
    <w:p>
      <w:pPr>
        <w:sectPr>
          <w:pgSz w:w="11900" w:h="16838" w:orient="portrait"/>
          <w:cols w:equalWidth="0" w:num="1">
            <w:col w:w="11020"/>
          </w:cols>
          <w:pgMar w:left="440" w:top="263" w:right="439" w:bottom="1440" w:gutter="0" w:footer="0" w:header="0"/>
          <w:type w:val="continuous"/>
        </w:sectPr>
      </w:pPr>
    </w:p>
    <w:p>
      <w:pPr>
        <w:spacing w:after="0" w:line="135" w:lineRule="exact"/>
        <w:rPr>
          <w:sz w:val="20"/>
          <w:szCs w:val="20"/>
          <w:color w:val="auto"/>
        </w:rPr>
      </w:pPr>
    </w:p>
    <w:p>
      <w:pPr>
        <w:ind w:left="1320" w:right="80"/>
        <w:spacing w:after="0" w:line="490" w:lineRule="auto"/>
        <w:rPr>
          <w:sz w:val="20"/>
          <w:szCs w:val="20"/>
          <w:color w:val="auto"/>
        </w:rPr>
      </w:pPr>
      <w:r>
        <w:rPr>
          <w:rFonts w:ascii="Times New Roman" w:cs="Times New Roman" w:eastAsia="Times New Roman" w:hAnsi="Times New Roman"/>
          <w:sz w:val="18"/>
          <w:szCs w:val="18"/>
          <w:b w:val="1"/>
          <w:bCs w:val="1"/>
          <w:color w:val="auto"/>
        </w:rPr>
        <w:t>Warrants Offered by the Selling Securityholders Redemption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7,000,000 Private Placement Warrants.</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The Warrants are redeemable in certain circumstances. See the section entitled “Description of our Securities—Warrants” for further discussion.</w:t>
      </w:r>
    </w:p>
    <w:p>
      <w:pPr>
        <w:spacing w:after="0" w:line="104" w:lineRule="exact"/>
        <w:rPr>
          <w:sz w:val="20"/>
          <w:szCs w:val="20"/>
          <w:color w:val="auto"/>
        </w:rPr>
      </w:pPr>
    </w:p>
    <w:p>
      <w:pPr>
        <w:sectPr>
          <w:pgSz w:w="11900" w:h="16838" w:orient="portrait"/>
          <w:cols w:equalWidth="0" w:num="2">
            <w:col w:w="5120" w:space="720"/>
            <w:col w:w="51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Our Class A Common Stock and Public Warrants are</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currently  traded  on  Nasdaq  under  the  symbols</w:t>
            </w: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“MAPS” and “MAPSW,” respectively.</w:t>
            </w:r>
          </w:p>
        </w:tc>
      </w:tr>
      <w:tr>
        <w:trPr>
          <w:trHeight w:val="333"/>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See  the  section  entitled  “Risk  Factors,”  other</w:t>
            </w: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r>
      <w:tr>
        <w:trPr>
          <w:trHeight w:val="226"/>
        </w:trPr>
        <w:tc>
          <w:tcPr>
            <w:tcW w:w="108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930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9302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similar headings in any amendments or supplements</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to this prospectus and the documents incorporated</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herein by reference, for a discussion of factors you</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should consider before investing in our securities.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w:t>
      </w:r>
    </w:p>
    <w:p>
      <w:pPr>
        <w:spacing w:after="0" w:line="1" w:lineRule="exact"/>
        <w:rPr>
          <w:sz w:val="20"/>
          <w:szCs w:val="20"/>
          <w:color w:val="auto"/>
        </w:rPr>
      </w:pPr>
    </w:p>
    <w:p>
      <w:pPr>
        <w:jc w:val="both"/>
        <w:ind w:left="300" w:right="299" w:hanging="8"/>
        <w:spacing w:after="0" w:line="253" w:lineRule="auto"/>
        <w:tabs>
          <w:tab w:leader="none" w:pos="64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56,466,013 Paired Interest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6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78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3"/>
                <w:szCs w:val="3"/>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2"/>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8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Beals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Camire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Justin Dean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Juanjo Feijoo-Osorio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Arden Lee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Steven Jung</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8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Douglas Francis</w:t>
            </w:r>
            <w:r>
              <w:rPr>
                <w:rFonts w:ascii="Times New Roman" w:cs="Times New Roman" w:eastAsia="Times New Roman" w:hAnsi="Times New Roman"/>
                <w:sz w:val="26"/>
                <w:szCs w:val="26"/>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27,700,849</w:t>
            </w: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27,700,849</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8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Justin Hartfield</w:t>
            </w:r>
            <w:r>
              <w:rPr>
                <w:rFonts w:ascii="Times New Roman" w:cs="Times New Roman" w:eastAsia="Times New Roman" w:hAnsi="Times New Roman"/>
                <w:sz w:val="26"/>
                <w:szCs w:val="26"/>
                <w:color w:val="auto"/>
                <w:vertAlign w:val="superscript"/>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29,328,310</w:t>
            </w:r>
          </w:p>
        </w:tc>
        <w:tc>
          <w:tcPr>
            <w:tcW w:w="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29,328,310</w:t>
            </w:r>
          </w:p>
        </w:tc>
        <w:tc>
          <w:tcPr>
            <w:tcW w:w="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Silver</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2"/>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Spike Sponsor, LLC</w:t>
            </w:r>
            <w:r>
              <w:rPr>
                <w:rFonts w:ascii="Times New Roman" w:cs="Times New Roman" w:eastAsia="Times New Roman" w:hAnsi="Times New Roman"/>
                <w:sz w:val="26"/>
                <w:szCs w:val="26"/>
                <w:color w:val="auto"/>
                <w:vertAlign w:val="superscript"/>
              </w:rPr>
              <w:t>(3)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7,000,000</w:t>
            </w:r>
          </w:p>
        </w:tc>
        <w:tc>
          <w:tcPr>
            <w:tcW w:w="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-1748155</wp:posOffset>
            </wp:positionV>
            <wp:extent cx="342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-1748155</wp:posOffset>
            </wp:positionV>
            <wp:extent cx="34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-1748155</wp:posOffset>
            </wp:positionV>
            <wp:extent cx="342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-1748155</wp:posOffset>
            </wp:positionV>
            <wp:extent cx="342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-1748155</wp:posOffset>
            </wp:positionV>
            <wp:extent cx="34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-1748155</wp:posOffset>
            </wp:positionV>
            <wp:extent cx="342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-1748155</wp:posOffset>
            </wp:positionV>
            <wp:extent cx="342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-1748155</wp:posOffset>
            </wp:positionV>
            <wp:extent cx="342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tbl>
      <w:tblPr>
        <w:tblLayout w:type="fixed"/>
        <w:tblInd w:w="300" w:type="dxa"/>
        <w:tblCellMar>
          <w:top w:w="0" w:type="dxa"/>
          <w:left w:w="0" w:type="dxa"/>
          <w:bottom w:w="0" w:type="dxa"/>
          <w:right w:w="0" w:type="dxa"/>
        </w:tblCellMar>
      </w:tblPr>
      <w:tr>
        <w:trPr>
          <w:trHeight w:val="161"/>
        </w:trPr>
        <w:tc>
          <w:tcPr>
            <w:tcW w:w="2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8"/>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40" w:type="dxa"/>
            <w:vAlign w:val="bottom"/>
          </w:tcPr>
          <w:p>
            <w:pPr>
              <w:spacing w:after="0"/>
              <w:rPr>
                <w:sz w:val="12"/>
                <w:szCs w:val="12"/>
                <w:color w:val="auto"/>
              </w:rPr>
            </w:pPr>
          </w:p>
        </w:tc>
        <w:tc>
          <w:tcPr>
            <w:tcW w:w="1560" w:type="dxa"/>
            <w:vAlign w:val="bottom"/>
            <w:gridSpan w:val="5"/>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gridSpan w:val="4"/>
            <w:vMerge w:val="continue"/>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600" w:type="dxa"/>
            <w:vAlign w:val="bottom"/>
            <w:gridSpan w:val="7"/>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4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40" w:type="dxa"/>
            <w:vAlign w:val="bottom"/>
          </w:tcPr>
          <w:p>
            <w:pPr>
              <w:spacing w:after="0"/>
              <w:rPr>
                <w:sz w:val="12"/>
                <w:szCs w:val="12"/>
                <w:color w:val="auto"/>
              </w:rPr>
            </w:pPr>
          </w:p>
        </w:tc>
        <w:tc>
          <w:tcPr>
            <w:tcW w:w="160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40" w:type="dxa"/>
            <w:vAlign w:val="bottom"/>
          </w:tcPr>
          <w:p>
            <w:pPr>
              <w:spacing w:after="0"/>
              <w:rPr>
                <w:sz w:val="12"/>
                <w:szCs w:val="12"/>
                <w:color w:val="auto"/>
              </w:rPr>
            </w:pPr>
          </w:p>
        </w:tc>
        <w:tc>
          <w:tcPr>
            <w:tcW w:w="15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vMerge w:val="restart"/>
          </w:tcPr>
          <w:p>
            <w:pPr>
              <w:spacing w:after="0"/>
              <w:rPr>
                <w:sz w:val="8"/>
                <w:szCs w:val="8"/>
                <w:color w:val="auto"/>
              </w:rPr>
            </w:pPr>
          </w:p>
        </w:tc>
        <w:tc>
          <w:tcPr>
            <w:tcW w:w="7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vMerge w:val="restart"/>
          </w:tcPr>
          <w:p>
            <w:pPr>
              <w:spacing w:after="0"/>
              <w:rPr>
                <w:sz w:val="8"/>
                <w:szCs w:val="8"/>
                <w:color w:val="auto"/>
              </w:rPr>
            </w:pPr>
          </w:p>
        </w:tc>
        <w:tc>
          <w:tcPr>
            <w:tcW w:w="680" w:type="dxa"/>
            <w:vAlign w:val="bottom"/>
            <w:gridSpan w:val="3"/>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40" w:type="dxa"/>
            <w:vAlign w:val="bottom"/>
            <w:vMerge w:val="restart"/>
          </w:tcPr>
          <w:p>
            <w:pPr>
              <w:spacing w:after="0"/>
              <w:rPr>
                <w:sz w:val="8"/>
                <w:szCs w:val="8"/>
                <w:color w:val="auto"/>
              </w:rPr>
            </w:pPr>
          </w:p>
        </w:tc>
        <w:tc>
          <w:tcPr>
            <w:tcW w:w="70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3"/>
                <w:szCs w:val="3"/>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3"/>
                <w:szCs w:val="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4"/>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6"/>
                <w:szCs w:val="16"/>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6"/>
                <w:szCs w:val="16"/>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40" w:type="dxa"/>
            <w:vAlign w:val="bottom"/>
          </w:tcPr>
          <w:p>
            <w:pPr>
              <w:spacing w:after="0"/>
              <w:rPr>
                <w:sz w:val="16"/>
                <w:szCs w:val="16"/>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40" w:type="dxa"/>
            <w:vAlign w:val="bottom"/>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2012 Grassie Family Delaware</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Dynasty Trust</w:t>
            </w:r>
            <w:r>
              <w:rPr>
                <w:rFonts w:ascii="Times New Roman" w:cs="Times New Roman" w:eastAsia="Times New Roman" w:hAnsi="Times New Roman"/>
                <w:sz w:val="26"/>
                <w:szCs w:val="26"/>
                <w:color w:val="auto"/>
                <w:vertAlign w:val="superscript"/>
              </w:rPr>
              <w:t>(4)</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52,500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52,500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2019 Alternative Public</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tcPr>
          <w:p>
            <w:pPr>
              <w:ind w:left="140"/>
              <w:spacing w:after="0" w:line="252"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231,123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231,123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4"/>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6"/>
                <w:szCs w:val="26"/>
                <w:color w:val="auto"/>
                <w:vertAlign w:val="superscript"/>
              </w:rPr>
              <w:t>(6)</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85,000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3"/>
        </w:trPr>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center"/>
              <w:ind w:left="524"/>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4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600" w:type="dxa"/>
            <w:vAlign w:val="bottom"/>
            <w:gridSpan w:val="7"/>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4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40" w:type="dxa"/>
            <w:vAlign w:val="bottom"/>
          </w:tcPr>
          <w:p>
            <w:pPr>
              <w:spacing w:after="0"/>
              <w:rPr>
                <w:sz w:val="12"/>
                <w:szCs w:val="12"/>
                <w:color w:val="auto"/>
              </w:rPr>
            </w:pPr>
          </w:p>
        </w:tc>
        <w:tc>
          <w:tcPr>
            <w:tcW w:w="156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40" w:type="dxa"/>
            <w:vAlign w:val="bottom"/>
          </w:tcPr>
          <w:p>
            <w:pPr>
              <w:spacing w:after="0"/>
              <w:rPr>
                <w:sz w:val="12"/>
                <w:szCs w:val="12"/>
                <w:color w:val="auto"/>
              </w:rPr>
            </w:pPr>
          </w:p>
        </w:tc>
        <w:tc>
          <w:tcPr>
            <w:tcW w:w="1600" w:type="dxa"/>
            <w:vAlign w:val="bottom"/>
            <w:gridSpan w:val="7"/>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40" w:type="dxa"/>
            <w:vAlign w:val="bottom"/>
          </w:tcPr>
          <w:p>
            <w:pPr>
              <w:spacing w:after="0"/>
              <w:rPr>
                <w:sz w:val="12"/>
                <w:szCs w:val="12"/>
                <w:color w:val="auto"/>
              </w:rPr>
            </w:pPr>
          </w:p>
        </w:tc>
        <w:tc>
          <w:tcPr>
            <w:tcW w:w="1560" w:type="dxa"/>
            <w:vAlign w:val="bottom"/>
            <w:gridSpan w:val="5"/>
          </w:tcPr>
          <w:p>
            <w:pPr>
              <w:jc w:val="right"/>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vMerge w:val="restart"/>
          </w:tcPr>
          <w:p>
            <w:pPr>
              <w:spacing w:after="0"/>
              <w:rPr>
                <w:sz w:val="8"/>
                <w:szCs w:val="8"/>
                <w:color w:val="auto"/>
              </w:rPr>
            </w:pPr>
          </w:p>
        </w:tc>
        <w:tc>
          <w:tcPr>
            <w:tcW w:w="74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vMerge w:val="restart"/>
          </w:tcPr>
          <w:p>
            <w:pPr>
              <w:spacing w:after="0"/>
              <w:rPr>
                <w:sz w:val="8"/>
                <w:szCs w:val="8"/>
                <w:color w:val="auto"/>
              </w:rPr>
            </w:pPr>
          </w:p>
        </w:tc>
        <w:tc>
          <w:tcPr>
            <w:tcW w:w="68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40" w:type="dxa"/>
            <w:vAlign w:val="bottom"/>
            <w:vMerge w:val="restart"/>
          </w:tcPr>
          <w:p>
            <w:pPr>
              <w:spacing w:after="0"/>
              <w:rPr>
                <w:sz w:val="8"/>
                <w:szCs w:val="8"/>
                <w:color w:val="auto"/>
              </w:rPr>
            </w:pPr>
          </w:p>
        </w:tc>
        <w:tc>
          <w:tcPr>
            <w:tcW w:w="70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3"/>
                <w:szCs w:val="3"/>
                <w:color w:val="auto"/>
              </w:rPr>
            </w:pPr>
          </w:p>
        </w:tc>
        <w:tc>
          <w:tcPr>
            <w:tcW w:w="8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3"/>
                <w:szCs w:val="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4"/>
            <w:vMerge w:val="continue"/>
          </w:tcPr>
          <w:p>
            <w:pPr>
              <w:spacing w:after="0"/>
              <w:rPr>
                <w:sz w:val="16"/>
                <w:szCs w:val="16"/>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6"/>
                <w:szCs w:val="16"/>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6"/>
                <w:szCs w:val="16"/>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40" w:type="dxa"/>
            <w:vAlign w:val="bottom"/>
          </w:tcPr>
          <w:p>
            <w:pPr>
              <w:spacing w:after="0"/>
              <w:rPr>
                <w:sz w:val="16"/>
                <w:szCs w:val="16"/>
                <w:color w:val="auto"/>
              </w:rPr>
            </w:pPr>
          </w:p>
        </w:tc>
        <w:tc>
          <w:tcPr>
            <w:tcW w:w="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40" w:type="dxa"/>
            <w:vAlign w:val="bottom"/>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80" w:type="dxa"/>
            <w:vAlign w:val="bottom"/>
            <w:gridSpan w:val="4"/>
            <w:shd w:val="clear" w:color="auto" w:fill="CCEEFF"/>
          </w:tcPr>
          <w:p>
            <w:pPr>
              <w:spacing w:after="0" w:line="291" w:lineRule="exact"/>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6"/>
                <w:szCs w:val="26"/>
                <w:color w:val="auto"/>
                <w:vertAlign w:val="superscript"/>
              </w:rPr>
              <w:t>(7)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4"/>
          </w:tcPr>
          <w:p>
            <w:pPr>
              <w:spacing w:after="0" w:line="283" w:lineRule="exact"/>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6"/>
                <w:szCs w:val="26"/>
                <w:color w:val="auto"/>
                <w:vertAlign w:val="superscript"/>
              </w:rPr>
              <w:t>(8)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AHPPCB Legacy Trust dated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February 1, 2014</w:t>
            </w:r>
            <w:r>
              <w:rPr>
                <w:rFonts w:ascii="Times New Roman" w:cs="Times New Roman" w:eastAsia="Times New Roman" w:hAnsi="Times New Roman"/>
                <w:sz w:val="26"/>
                <w:szCs w:val="26"/>
                <w:color w:val="auto"/>
                <w:vertAlign w:val="superscript"/>
              </w:rPr>
              <w:t>(9)</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Alasdair I.C. Grassie 2012</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(10)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Amer Bisat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4"/>
          </w:tcPr>
          <w:p>
            <w:pPr>
              <w:spacing w:after="0" w:line="283" w:lineRule="exact"/>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6"/>
                <w:szCs w:val="26"/>
                <w:color w:val="auto"/>
                <w:vertAlign w:val="superscript"/>
              </w:rPr>
              <w:t>(11)</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180,000</w:t>
            </w:r>
          </w:p>
        </w:tc>
        <w:tc>
          <w:tcPr>
            <w:tcW w:w="40" w:type="dxa"/>
            <w:vAlign w:val="bottom"/>
          </w:tcPr>
          <w:p>
            <w:pPr>
              <w:spacing w:after="0"/>
              <w:rPr>
                <w:sz w:val="24"/>
                <w:szCs w:val="24"/>
                <w:color w:val="auto"/>
              </w:rPr>
            </w:pPr>
          </w:p>
        </w:tc>
        <w:tc>
          <w:tcPr>
            <w:tcW w:w="7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91,666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78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color w:val="auto"/>
              </w:rPr>
              <w:t>91,666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Anthony</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Aquila</w:t>
            </w:r>
            <w:r>
              <w:rPr>
                <w:rFonts w:ascii="Times New Roman" w:cs="Times New Roman" w:eastAsia="Times New Roman" w:hAnsi="Times New Roman"/>
                <w:sz w:val="26"/>
                <w:szCs w:val="26"/>
                <w:color w:val="auto"/>
                <w:vertAlign w:val="superscript"/>
              </w:rPr>
              <w:t>(12)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5,000,000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Asia Pacific On-Line</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tcPr>
          <w:p>
            <w:pPr>
              <w:ind w:left="140"/>
              <w:spacing w:after="0" w:line="252" w:lineRule="exact"/>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6"/>
                <w:szCs w:val="26"/>
                <w:color w:val="auto"/>
                <w:vertAlign w:val="superscript"/>
              </w:rPr>
              <w:t>(13)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80" w:type="dxa"/>
            <w:vAlign w:val="bottom"/>
            <w:gridSpan w:val="4"/>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Monashee Investment</w:t>
            </w: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(14)</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Bernardino Colonna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Cavenham Private Equity and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Directs</w:t>
            </w:r>
            <w:r>
              <w:rPr>
                <w:rFonts w:ascii="Times New Roman" w:cs="Times New Roman" w:eastAsia="Times New Roman" w:hAnsi="Times New Roman"/>
                <w:sz w:val="26"/>
                <w:szCs w:val="26"/>
                <w:color w:val="auto"/>
                <w:vertAlign w:val="superscript"/>
              </w:rPr>
              <w:t>(15)</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Citadel Multi-Strategy Equities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tcPr>
          <w:p>
            <w:pPr>
              <w:ind w:left="140"/>
              <w:spacing w:after="0" w:line="252" w:lineRule="exact"/>
              <w:rPr>
                <w:sz w:val="20"/>
                <w:szCs w:val="20"/>
                <w:color w:val="auto"/>
              </w:rPr>
            </w:pPr>
            <w:r>
              <w:rPr>
                <w:rFonts w:ascii="Times New Roman" w:cs="Times New Roman" w:eastAsia="Times New Roman" w:hAnsi="Times New Roman"/>
                <w:sz w:val="16"/>
                <w:szCs w:val="16"/>
                <w:color w:val="auto"/>
              </w:rPr>
              <w:t>Master Fund Ltd.</w:t>
            </w:r>
            <w:r>
              <w:rPr>
                <w:rFonts w:ascii="Times New Roman" w:cs="Times New Roman" w:eastAsia="Times New Roman" w:hAnsi="Times New Roman"/>
                <w:sz w:val="26"/>
                <w:szCs w:val="26"/>
                <w:color w:val="auto"/>
                <w:vertAlign w:val="superscript"/>
              </w:rPr>
              <w:t>(16)</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750,000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Behdad Eghbali</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1,225,000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Jose E. Feliciano</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625,000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80" w:type="dxa"/>
            <w:vAlign w:val="bottom"/>
            <w:gridSpan w:val="4"/>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6"/>
                <w:szCs w:val="26"/>
                <w:color w:val="auto"/>
                <w:vertAlign w:val="superscript"/>
              </w:rPr>
              <w:t>(17)</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Craig Schlanger Trust UAD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40" w:type="dxa"/>
            <w:vAlign w:val="bottom"/>
          </w:tcPr>
          <w:p>
            <w:pPr>
              <w:ind w:left="140"/>
              <w:spacing w:after="0" w:line="252" w:lineRule="exact"/>
              <w:rPr>
                <w:sz w:val="20"/>
                <w:szCs w:val="20"/>
                <w:color w:val="auto"/>
              </w:rPr>
            </w:pPr>
            <w:r>
              <w:rPr>
                <w:rFonts w:ascii="Times New Roman" w:cs="Times New Roman" w:eastAsia="Times New Roman" w:hAnsi="Times New Roman"/>
                <w:sz w:val="16"/>
                <w:szCs w:val="16"/>
                <w:color w:val="auto"/>
              </w:rPr>
              <w:t>8/31/1979</w:t>
            </w:r>
            <w:r>
              <w:rPr>
                <w:rFonts w:ascii="Times New Roman" w:cs="Times New Roman" w:eastAsia="Times New Roman" w:hAnsi="Times New Roman"/>
                <w:sz w:val="26"/>
                <w:szCs w:val="26"/>
                <w:color w:val="auto"/>
                <w:vertAlign w:val="superscript"/>
              </w:rPr>
              <w:t>(18)</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4"/>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6"/>
                <w:szCs w:val="26"/>
                <w:color w:val="auto"/>
                <w:vertAlign w:val="superscript"/>
              </w:rPr>
              <w:t>(19)</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Darren Lazarus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12,150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80" w:type="dxa"/>
            <w:vAlign w:val="bottom"/>
            <w:gridSpan w:val="4"/>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6"/>
                <w:szCs w:val="26"/>
                <w:color w:val="auto"/>
                <w:vertAlign w:val="superscript"/>
              </w:rPr>
              <w:t>(20)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David Mayer de Rothschild</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Morrill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David Todd Posen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Debra Shemesh-Joester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Doug Kaplan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19,800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Eric Aroesty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80" w:type="dxa"/>
            <w:vAlign w:val="bottom"/>
            <w:gridSpan w:val="4"/>
          </w:tcPr>
          <w:p>
            <w:pPr>
              <w:spacing w:after="0" w:line="283" w:lineRule="exact"/>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6"/>
                <w:szCs w:val="26"/>
                <w:color w:val="auto"/>
                <w:vertAlign w:val="superscript"/>
              </w:rPr>
              <w:t>(21)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Euan C.A. Grassie 2012</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4"/>
          </w:tcPr>
          <w:p>
            <w:pPr>
              <w:spacing w:after="0" w:line="283" w:lineRule="exact"/>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6"/>
                <w:szCs w:val="26"/>
                <w:color w:val="auto"/>
                <w:vertAlign w:val="superscript"/>
              </w:rPr>
              <w:t>(23)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4,000,000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Final Word Investments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13"/>
                <w:szCs w:val="13"/>
                <w:color w:val="auto"/>
              </w:rPr>
              <w:t>(24)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40,000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7"/>
                <w:szCs w:val="17"/>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-8254365</wp:posOffset>
            </wp:positionV>
            <wp:extent cx="342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-8254365</wp:posOffset>
            </wp:positionV>
            <wp:extent cx="34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-8254365</wp:posOffset>
            </wp:positionV>
            <wp:extent cx="34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-8254365</wp:posOffset>
            </wp:positionV>
            <wp:extent cx="34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-8254365</wp:posOffset>
            </wp:positionV>
            <wp:extent cx="34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-8254365</wp:posOffset>
            </wp:positionV>
            <wp:extent cx="34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-8254365</wp:posOffset>
            </wp:positionV>
            <wp:extent cx="34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-8254365</wp:posOffset>
            </wp:positionV>
            <wp:extent cx="34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-6463030</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-6463030</wp:posOffset>
            </wp:positionV>
            <wp:extent cx="51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-6463030</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-6463030</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-6463030</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-6463030</wp:posOffset>
            </wp:positionV>
            <wp:extent cx="51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-6463030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-6463030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933" w:gutter="0" w:footer="0" w:header="0"/>
        </w:sectPr>
      </w:pPr>
    </w:p>
    <w:bookmarkStart w:id="15" w:name="page16"/>
    <w:bookmarkEnd w:id="15"/>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left="504"/>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7"/>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7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6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960" w:type="dxa"/>
            <w:vAlign w:val="bottom"/>
            <w:gridSpan w:val="5"/>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Granite Point Master Fund,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LP</w:t>
            </w:r>
            <w:r>
              <w:rPr>
                <w:rFonts w:ascii="Times New Roman" w:cs="Times New Roman" w:eastAsia="Times New Roman" w:hAnsi="Times New Roman"/>
                <w:sz w:val="13"/>
                <w:szCs w:val="13"/>
                <w:color w:val="auto"/>
              </w:rPr>
              <w:t>(25)</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437,500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gridSpan w:val="3"/>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437,500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Gregor C.A. Grassie 2012</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(26)</w:t>
            </w: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GS+A Global Special</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Situations Fund</w:t>
            </w:r>
            <w:r>
              <w:rPr>
                <w:rFonts w:ascii="Times New Roman" w:cs="Times New Roman" w:eastAsia="Times New Roman" w:hAnsi="Times New Roman"/>
                <w:sz w:val="26"/>
                <w:szCs w:val="26"/>
                <w:color w:val="auto"/>
                <w:vertAlign w:val="superscript"/>
              </w:rPr>
              <w:t>(27)</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350,000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350,000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Harbert Stoneview Master</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Fund, Ltd.</w:t>
            </w:r>
            <w:r>
              <w:rPr>
                <w:rFonts w:ascii="Times New Roman" w:cs="Times New Roman" w:eastAsia="Times New Roman" w:hAnsi="Times New Roman"/>
                <w:sz w:val="26"/>
                <w:szCs w:val="26"/>
                <w:color w:val="auto"/>
                <w:vertAlign w:val="superscript"/>
              </w:rPr>
              <w:t>(28)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150,000</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tcPr>
          <w:p>
            <w:pPr>
              <w:jc w:val="center"/>
              <w:ind w:left="22"/>
              <w:spacing w:after="0"/>
              <w:rPr>
                <w:sz w:val="20"/>
                <w:szCs w:val="20"/>
                <w:color w:val="auto"/>
              </w:rPr>
            </w:pPr>
            <w:r>
              <w:rPr>
                <w:rFonts w:ascii="Times New Roman" w:cs="Times New Roman" w:eastAsia="Times New Roman" w:hAnsi="Times New Roman"/>
                <w:sz w:val="16"/>
                <w:szCs w:val="16"/>
                <w:color w:val="auto"/>
                <w:w w:val="96"/>
              </w:rPr>
              <w:t>150,000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6"/>
                <w:szCs w:val="26"/>
                <w:color w:val="auto"/>
                <w:vertAlign w:val="superscript"/>
              </w:rPr>
              <w:t>(29)</w:t>
            </w: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Hoplite Capital Series LLC –</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Kerdos</w:t>
            </w:r>
            <w:r>
              <w:rPr>
                <w:rFonts w:ascii="Times New Roman" w:cs="Times New Roman" w:eastAsia="Times New Roman" w:hAnsi="Times New Roman"/>
                <w:sz w:val="26"/>
                <w:szCs w:val="26"/>
                <w:color w:val="auto"/>
                <w:vertAlign w:val="superscript"/>
              </w:rPr>
              <w:t>(30)</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275,000</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tcPr>
          <w:p>
            <w:pPr>
              <w:jc w:val="center"/>
              <w:ind w:left="22"/>
              <w:spacing w:after="0"/>
              <w:rPr>
                <w:sz w:val="20"/>
                <w:szCs w:val="20"/>
                <w:color w:val="auto"/>
              </w:rPr>
            </w:pPr>
            <w:r>
              <w:rPr>
                <w:rFonts w:ascii="Times New Roman" w:cs="Times New Roman" w:eastAsia="Times New Roman" w:hAnsi="Times New Roman"/>
                <w:sz w:val="16"/>
                <w:szCs w:val="16"/>
                <w:color w:val="auto"/>
                <w:w w:val="96"/>
              </w:rPr>
              <w:t>275,000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6"/>
                <w:szCs w:val="26"/>
                <w:color w:val="auto"/>
                <w:vertAlign w:val="superscript"/>
              </w:rPr>
              <w:t>(31)</w:t>
            </w: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7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6"/>
                <w:szCs w:val="26"/>
                <w:color w:val="auto"/>
                <w:vertAlign w:val="superscript"/>
              </w:rPr>
              <w:t>(32)</w:t>
            </w: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left="504"/>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7"/>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6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960" w:type="dxa"/>
            <w:vAlign w:val="bottom"/>
            <w:gridSpan w:val="5"/>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80" w:type="dxa"/>
            <w:vAlign w:val="bottom"/>
            <w:gridSpan w:val="3"/>
            <w:shd w:val="clear" w:color="auto" w:fill="CCEEFF"/>
          </w:tcPr>
          <w:p>
            <w:pPr>
              <w:spacing w:after="0" w:line="291" w:lineRule="exact"/>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6"/>
                <w:szCs w:val="26"/>
                <w:color w:val="auto"/>
                <w:vertAlign w:val="superscript"/>
              </w:rPr>
              <w:t>(33)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Jeffrey Jagid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Jonathan Jagid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Joshua Jagid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Joshua Samuelson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Kaitlin Carey</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Katz 2014 Limited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6"/>
                <w:szCs w:val="26"/>
                <w:color w:val="auto"/>
                <w:vertAlign w:val="superscript"/>
              </w:rPr>
              <w:t>(34)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Keith F. Overlander</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Lachlan S.H. Grassie 2012</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(35)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6"/>
                <w:szCs w:val="26"/>
                <w:color w:val="auto"/>
                <w:vertAlign w:val="superscript"/>
              </w:rPr>
              <w:t>(36)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4"/>
                <w:szCs w:val="24"/>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Laurence Russian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Laurence Schreiber</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Luxor</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Capital</w:t>
            </w:r>
            <w:r>
              <w:rPr>
                <w:rFonts w:ascii="Times New Roman" w:cs="Times New Roman" w:eastAsia="Times New Roman" w:hAnsi="Times New Roman"/>
                <w:sz w:val="26"/>
                <w:szCs w:val="26"/>
                <w:color w:val="auto"/>
                <w:vertAlign w:val="superscript"/>
              </w:rPr>
              <w:t>(37)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5,147,524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369,756</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2,447,524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2.76%</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369,756</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6"/>
              </w:rPr>
              <w:t>1.90%</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Manatuck Hill</w:t>
            </w:r>
            <w:r>
              <w:rPr>
                <w:rFonts w:ascii="Times New Roman" w:cs="Times New Roman" w:eastAsia="Times New Roman" w:hAnsi="Times New Roman"/>
                <w:sz w:val="26"/>
                <w:szCs w:val="26"/>
                <w:color w:val="auto"/>
                <w:vertAlign w:val="superscript"/>
              </w:rPr>
              <w:t>(38)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 Sontrop</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Matthew Tomasino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Measure 8 Full Spectrum,</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LP</w:t>
            </w:r>
            <w:r>
              <w:rPr>
                <w:rFonts w:ascii="Times New Roman" w:cs="Times New Roman" w:eastAsia="Times New Roman" w:hAnsi="Times New Roman"/>
                <w:sz w:val="13"/>
                <w:szCs w:val="13"/>
                <w:color w:val="auto"/>
              </w:rPr>
              <w:t>(39)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Ninepoint Alternative Health</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(40)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Paul A. Halpern Trust date July</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40" w:type="dxa"/>
            <w:vAlign w:val="bottom"/>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24, 2000</w:t>
            </w:r>
            <w:r>
              <w:rPr>
                <w:rFonts w:ascii="Times New Roman" w:cs="Times New Roman" w:eastAsia="Times New Roman" w:hAnsi="Times New Roman"/>
                <w:sz w:val="26"/>
                <w:szCs w:val="26"/>
                <w:color w:val="auto"/>
                <w:vertAlign w:val="superscript"/>
              </w:rPr>
              <w:t>(41)</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84"/>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6"/>
                <w:szCs w:val="26"/>
                <w:color w:val="auto"/>
                <w:vertAlign w:val="superscript"/>
              </w:rPr>
              <w:t>(42)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4"/>
                <w:szCs w:val="24"/>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84"/>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6"/>
                <w:szCs w:val="26"/>
                <w:color w:val="auto"/>
                <w:vertAlign w:val="superscript"/>
              </w:rPr>
              <w:t>(43)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the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Polar Funds</w:t>
            </w:r>
            <w:r>
              <w:rPr>
                <w:rFonts w:ascii="Times New Roman" w:cs="Times New Roman" w:eastAsia="Times New Roman" w:hAnsi="Times New Roman"/>
                <w:sz w:val="26"/>
                <w:szCs w:val="26"/>
                <w:color w:val="auto"/>
                <w:vertAlign w:val="superscript"/>
              </w:rPr>
              <w:t>(44)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120" w:type="dxa"/>
            <w:vAlign w:val="bottom"/>
          </w:tcPr>
          <w:p>
            <w:pPr>
              <w:spacing w:after="0"/>
              <w:rPr>
                <w:sz w:val="21"/>
                <w:szCs w:val="21"/>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Ponya Asset Management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13"/>
                <w:szCs w:val="13"/>
                <w:color w:val="auto"/>
              </w:rPr>
              <w:t>(45)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8"/>
        </w:trPr>
        <w:tc>
          <w:tcPr>
            <w:tcW w:w="15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-8185785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-8185785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-8185785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-8185785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-8185785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-8185785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-8185785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-8185785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-5160010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-5160010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-5160010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-5160010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-5160010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-5160010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-5160010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-5160010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893" w:gutter="0" w:footer="0" w:header="0"/>
        </w:sectPr>
      </w:pPr>
    </w:p>
    <w:bookmarkStart w:id="16" w:name="page17"/>
    <w:bookmarkEnd w:id="16"/>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503"/>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7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96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Ray E. Newton III Revocable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80" w:type="dxa"/>
            <w:vAlign w:val="bottom"/>
            <w:gridSpan w:val="3"/>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Trust UAD 10/11/12 as</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amended 7/23/19</w:t>
            </w:r>
            <w:r>
              <w:rPr>
                <w:rFonts w:ascii="Times New Roman" w:cs="Times New Roman" w:eastAsia="Times New Roman" w:hAnsi="Times New Roman"/>
                <w:sz w:val="26"/>
                <w:szCs w:val="26"/>
                <w:color w:val="auto"/>
                <w:vertAlign w:val="superscript"/>
              </w:rPr>
              <w:t>(46)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7,550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Goldman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Prager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Robinson Family Trust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40" w:type="dxa"/>
            <w:vAlign w:val="bottom"/>
          </w:tcPr>
          <w:p>
            <w:pPr>
              <w:ind w:left="140"/>
              <w:spacing w:after="0" w:line="252" w:lineRule="exact"/>
              <w:rPr>
                <w:sz w:val="20"/>
                <w:szCs w:val="20"/>
                <w:color w:val="auto"/>
              </w:rPr>
            </w:pPr>
            <w:r>
              <w:rPr>
                <w:rFonts w:ascii="Times New Roman" w:cs="Times New Roman" w:eastAsia="Times New Roman" w:hAnsi="Times New Roman"/>
                <w:sz w:val="16"/>
                <w:szCs w:val="16"/>
                <w:color w:val="auto"/>
              </w:rPr>
              <w:t>2016</w:t>
            </w:r>
            <w:r>
              <w:rPr>
                <w:rFonts w:ascii="Times New Roman" w:cs="Times New Roman" w:eastAsia="Times New Roman" w:hAnsi="Times New Roman"/>
                <w:sz w:val="26"/>
                <w:szCs w:val="26"/>
                <w:color w:val="auto"/>
                <w:vertAlign w:val="superscript"/>
              </w:rPr>
              <w:t>(47)</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Rock J. Eiden &amp; Sandra K.</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Eiden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6"/>
                <w:szCs w:val="26"/>
                <w:color w:val="auto"/>
                <w:vertAlign w:val="superscript"/>
              </w:rPr>
              <w:t>(48)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Roystone Capital Master Fund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(49)</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699,437</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297,000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49,437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297,000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Samantha Lewis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J. Taylor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Pura</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Vida Investments, LLC</w:t>
            </w:r>
            <w:r>
              <w:rPr>
                <w:rFonts w:ascii="Times New Roman" w:cs="Times New Roman" w:eastAsia="Times New Roman" w:hAnsi="Times New Roman"/>
                <w:sz w:val="26"/>
                <w:szCs w:val="26"/>
                <w:color w:val="auto"/>
                <w:vertAlign w:val="superscript"/>
              </w:rPr>
              <w:t>(50)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12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3,200,000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1"/>
                <w:szCs w:val="21"/>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Seawolf Capital LLC</w:t>
            </w:r>
            <w:r>
              <w:rPr>
                <w:rFonts w:ascii="Times New Roman" w:cs="Times New Roman" w:eastAsia="Times New Roman" w:hAnsi="Times New Roman"/>
                <w:sz w:val="26"/>
                <w:szCs w:val="26"/>
                <w:color w:val="auto"/>
                <w:vertAlign w:val="superscript"/>
              </w:rPr>
              <w:t>(51)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Senvest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(52)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5,584,975</w:t>
            </w:r>
          </w:p>
        </w:tc>
        <w:tc>
          <w:tcPr>
            <w:tcW w:w="12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3,468,682</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4,000,000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1,584,975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6"/>
              </w:rPr>
              <w:t>1.78%</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3,468,682</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SOJE Fund LP</w:t>
            </w:r>
            <w:r>
              <w:rPr>
                <w:rFonts w:ascii="Times New Roman" w:cs="Times New Roman" w:eastAsia="Times New Roman" w:hAnsi="Times New Roman"/>
                <w:sz w:val="26"/>
                <w:szCs w:val="26"/>
                <w:color w:val="auto"/>
                <w:vertAlign w:val="superscript"/>
              </w:rPr>
              <w:t>(53)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SRC WM LP</w:t>
            </w:r>
            <w:r>
              <w:rPr>
                <w:rFonts w:ascii="Times New Roman" w:cs="Times New Roman" w:eastAsia="Times New Roman" w:hAnsi="Times New Roman"/>
                <w:sz w:val="26"/>
                <w:szCs w:val="26"/>
                <w:color w:val="auto"/>
                <w:vertAlign w:val="superscript"/>
              </w:rPr>
              <w:t>(54)</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Stephen J. Antinelli</w:t>
            </w:r>
            <w:r>
              <w:rPr>
                <w:rFonts w:ascii="Times New Roman" w:cs="Times New Roman" w:eastAsia="Times New Roman" w:hAnsi="Times New Roman"/>
                <w:sz w:val="26"/>
                <w:szCs w:val="26"/>
                <w:color w:val="auto"/>
                <w:vertAlign w:val="superscript"/>
              </w:rPr>
              <w:t>(55)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Stuart Spodek</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Sunshine Charitable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Foundation</w:t>
            </w:r>
            <w:r>
              <w:rPr>
                <w:rFonts w:ascii="Times New Roman" w:cs="Times New Roman" w:eastAsia="Times New Roman" w:hAnsi="Times New Roman"/>
                <w:sz w:val="26"/>
                <w:szCs w:val="26"/>
                <w:color w:val="auto"/>
                <w:vertAlign w:val="superscript"/>
              </w:rPr>
              <w:t>(56)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Susan Nappan Cocke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Tauro Investments, LLC</w:t>
            </w:r>
            <w:r>
              <w:rPr>
                <w:rFonts w:ascii="Times New Roman" w:cs="Times New Roman" w:eastAsia="Times New Roman" w:hAnsi="Times New Roman"/>
                <w:sz w:val="26"/>
                <w:szCs w:val="26"/>
                <w:color w:val="auto"/>
                <w:vertAlign w:val="superscript"/>
              </w:rPr>
              <w:t>(57)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TCCS I, LP</w:t>
            </w:r>
            <w:r>
              <w:rPr>
                <w:rFonts w:ascii="Times New Roman" w:cs="Times New Roman" w:eastAsia="Times New Roman" w:hAnsi="Times New Roman"/>
                <w:sz w:val="26"/>
                <w:szCs w:val="26"/>
                <w:color w:val="auto"/>
                <w:vertAlign w:val="superscript"/>
              </w:rPr>
              <w:t>(58)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Teak Fund, LP</w:t>
            </w:r>
            <w:r>
              <w:rPr>
                <w:rFonts w:ascii="Times New Roman" w:cs="Times New Roman" w:eastAsia="Times New Roman" w:hAnsi="Times New Roman"/>
                <w:sz w:val="26"/>
                <w:szCs w:val="26"/>
                <w:color w:val="auto"/>
                <w:vertAlign w:val="superscript"/>
              </w:rPr>
              <w:t>(59)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Teton Fund, LP</w:t>
            </w:r>
            <w:r>
              <w:rPr>
                <w:rFonts w:ascii="Times New Roman" w:cs="Times New Roman" w:eastAsia="Times New Roman" w:hAnsi="Times New Roman"/>
                <w:sz w:val="26"/>
                <w:szCs w:val="26"/>
                <w:color w:val="auto"/>
                <w:vertAlign w:val="superscript"/>
              </w:rPr>
              <w:t>(60)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The Vorfeld Family Trust</w:t>
            </w:r>
            <w:r>
              <w:rPr>
                <w:rFonts w:ascii="Times New Roman" w:cs="Times New Roman" w:eastAsia="Times New Roman" w:hAnsi="Times New Roman"/>
                <w:sz w:val="26"/>
                <w:szCs w:val="26"/>
                <w:color w:val="auto"/>
                <w:vertAlign w:val="superscript"/>
              </w:rPr>
              <w:t>(61)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Thomas Marino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Troy Gregory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TLP Investment Partners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13"/>
                <w:szCs w:val="13"/>
                <w:color w:val="auto"/>
              </w:rPr>
              <w:t>(62)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tcPr>
          <w:p>
            <w:pPr>
              <w:spacing w:after="0"/>
              <w:rPr>
                <w:sz w:val="17"/>
                <w:szCs w:val="17"/>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TUP Investments, L.P.</w:t>
            </w:r>
            <w:r>
              <w:rPr>
                <w:rFonts w:ascii="Times New Roman" w:cs="Times New Roman" w:eastAsia="Times New Roman" w:hAnsi="Times New Roman"/>
                <w:sz w:val="26"/>
                <w:szCs w:val="26"/>
                <w:color w:val="auto"/>
                <w:vertAlign w:val="superscript"/>
              </w:rPr>
              <w:t>(63)</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Vobren Limited</w:t>
            </w:r>
            <w:r>
              <w:rPr>
                <w:rFonts w:ascii="Times New Roman" w:cs="Times New Roman" w:eastAsia="Times New Roman" w:hAnsi="Times New Roman"/>
                <w:sz w:val="26"/>
                <w:szCs w:val="26"/>
                <w:color w:val="auto"/>
                <w:vertAlign w:val="superscript"/>
              </w:rPr>
              <w:t>(64)</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James Pade III</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-6240145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-6240145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-6240145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-6240145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-6240145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-6240145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-6240145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-6240145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29"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866"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41" w:lineRule="auto"/>
        <w:rPr>
          <w:sz w:val="20"/>
          <w:szCs w:val="20"/>
          <w:color w:val="auto"/>
        </w:rPr>
      </w:pPr>
      <w:r>
        <w:rPr>
          <w:rFonts w:ascii="Times New Roman" w:cs="Times New Roman" w:eastAsia="Times New Roman" w:hAnsi="Times New Roman"/>
          <w:sz w:val="14"/>
          <w:szCs w:val="14"/>
          <w:color w:val="auto"/>
        </w:rPr>
        <w:t>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5" w:lineRule="exact"/>
        <w:rPr>
          <w:sz w:val="20"/>
          <w:szCs w:val="20"/>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9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 (3) Julien Brenier or (4) Rupert Martin.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27" w:lineRule="auto"/>
        <w:rPr>
          <w:sz w:val="20"/>
          <w:szCs w:val="20"/>
          <w:color w:val="auto"/>
        </w:rPr>
      </w:pPr>
      <w:r>
        <w:rPr>
          <w:rFonts w:ascii="Times New Roman" w:cs="Times New Roman" w:eastAsia="Times New Roman" w:hAnsi="Times New Roman"/>
          <w:sz w:val="14"/>
          <w:szCs w:val="14"/>
          <w:color w:val="auto"/>
        </w:rPr>
        <w:t>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6"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5"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June 30, 2022, there were (1) 88,836,328 shares of Class A Common Stock, (2) 56,466,013 shares of Class V Common Stock and no shares of preferred stock outstanding.</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firstLine="360"/>
        <w:spacing w:after="0" w:line="312"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Class A Common Stock (other than those described above or that solely affects the par value of such shares of Class A Common Stock), or in the case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firstLine="360"/>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5"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nor a partnership or an entity or arrangement treated as a partnership for U.S. federal income tax purposes.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basis in its Warrants will generally equal the U.S. Holder’s acquisition cost, increased by the amount of any constructive distributions included in income by such U.S. Holder (as described below under “U.S. Holders— Possible Constructive Distributions”). Such gain or loss generally will be treated as long-term capital gain or loss if the Warrant is held by the U.S. Holder for more than one year at the time of such disposition or expiration.</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Any such loss generally will be a capital loss and will be long-term capital loss if the Warrant is held for more than one year. Because the term of the Warrants is more than one year, a U.S. Holder’s capital loss will be treated as a long-term capital loss. The deductibility of capital losses is subject to certain limitations.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our Securities—Warrants—Public Stockholders’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“U.S. Holders—Taxation of Distributions” in the same manner as if such U.S. Holder received a cash distribution from us on Class A Common Stock equal to the fair market value of such increased interest.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Common Stock and Warrants” below. In addition, if we determine that we are likely to be classified as a “United States real property holding corporation” (see the section entitled “Non-U.S. Holders—Gain on Sale, Exchange or Other Taxable Disposition of Class A Common Stock and Warrants” below), we will withhold 15% of any distribution that exceeds our current and accumulated earnings and profits.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“U.S. Holders—Exercise of a Warrant” above, although to the extent a cashless exercise results in a taxable exchange, the tax consequences to the non-U.S. Holder would be the same as those described below in “Non-U.S. Holders—Gain on Sale, Exchange or Other Taxable Disposition of Class A Common Stock and Warrants.”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the shares of our Warrants. There can be no assurance that our Class A Common Stock will be treated as regularly traded or not regularly traded on an established securities market for this purpose.</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 applicable, will be subject to tax at generally applicable U.S. federal income tax rates. In addition, a buyer of our Class A Common Stock or Warrants from such holder may be required to withhold U.S. income tax at a rate of 15%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our Securities—Warrants—Public Stockholders’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“Non-U.S. Holders—Taxation of Distributions” under that section in the same manner as if such non-U.S. Holder received a cash distribution from us on Class A Common Stock equal to the fair market value of such increased interest.</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0"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Company appearing in the Company’s Annual Report on Form 10-K for the year ended as of December 31, 2021 have been audited by Baker Tilly US, LLP (“Baker Tilly”), an independent registered public accounting firm, as stated in their report thereon, included therein, and incorporated herein by reference, which report expresses an unqualified opinion and includes an emphasis of matter paragraph relating to the industry in which WMTI operates. Such consolidated financial statements are incorporated by reference in reliance upon such reports and upon the authority of such firm as experts in accounting and auditing.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100">
        <w:r>
          <w:rPr>
            <w:rFonts w:ascii="Times New Roman" w:cs="Times New Roman" w:eastAsia="Times New Roman" w:hAnsi="Times New Roman"/>
            <w:sz w:val="18"/>
            <w:szCs w:val="18"/>
            <w:u w:val="single" w:color="auto"/>
            <w:color w:val="0000EE"/>
          </w:rPr>
          <w:t>February 25, 2022</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Form DEF 14A for the year ended December 31, 2021, filed on </w:t>
      </w:r>
      <w:hyperlink r:id="rId101">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auto"/>
          </w:rPr>
          <w:t xml:space="preserve">our Quarterly Reports on Form 10-Q for the quarter ended March 31, 2022, filed with the SEC on </w:t>
        </w:r>
        <w:r>
          <w:rPr>
            <w:rFonts w:ascii="Times New Roman" w:cs="Times New Roman" w:eastAsia="Times New Roman" w:hAnsi="Times New Roman"/>
            <w:sz w:val="18"/>
            <w:szCs w:val="18"/>
            <w:u w:val="single" w:color="auto"/>
            <w:color w:val="0000EE"/>
          </w:rPr>
          <w:t>May 6,</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and for the quarter ended June 30, 2022, filed with the SEC on</w:t>
        </w:r>
        <w:r>
          <w:rPr>
            <w:rFonts w:ascii="Times New Roman" w:cs="Times New Roman" w:eastAsia="Times New Roman" w:hAnsi="Times New Roman"/>
            <w:sz w:val="18"/>
            <w:szCs w:val="18"/>
            <w:color w:val="0000EE"/>
          </w:rPr>
          <w:t xml:space="preserve"> </w:t>
        </w:r>
      </w:hyperlink>
      <w:hyperlink r:id="rId103">
        <w:r>
          <w:rPr>
            <w:rFonts w:ascii="Times New Roman" w:cs="Times New Roman" w:eastAsia="Times New Roman" w:hAnsi="Times New Roman"/>
            <w:sz w:val="18"/>
            <w:szCs w:val="18"/>
            <w:u w:val="single" w:color="auto"/>
            <w:color w:val="0000EE"/>
          </w:rPr>
          <w:t>August 9, 2022</w:t>
        </w:r>
      </w:hyperlink>
      <w:hyperlink r:id="rId102">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27,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9,</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for the information in such reports is filed and not furnished; and</w:t>
        </w:r>
      </w:hyperlink>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w:t>
      </w:r>
      <w:hyperlink r:id="rId105">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2021 filed with the SEC on February 25, 2022,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1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rFonts w:ascii="Times New Roman" w:cs="Times New Roman" w:eastAsia="Times New Roman" w:hAnsi="Times New Roman"/>
          <w:sz w:val="18"/>
          <w:szCs w:val="18"/>
          <w:color w:val="auto"/>
        </w:rPr>
      </w:pPr>
    </w:p>
    <w:p>
      <w:pPr>
        <w:ind w:left="4240" w:hanging="218"/>
        <w:spacing w:after="0"/>
        <w:tabs>
          <w:tab w:leader="none" w:pos="4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ind w:left="3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(844) 933-3627</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0"/>
        </w:trPr>
        <w:tc>
          <w:tcPr>
            <w:tcW w:w="77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$401,800</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7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$732,000</w:t>
            </w:r>
          </w:p>
        </w:tc>
      </w:tr>
      <w:tr>
        <w:trPr>
          <w:trHeight w:val="54"/>
        </w:trPr>
        <w:tc>
          <w:tcPr>
            <w:tcW w:w="77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-1045210</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tab/>
        <w:t>Indemnification of Directors and Officers.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96" w:lineRule="exact"/>
        <w:rPr>
          <w:sz w:val="20"/>
          <w:szCs w:val="20"/>
          <w:color w:val="auto"/>
        </w:rPr>
      </w:pPr>
    </w:p>
    <w:p>
      <w:pPr>
        <w:ind w:left="380"/>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41910</wp:posOffset>
            </wp:positionV>
            <wp:extent cx="5349240" cy="4800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95" w:lineRule="exact"/>
        <w:rPr>
          <w:sz w:val="20"/>
          <w:szCs w:val="20"/>
          <w:color w:val="auto"/>
        </w:rPr>
      </w:pPr>
    </w:p>
    <w:p>
      <w:pPr>
        <w:jc w:val="both"/>
        <w:ind w:left="1280" w:right="299" w:hanging="709"/>
        <w:spacing w:after="0" w:line="266" w:lineRule="auto"/>
        <w:tabs>
          <w:tab w:leader="none" w:pos="1260" w:val="left"/>
        </w:tabs>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EE"/>
        </w:rPr>
        <w:tab/>
        <w:t>Agreement and Plan of Merger, dated December 10, 2020, by and among Silver Spike, Merger Sub, Legacy WMH, and the Holder Representative named therein (incorporated by reference to Exhibit 2.1 to the Current Report on Form 8-K filed on December 10, 2020).</w:t>
      </w:r>
    </w:p>
    <w:p>
      <w:pPr>
        <w:spacing w:after="0" w:line="41" w:lineRule="exact"/>
        <w:rPr>
          <w:sz w:val="20"/>
          <w:szCs w:val="20"/>
          <w:color w:val="auto"/>
        </w:rPr>
      </w:pPr>
    </w:p>
    <w:p>
      <w:pPr>
        <w:jc w:val="both"/>
        <w:ind w:left="1280" w:right="319" w:hanging="658"/>
        <w:spacing w:after="0" w:line="282" w:lineRule="auto"/>
        <w:tabs>
          <w:tab w:leader="none" w:pos="1260" w:val="left"/>
        </w:tabs>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color w:val="0000EE"/>
        </w:rPr>
        <w:tab/>
        <w:t>Certificate of Incorporation of the Company, dated June 15, 2021 (incorporated by reference to Exhibit 3.1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2540</wp:posOffset>
            </wp:positionV>
            <wp:extent cx="5349240" cy="3257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7" w:lineRule="exact"/>
        <w:rPr>
          <w:sz w:val="20"/>
          <w:szCs w:val="20"/>
          <w:color w:val="auto"/>
        </w:rPr>
      </w:pPr>
    </w:p>
    <w:p>
      <w:pPr>
        <w:jc w:val="both"/>
        <w:ind w:left="1280" w:right="299" w:hanging="658"/>
        <w:spacing w:after="0" w:line="282" w:lineRule="auto"/>
        <w:tabs>
          <w:tab w:leader="none" w:pos="1260" w:val="left"/>
        </w:tabs>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color w:val="0000EE"/>
        </w:rPr>
        <w:tab/>
        <w:t>Amended and Restated Bylaws of the Company, dated June 16, 2021 (incorporated by reference to Exhibit 3.2 to the Current Report on Form 8-K filed on June 21, 2021).</w:t>
      </w:r>
    </w:p>
    <w:p>
      <w:pPr>
        <w:spacing w:after="0" w:line="27" w:lineRule="exact"/>
        <w:rPr>
          <w:sz w:val="20"/>
          <w:szCs w:val="20"/>
          <w:color w:val="auto"/>
        </w:rPr>
      </w:pPr>
    </w:p>
    <w:p>
      <w:pPr>
        <w:jc w:val="both"/>
        <w:ind w:left="1280" w:right="299" w:hanging="658"/>
        <w:spacing w:after="0" w:line="282" w:lineRule="auto"/>
        <w:tabs>
          <w:tab w:leader="none" w:pos="1260" w:val="left"/>
        </w:tabs>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color w:val="0000EE"/>
        </w:rPr>
        <w:tab/>
        <w:t>Form of Common Stock Certificate of the Company (incorporated by reference to Exhibit 4.1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2540</wp:posOffset>
            </wp:positionV>
            <wp:extent cx="5349240"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7" w:lineRule="exact"/>
        <w:rPr>
          <w:sz w:val="20"/>
          <w:szCs w:val="20"/>
          <w:color w:val="auto"/>
        </w:rPr>
      </w:pPr>
    </w:p>
    <w:p>
      <w:pPr>
        <w:jc w:val="both"/>
        <w:ind w:left="1280" w:right="319" w:hanging="658"/>
        <w:spacing w:after="0" w:line="282" w:lineRule="auto"/>
        <w:tabs>
          <w:tab w:leader="none" w:pos="1260" w:val="left"/>
        </w:tabs>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color w:val="0000EE"/>
        </w:rPr>
        <w:tab/>
        <w:t>Form of Warrant Certificate of the Company (incorporated by reference to Exhibit 4.2 to the Current Report on Form 8-K filed on June 21, 2021).</w:t>
      </w:r>
    </w:p>
    <w:p>
      <w:pPr>
        <w:spacing w:after="0" w:line="27" w:lineRule="exact"/>
        <w:rPr>
          <w:sz w:val="20"/>
          <w:szCs w:val="20"/>
          <w:color w:val="auto"/>
        </w:rPr>
      </w:pPr>
    </w:p>
    <w:p>
      <w:pPr>
        <w:jc w:val="both"/>
        <w:ind w:left="1280" w:right="319" w:hanging="658"/>
        <w:spacing w:after="0" w:line="266" w:lineRule="auto"/>
        <w:tabs>
          <w:tab w:leader="none" w:pos="1260" w:val="left"/>
        </w:tabs>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color w:val="0000EE"/>
        </w:rPr>
        <w:tab/>
        <w:t>Warrant Agreement, dated August 7, 2019, between the Company and Continental Stock Transfer &amp; Trust Company, as warrant agent (incorporated by reference to Exhibit 4.1 filed on Silver Spike’s Current Report on Form 8-K, filed by the Company on August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12065</wp:posOffset>
            </wp:positionV>
            <wp:extent cx="5349240" cy="3257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21" w:lineRule="exact"/>
        <w:rPr>
          <w:sz w:val="20"/>
          <w:szCs w:val="20"/>
          <w:color w:val="auto"/>
        </w:rPr>
      </w:pPr>
    </w:p>
    <w:p>
      <w:pPr>
        <w:jc w:val="both"/>
        <w:ind w:left="1280" w:right="319" w:hanging="658"/>
        <w:spacing w:after="0" w:line="282" w:lineRule="auto"/>
        <w:tabs>
          <w:tab w:leader="none" w:pos="1260" w:val="left"/>
        </w:tabs>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u w:val="single" w:color="auto"/>
            <w:color w:val="0000EE"/>
          </w:rPr>
          <w:t>4.4</w:t>
        </w:r>
      </w:hyperlink>
      <w:r>
        <w:rPr>
          <w:rFonts w:ascii="Times New Roman" w:cs="Times New Roman" w:eastAsia="Times New Roman" w:hAnsi="Times New Roman"/>
          <w:sz w:val="18"/>
          <w:szCs w:val="18"/>
          <w:color w:val="0000EE"/>
        </w:rPr>
        <w:tab/>
        <w:t>Description of Securities (incorporated by reference to Exhibit 4.5 to the Annual Report on Form 10-K filed on February 25, 2022).</w:t>
      </w:r>
    </w:p>
    <w:p>
      <w:pPr>
        <w:spacing w:after="0" w:line="27" w:lineRule="exact"/>
        <w:rPr>
          <w:sz w:val="20"/>
          <w:szCs w:val="20"/>
          <w:color w:val="auto"/>
        </w:rPr>
      </w:pPr>
    </w:p>
    <w:p>
      <w:pPr>
        <w:ind w:left="620"/>
        <w:spacing w:after="0"/>
        <w:tabs>
          <w:tab w:leader="none" w:pos="1260" w:val="left"/>
        </w:tabs>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u w:val="single" w:color="auto"/>
            <w:color w:val="0000EE"/>
          </w:rPr>
          <w:t>5.1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Opinion of 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43180</wp:posOffset>
            </wp:positionV>
            <wp:extent cx="5349240"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70" w:lineRule="exact"/>
        <w:rPr>
          <w:sz w:val="20"/>
          <w:szCs w:val="20"/>
          <w:color w:val="auto"/>
        </w:rPr>
      </w:pPr>
    </w:p>
    <w:p>
      <w:pPr>
        <w:jc w:val="both"/>
        <w:ind w:left="1280" w:right="299" w:hanging="703"/>
        <w:spacing w:after="0" w:line="282" w:lineRule="auto"/>
        <w:tabs>
          <w:tab w:leader="none" w:pos="1260" w:val="left"/>
        </w:tabs>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t>Form of Subscription Agreement (incorporated by reference to Exhibit 10.1 to the Current Report on Form 8-K filed on December 10, 2020).</w:t>
      </w:r>
    </w:p>
    <w:p>
      <w:pPr>
        <w:spacing w:after="0" w:line="27" w:lineRule="exact"/>
        <w:rPr>
          <w:sz w:val="20"/>
          <w:szCs w:val="20"/>
          <w:color w:val="auto"/>
        </w:rPr>
      </w:pPr>
    </w:p>
    <w:p>
      <w:pPr>
        <w:jc w:val="both"/>
        <w:ind w:left="1280" w:right="299" w:hanging="703"/>
        <w:spacing w:after="0" w:line="266" w:lineRule="auto"/>
        <w:tabs>
          <w:tab w:leader="none" w:pos="1260" w:val="left"/>
        </w:tabs>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color w:val="0000EE"/>
        </w:rPr>
        <w:tab/>
        <w:t>Amended and Restated Registration Rights Agreement, dated as of June 16, 2021, by and among the Company, Silver Spike Sponsor and the other parties thereto (incorporated by reference to Exhibit 10.5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12065</wp:posOffset>
            </wp:positionV>
            <wp:extent cx="534924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21"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color w:val="auto"/>
        </w:rPr>
        <w:t>Consent of Baker Tilly US, LLP</w:t>
      </w:r>
    </w:p>
    <w:p>
      <w:pPr>
        <w:spacing w:after="0" w:line="90" w:lineRule="exact"/>
        <w:rPr>
          <w:sz w:val="20"/>
          <w:szCs w:val="20"/>
          <w:color w:val="auto"/>
        </w:rPr>
      </w:pPr>
    </w:p>
    <w:p>
      <w:pPr>
        <w:ind w:left="520"/>
        <w:spacing w:after="0"/>
        <w:tabs>
          <w:tab w:leader="none" w:pos="1260" w:val="left"/>
        </w:tabs>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u w:val="single" w:color="auto"/>
            <w:color w:val="0000EE"/>
          </w:rPr>
          <w:t>23.2*</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Consent of Cooley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43180</wp:posOffset>
            </wp:positionV>
            <wp:extent cx="5349240" cy="3257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70" w:lineRule="exact"/>
        <w:rPr>
          <w:sz w:val="20"/>
          <w:szCs w:val="20"/>
          <w:color w:val="auto"/>
        </w:rPr>
      </w:pPr>
    </w:p>
    <w:p>
      <w:pPr>
        <w:ind w:left="520"/>
        <w:spacing w:after="0"/>
        <w:tabs>
          <w:tab w:leader="none" w:pos="1260" w:val="left"/>
        </w:tabs>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u w:val="single" w:color="auto"/>
            <w:color w:val="0000EE"/>
          </w:rPr>
          <w:t>24.1*</w:t>
        </w:r>
      </w:hyperlink>
      <w:r>
        <w:rPr>
          <w:rFonts w:ascii="Times New Roman" w:cs="Times New Roman" w:eastAsia="Times New Roman" w:hAnsi="Times New Roman"/>
          <w:sz w:val="18"/>
          <w:szCs w:val="18"/>
          <w:color w:val="0000EE"/>
        </w:rPr>
        <w:tab/>
        <w:t>Power of Attorney (included on signature page of Registration Statement on Form S-1 filed on July 8,</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2021)</w:t>
      </w:r>
    </w:p>
    <w:p>
      <w:pPr>
        <w:spacing w:after="0" w:line="72" w:lineRule="exact"/>
        <w:rPr>
          <w:sz w:val="20"/>
          <w:szCs w:val="20"/>
          <w:color w:val="auto"/>
        </w:rPr>
      </w:pPr>
    </w:p>
    <w:p>
      <w:pPr>
        <w:ind w:left="58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24.2</w:t>
      </w:r>
      <w:r>
        <w:rPr>
          <w:sz w:val="20"/>
          <w:szCs w:val="20"/>
          <w:color w:val="auto"/>
        </w:rPr>
        <w:tab/>
      </w:r>
      <w:r>
        <w:rPr>
          <w:rFonts w:ascii="Times New Roman" w:cs="Times New Roman" w:eastAsia="Times New Roman" w:hAnsi="Times New Roman"/>
          <w:sz w:val="17"/>
          <w:szCs w:val="17"/>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197485</wp:posOffset>
            </wp:positionV>
            <wp:extent cx="822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6"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20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61" w:lineRule="auto"/>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740" w:right="299"/>
        <w:spacing w:after="0" w:line="256" w:lineRule="auto"/>
        <w:rPr>
          <w:sz w:val="20"/>
          <w:szCs w:val="20"/>
          <w:color w:val="auto"/>
        </w:rPr>
      </w:pPr>
      <w:r>
        <w:rPr>
          <w:rFonts w:ascii="Times New Roman" w:cs="Times New Roman" w:eastAsia="Times New Roman" w:hAnsi="Times New Roman"/>
          <w:sz w:val="18"/>
          <w:szCs w:val="18"/>
          <w:color w:val="auto"/>
        </w:rPr>
        <w:t>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9" w:lineRule="exact"/>
        <w:rPr>
          <w:sz w:val="20"/>
          <w:szCs w:val="20"/>
          <w:color w:val="auto"/>
        </w:rPr>
      </w:pPr>
    </w:p>
    <w:p>
      <w:pPr>
        <w:jc w:val="both"/>
        <w:ind w:left="1720" w:right="299" w:hanging="348"/>
        <w:spacing w:after="0" w:line="266" w:lineRule="auto"/>
        <w:tabs>
          <w:tab w:leader="none" w:pos="1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5" w:lineRule="exact"/>
        <w:rPr>
          <w:rFonts w:ascii="Times New Roman" w:cs="Times New Roman" w:eastAsia="Times New Roman" w:hAnsi="Times New Roman"/>
          <w:sz w:val="18"/>
          <w:szCs w:val="18"/>
          <w:color w:val="auto"/>
        </w:rPr>
      </w:pPr>
    </w:p>
    <w:p>
      <w:pPr>
        <w:jc w:val="both"/>
        <w:ind w:left="1740" w:right="29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76"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52" w:lineRule="auto"/>
        <w:tabs>
          <w:tab w:leader="none" w:pos="1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02"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720" w:right="319" w:hanging="348"/>
        <w:spacing w:after="0" w:line="282" w:lineRule="auto"/>
        <w:tabs>
          <w:tab w:leader="none" w:pos="17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3 to Registration Statement to be signed on its behalf by the undersigned, thereunto duly authorized in the City of Irvine, State of California on October 5, 2022.</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60325</wp:posOffset>
            </wp:positionV>
            <wp:extent cx="27603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Name: Christopher Beals</w:t>
      </w:r>
    </w:p>
    <w:p>
      <w:pPr>
        <w:spacing w:after="0" w:line="1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71" w:lineRule="exact"/>
        <w:rPr>
          <w:sz w:val="20"/>
          <w:szCs w:val="20"/>
          <w:color w:val="auto"/>
        </w:rPr>
      </w:pPr>
    </w:p>
    <w:p>
      <w:pPr>
        <w:jc w:val="both"/>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Christopher Beals and Arden Lee,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84"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115" w:lineRule="exact"/>
        <w:rPr>
          <w:sz w:val="20"/>
          <w:szCs w:val="20"/>
          <w:color w:val="auto"/>
        </w:rPr>
      </w:pPr>
    </w:p>
    <w:p>
      <w:pPr>
        <w:ind w:left="2180"/>
        <w:spacing w:after="0"/>
        <w:tabs>
          <w:tab w:leader="none" w:pos="5800" w:val="left"/>
          <w:tab w:leader="none" w:pos="88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Beals</w:t>
            </w:r>
          </w:p>
        </w:tc>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5, 2022</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3860" w:type="dxa"/>
            <w:vAlign w:val="bottom"/>
            <w:vMerge w:val="continue"/>
          </w:tcPr>
          <w:p>
            <w:pPr>
              <w:spacing w:after="0"/>
              <w:rPr>
                <w:sz w:val="5"/>
                <w:szCs w:val="5"/>
                <w:color w:val="auto"/>
              </w:rPr>
            </w:pPr>
          </w:p>
        </w:tc>
        <w:tc>
          <w:tcPr>
            <w:tcW w:w="3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Beals</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 Arden Lee</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5, 2022</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Arden Lee</w:t>
            </w:r>
          </w:p>
        </w:tc>
        <w:tc>
          <w:tcPr>
            <w:tcW w:w="386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Officer)</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3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October 5, 2022</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3860" w:type="dxa"/>
            <w:vAlign w:val="bottom"/>
            <w:vMerge w:val="continue"/>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 Anthony Bay</w:t>
            </w:r>
          </w:p>
        </w:tc>
        <w:tc>
          <w:tcPr>
            <w:tcW w:w="3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October 5, 2022</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3860" w:type="dxa"/>
            <w:vAlign w:val="bottom"/>
            <w:vMerge w:val="continue"/>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October 5, 2022</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3860" w:type="dxa"/>
            <w:vAlign w:val="bottom"/>
            <w:vMerge w:val="continue"/>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October 5, 2022</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3860" w:type="dxa"/>
            <w:vAlign w:val="bottom"/>
            <w:vMerge w:val="continue"/>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3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October 5, 2022</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3860" w:type="dxa"/>
            <w:vAlign w:val="bottom"/>
            <w:vMerge w:val="continue"/>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II-5</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1517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1517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Scott Gordon</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1517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Justin Hartfield</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1517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Fiona Tan</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1517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Arden Lee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920"/>
        <w:spacing w:after="0"/>
        <w:tabs>
          <w:tab w:leader="none" w:pos="490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50800</wp:posOffset>
            </wp:positionV>
            <wp:extent cx="36944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42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October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2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October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2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October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280" w:val="left"/>
        </w:tabs>
        <w:rPr>
          <w:sz w:val="20"/>
          <w:szCs w:val="20"/>
          <w:color w:val="auto"/>
        </w:rPr>
      </w:pPr>
      <w:r>
        <w:rPr>
          <w:rFonts w:ascii="Times New Roman" w:cs="Times New Roman" w:eastAsia="Times New Roman" w:hAnsi="Times New Roman"/>
          <w:sz w:val="18"/>
          <w:szCs w:val="18"/>
          <w:color w:val="auto"/>
        </w:rPr>
        <w:t>Attorney-in-Fact</w:t>
      </w:r>
      <w:r>
        <w:rPr>
          <w:sz w:val="20"/>
          <w:szCs w:val="20"/>
          <w:color w:val="auto"/>
        </w:rPr>
        <w:tab/>
      </w:r>
      <w:r>
        <w:rPr>
          <w:rFonts w:ascii="Times New Roman" w:cs="Times New Roman" w:eastAsia="Times New Roman" w:hAnsi="Times New Roman"/>
          <w:sz w:val="17"/>
          <w:szCs w:val="17"/>
          <w:color w:val="auto"/>
        </w:rPr>
        <w:t>October 5, 2022</w:t>
      </w:r>
    </w:p>
    <w:p>
      <w:pPr>
        <w:spacing w:after="0" w:line="29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2">
            <w:col w:w="2180" w:space="720"/>
            <w:col w:w="6119"/>
          </w:cols>
          <w:pgMar w:left="1440" w:top="263"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We consent to the incorporation by reference in this Post-Effective Amendment No. 3 to Registration Statement Form S-1 on Form S-3 of WM Technology, Inc. of our report dated February 25, 2022, relating to the consolidated financial statements of WM Technology, Inc., appearing in the Annual Report on Form 10-K of WM Technology, Inc. for the year ended December 31,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also consent to the reference to our firm under the heading “Experts” in such Registration Statement.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Baker Tilly US,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Irvine,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41"/>
    </w:lvl>
  </w:abstractNum>
  <w:abstractNum w:abstractNumId="1">
    <w:nsid w:val="6B68079A"/>
    <w:multiLevelType w:val="hybridMultilevel"/>
    <w:lvl w:ilvl="0">
      <w:lvlJc w:val="left"/>
      <w:lvlText w:val="%1"/>
      <w:numFmt w:val="decimal"/>
      <w:start w:val="4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Roman"/>
      <w:start w:val="2"/>
    </w:lvl>
  </w:abstractNum>
  <w:abstractNum w:abstractNumId="4">
    <w:nsid w:val="519B500D"/>
    <w:multiLevelType w:val="hybridMultilevel"/>
    <w:lvl w:ilvl="0">
      <w:lvlJc w:val="left"/>
      <w:lvlText w:val="(%1)"/>
      <w:numFmt w:val="lowerRoman"/>
      <w:start w:val="3"/>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24"/>
    </w:lvl>
  </w:abstractNum>
  <w:abstractNum w:abstractNumId="8">
    <w:nsid w:val="257130A3"/>
    <w:multiLevelType w:val="hybridMultilevel"/>
    <w:lvl w:ilvl="0">
      <w:lvlJc w:val="left"/>
      <w:lvlText w:val="(%1)"/>
      <w:numFmt w:val="decimal"/>
      <w:start w:val="44"/>
    </w:lvl>
  </w:abstractNum>
  <w:abstractNum w:abstractNumId="9">
    <w:nsid w:val="62BBD95A"/>
    <w:multiLevelType w:val="hybridMultilevel"/>
    <w:lvl w:ilvl="0">
      <w:lvlJc w:val="left"/>
      <w:lvlText w:val="(%1)"/>
      <w:numFmt w:val="lowerRoman"/>
      <w:start w:val="10"/>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2"/>
    </w:lvl>
  </w:abstractNum>
  <w:abstractNum w:abstractNumId="17">
    <w:nsid w:val="75A2A8D4"/>
    <w:multiLevelType w:val="hybridMultilevel"/>
    <w:lvl w:ilvl="0">
      <w:lvlJc w:val="left"/>
      <w:lvlText w:val="(%1)"/>
      <w:numFmt w:val="lowerRoman"/>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4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2CA88611"/>
    <w:multiLevelType w:val="hybridMultilevel"/>
    <w:lvl w:ilvl="0">
      <w:lvlJc w:val="left"/>
      <w:lvlText w:val="%1"/>
      <w:numFmt w:val="decimal"/>
      <w:start w:val="1"/>
    </w:lvl>
    <w:lvl w:ilvl="1">
      <w:lvlJc w:val="left"/>
      <w:lvlText w:val="(%2)"/>
      <w:numFmt w:val="lowerRoman"/>
      <w:start w:val="3"/>
    </w:lvl>
  </w:abstractNum>
  <w:abstractNum w:abstractNumId="26">
    <w:nsid w:val="836C40E"/>
    <w:multiLevelType w:val="hybridMultilevel"/>
    <w:lvl w:ilvl="0">
      <w:lvlJc w:val="left"/>
      <w:lvlText w:val="(%1)"/>
      <w:numFmt w:val="decimal"/>
      <w:start w:val="2"/>
    </w:lvl>
    <w:lvl w:ilvl="1">
      <w:lvlJc w:val="left"/>
      <w:lvlText w:val="(%2)"/>
      <w:numFmt w:val="lowerRoman"/>
      <w:start w:val="1"/>
    </w:lvl>
  </w:abstractNum>
  <w:abstractNum w:abstractNumId="27">
    <w:nsid w:val="2901D8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28">
    <w:nsid w:val="3A95F874"/>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9">
    <w:nsid w:val="813864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2" Type="http://schemas.openxmlformats.org/officeDocument/2006/relationships/image" Target="media/image97.png"/><Relationship Id="rId115" Type="http://schemas.openxmlformats.org/officeDocument/2006/relationships/image" Target="media/image98.png"/><Relationship Id="rId118" Type="http://schemas.openxmlformats.org/officeDocument/2006/relationships/image" Target="media/image99.png"/><Relationship Id="rId120"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00" Type="http://schemas.openxmlformats.org/officeDocument/2006/relationships/hyperlink" Target="https://www.sec.gov/ix?doc=/Archives/edgar/data/1779474/000177947422000010/maps-20211231.htm" TargetMode="External"/><Relationship Id="rId101" Type="http://schemas.openxmlformats.org/officeDocument/2006/relationships/hyperlink" Target="https://www.sec.gov/Archives/edgar/data/1779474/000114036122016940/edge20003709x2_def14a.htm" TargetMode="External"/><Relationship Id="rId102" Type="http://schemas.openxmlformats.org/officeDocument/2006/relationships/hyperlink" Target="https://www.sec.gov/ix?doc=/Archives/edgar/data/1779474/000177947422000022/maps-20220331.htm" TargetMode="External"/><Relationship Id="rId103" Type="http://schemas.openxmlformats.org/officeDocument/2006/relationships/hyperlink" Target="https://www.sec.gov/ix?doc=/Archives/edgar/data/1779474/000177947422000058/maps-20220630.htm" TargetMode="External"/><Relationship Id="rId104" Type="http://schemas.openxmlformats.org/officeDocument/2006/relationships/hyperlink" Target="https://www.sec.gov/Archives/edgar/data/1779474/000177947422000056/wmtechnologyincformearning.htm" TargetMode="External"/><Relationship Id="rId105" Type="http://schemas.openxmlformats.org/officeDocument/2006/relationships/hyperlink" Target="https://www.sec.gov/Archives/edgar/data/1779474/000177947422000010/exhibit45descriptionofsecu.htm" TargetMode="External"/><Relationship Id="rId110" Type="http://schemas.openxmlformats.org/officeDocument/2006/relationships/hyperlink" Target="https://www.sec.gov/Archives/edgar/data/1779474/000095010320024045/dp142700_ex0201.htm" TargetMode="External"/><Relationship Id="rId111" Type="http://schemas.openxmlformats.org/officeDocument/2006/relationships/hyperlink" Target="https://www.sec.gov/Archives/edgar/data/1779474/000114036121021785/brhc10025756_ex3-1.htm" TargetMode="External"/><Relationship Id="rId113" Type="http://schemas.openxmlformats.org/officeDocument/2006/relationships/hyperlink" Target="https://www.sec.gov/Archives/edgar/data/1779474/000114036121021785/brhc10025756_ex3-2.htm" TargetMode="External"/><Relationship Id="rId114" Type="http://schemas.openxmlformats.org/officeDocument/2006/relationships/hyperlink" Target="https://www.sec.gov/Archives/edgar/data/1779474/000114036121021785/brhc10025756_ex4-1.htm" TargetMode="External"/><Relationship Id="rId116" Type="http://schemas.openxmlformats.org/officeDocument/2006/relationships/hyperlink" Target="https://www.sec.gov/Archives/edgar/data/1779474/000114036121021785/brhc10025756_ex4-2.htm" TargetMode="External"/><Relationship Id="rId117" Type="http://schemas.openxmlformats.org/officeDocument/2006/relationships/hyperlink" Target="https://www.sec.gov/Archives/edgar/data/1779474/000095010319010751/dp111173_ex0401.htm" TargetMode="External"/><Relationship Id="rId119" Type="http://schemas.openxmlformats.org/officeDocument/2006/relationships/hyperlink" Target="https://www.sec.gov/Archives/edgar/data/1779474/000114036121040114/brhc10031383_ex5-1.htm" TargetMode="External"/><Relationship Id="rId121" Type="http://schemas.openxmlformats.org/officeDocument/2006/relationships/hyperlink" Target="https://www.sec.gov/Archives/edgar/data/1779474/000095010320024045/dp142700_ex1001.htm" TargetMode="External"/><Relationship Id="rId122" Type="http://schemas.openxmlformats.org/officeDocument/2006/relationships/hyperlink" Target="https://www.sec.gov/Archives/edgar/data/1779474/000114036121021785/brhc10025756_ex10-5.htm" TargetMode="External"/><Relationship Id="rId125" Type="http://schemas.openxmlformats.org/officeDocument/2006/relationships/hyperlink" Target="https://www.sec.gov/Archives/edgar/data/1779474/000114036121023775/nt10026588x1_s1.htm#tP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2022-10-05T05:19:41Z</dcterms:created>
  <dcterms:modified xsi:type="dcterms:W3CDTF">2022-10-05T05:19:41Z</dcterms:modified>
</cp:coreProperties>
</file>