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color w:val="auto"/>
        </w:rPr>
        <w:t>SECURITIES AND EXCHANGE COMMISSION</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2113915</wp:posOffset>
            </wp:positionH>
            <wp:positionV relativeFrom="paragraph">
              <wp:posOffset>8890</wp:posOffset>
            </wp:positionV>
            <wp:extent cx="28886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SCHEDULE 13G/A</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Under the Securities Exchange Act of 1934</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(Amendment No. 1)*</w:t>
      </w:r>
    </w:p>
    <w:p>
      <w:pPr>
        <w:spacing w:after="0" w:line="213" w:lineRule="exact"/>
        <w:rPr>
          <w:sz w:val="24"/>
          <w:szCs w:val="24"/>
          <w:color w:val="auto"/>
        </w:rPr>
      </w:pPr>
    </w:p>
    <w:p>
      <w:pPr>
        <w:jc w:val="center"/>
        <w:ind w:right="-139"/>
        <w:spacing w:after="0"/>
        <w:rPr>
          <w:sz w:val="20"/>
          <w:szCs w:val="20"/>
          <w:color w:val="auto"/>
        </w:rPr>
      </w:pPr>
      <w:r>
        <w:rPr>
          <w:rFonts w:ascii="Arial" w:cs="Arial" w:eastAsia="Arial" w:hAnsi="Arial"/>
          <w:sz w:val="20"/>
          <w:szCs w:val="20"/>
          <w:color w:val="auto"/>
        </w:rPr>
        <w:t>WM Technology, Inc.</w:t>
      </w:r>
    </w:p>
    <w:p>
      <w:pPr>
        <w:spacing w:after="0" w:line="16" w:lineRule="exact"/>
        <w:rPr>
          <w:sz w:val="24"/>
          <w:szCs w:val="24"/>
          <w:color w:val="auto"/>
        </w:rPr>
      </w:pPr>
    </w:p>
    <w:p>
      <w:pPr>
        <w:jc w:val="center"/>
        <w:ind w:right="-139"/>
        <w:spacing w:after="0"/>
        <w:rPr>
          <w:sz w:val="20"/>
          <w:szCs w:val="20"/>
          <w:color w:val="auto"/>
        </w:rPr>
      </w:pPr>
      <w:r>
        <w:rPr>
          <w:rFonts w:ascii="Arial" w:cs="Arial" w:eastAsia="Arial" w:hAnsi="Arial"/>
          <w:sz w:val="20"/>
          <w:szCs w:val="20"/>
          <w:color w:val="auto"/>
        </w:rPr>
        <w:t>(formerly known as Silver Spike Acquisition Corp.)</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502285</wp:posOffset>
            </wp:positionH>
            <wp:positionV relativeFrom="paragraph">
              <wp:posOffset>-143510</wp:posOffset>
            </wp:positionV>
            <wp:extent cx="62318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31890" cy="8255"/>
                    </a:xfrm>
                    <a:prstGeom prst="rect">
                      <a:avLst/>
                    </a:prstGeom>
                    <a:noFill/>
                  </pic:spPr>
                </pic:pic>
              </a:graphicData>
            </a:graphic>
          </wp:anchor>
        </w:drawing>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Class A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0"/>
          <w:szCs w:val="20"/>
          <w:color w:val="auto"/>
        </w:rPr>
        <w:t>(Title of Class of Securities)</w:t>
      </w:r>
    </w:p>
    <w:p>
      <w:pPr>
        <w:spacing w:after="0" w:line="2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92971A109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0"/>
          <w:szCs w:val="20"/>
          <w:color w:val="auto"/>
        </w:rPr>
        <w:t>(CUSIP Number)</w:t>
      </w:r>
    </w:p>
    <w:p>
      <w:pPr>
        <w:spacing w:after="0" w:line="2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10160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0"/>
          <w:szCs w:val="20"/>
          <w:color w:val="auto"/>
        </w:rPr>
        <w:t>(Date of Event Which Requires Filing of this Statement)</w:t>
      </w:r>
    </w:p>
    <w:p>
      <w:pPr>
        <w:spacing w:after="0" w:line="200" w:lineRule="exact"/>
        <w:rPr>
          <w:sz w:val="24"/>
          <w:szCs w:val="24"/>
          <w:color w:val="auto"/>
        </w:rPr>
      </w:pPr>
    </w:p>
    <w:p>
      <w:pPr>
        <w:spacing w:after="0" w:line="251" w:lineRule="exact"/>
        <w:rPr>
          <w:sz w:val="24"/>
          <w:szCs w:val="24"/>
          <w:color w:val="auto"/>
        </w:rPr>
      </w:pPr>
    </w:p>
    <w:p>
      <w:pPr>
        <w:ind w:left="120"/>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29" w:lineRule="exact"/>
        <w:rPr>
          <w:sz w:val="24"/>
          <w:szCs w:val="24"/>
          <w:color w:val="auto"/>
        </w:rPr>
      </w:pPr>
    </w:p>
    <w:p>
      <w:pPr>
        <w:jc w:val="both"/>
        <w:ind w:left="720" w:right="9100" w:hanging="86"/>
        <w:spacing w:after="0" w:line="283" w:lineRule="auto"/>
        <w:tabs>
          <w:tab w:leader="none" w:pos="102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 ý Rule 13d-1(c)</w:t>
      </w:r>
    </w:p>
    <w:p>
      <w:pPr>
        <w:ind w:left="1020" w:hanging="386"/>
        <w:spacing w:after="0"/>
        <w:tabs>
          <w:tab w:leader="none" w:pos="102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Rule 13d-1(d)</w:t>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(Page 1 of 7 Pages)</w:t>
      </w:r>
    </w:p>
    <w:p>
      <w:pPr>
        <w:spacing w:after="0" w:line="92" w:lineRule="exact"/>
        <w:rPr>
          <w:sz w:val="24"/>
          <w:szCs w:val="24"/>
          <w:color w:val="auto"/>
        </w:rPr>
      </w:pPr>
    </w:p>
    <w:p>
      <w:pPr>
        <w:spacing w:after="0"/>
        <w:rPr>
          <w:sz w:val="20"/>
          <w:szCs w:val="20"/>
          <w:color w:val="auto"/>
        </w:rPr>
      </w:pPr>
      <w:r>
        <w:rPr>
          <w:rFonts w:ascii="Arial" w:cs="Arial" w:eastAsia="Arial" w:hAnsi="Arial"/>
          <w:sz w:val="14"/>
          <w:szCs w:val="14"/>
          <w:color w:val="auto"/>
        </w:rPr>
        <w:t>______________________________</w:t>
      </w:r>
    </w:p>
    <w:p>
      <w:pPr>
        <w:spacing w:after="0" w:line="5" w:lineRule="exact"/>
        <w:rPr>
          <w:sz w:val="24"/>
          <w:szCs w:val="24"/>
          <w:color w:val="auto"/>
        </w:rPr>
      </w:pPr>
    </w:p>
    <w:p>
      <w:pPr>
        <w:jc w:val="both"/>
        <w:ind w:firstLine="648"/>
        <w:spacing w:after="0" w:line="241" w:lineRule="auto"/>
        <w:rPr>
          <w:sz w:val="20"/>
          <w:szCs w:val="20"/>
          <w:color w:val="auto"/>
        </w:rPr>
      </w:pPr>
      <w:r>
        <w:rPr>
          <w:rFonts w:ascii="Arial" w:cs="Arial" w:eastAsia="Arial" w:hAnsi="Arial"/>
          <w:sz w:val="20"/>
          <w:szCs w:val="20"/>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55" w:lineRule="exact"/>
        <w:rPr>
          <w:sz w:val="24"/>
          <w:szCs w:val="24"/>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w:t>
      </w:r>
      <w:r>
        <w:rPr>
          <w:rFonts w:ascii="Arial" w:cs="Arial" w:eastAsia="Arial" w:hAnsi="Arial"/>
          <w:sz w:val="20"/>
          <w:szCs w:val="20"/>
          <w:u w:val="single" w:color="auto"/>
          <w:color w:val="auto"/>
        </w:rPr>
        <w:t>Act</w:t>
      </w:r>
      <w:r>
        <w:rPr>
          <w:rFonts w:ascii="Arial" w:cs="Arial" w:eastAsia="Arial" w:hAnsi="Arial"/>
          <w:sz w:val="20"/>
          <w:szCs w:val="20"/>
          <w:color w:val="auto"/>
        </w:rPr>
        <w:t>") or otherwise subject to the liabilities of that section of the Act but shall be subject to all other provisions of the Act (however, see the Notes).</w:t>
      </w:r>
    </w:p>
    <w:p>
      <w:pPr>
        <w:sectPr>
          <w:pgSz w:w="11900" w:h="16838" w:orient="portrait"/>
          <w:cols w:equalWidth="0" w:num="1">
            <w:col w:w="11240"/>
          </w:cols>
          <w:pgMar w:left="320" w:top="460" w:right="339" w:bottom="1440" w:gutter="0" w:footer="0" w:header="0"/>
        </w:sectPr>
      </w:pPr>
    </w:p>
    <w:bookmarkStart w:id="1" w:name="page2"/>
    <w:bookmarkEnd w:id="1"/>
    <w:p>
      <w:pPr>
        <w:spacing w:after="0"/>
        <w:tabs>
          <w:tab w:leader="none" w:pos="5360" w:val="left"/>
          <w:tab w:leader="none" w:pos="9900" w:val="left"/>
        </w:tabs>
        <w:rPr>
          <w:sz w:val="20"/>
          <w:szCs w:val="20"/>
          <w:color w:val="auto"/>
        </w:rPr>
      </w:pPr>
      <w:r>
        <w:rPr>
          <w:rFonts w:ascii="Arial" w:cs="Arial" w:eastAsia="Arial" w:hAnsi="Arial"/>
          <w:sz w:val="18"/>
          <w:szCs w:val="18"/>
          <w:b w:val="1"/>
          <w:bCs w:val="1"/>
          <w:color w:val="auto"/>
        </w:rPr>
        <w:t>CUSIP No. 92971A109</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2 of 7 Pages</w:t>
      </w:r>
    </w:p>
    <w:p>
      <w:pPr>
        <w:ind w:left="1700" w:hanging="967"/>
        <w:spacing w:after="0" w:line="226" w:lineRule="auto"/>
        <w:tabs>
          <w:tab w:leader="none" w:pos="1700" w:val="left"/>
        </w:tabs>
        <w:numPr>
          <w:ilvl w:val="0"/>
          <w:numId w:val="2"/>
        </w:numPr>
        <w:rPr>
          <w:rFonts w:ascii="Arial" w:cs="Arial" w:eastAsia="Arial" w:hAnsi="Arial"/>
          <w:sz w:val="58"/>
          <w:szCs w:val="58"/>
          <w:b w:val="1"/>
          <w:bCs w:val="1"/>
          <w:color w:val="auto"/>
          <w:vertAlign w:val="subscript"/>
        </w:rPr>
      </w:pPr>
      <w:r>
        <w:rPr>
          <w:rFonts w:ascii="Arial" w:cs="Arial" w:eastAsia="Arial" w:hAnsi="Arial"/>
          <w:sz w:val="16"/>
          <w:szCs w:val="16"/>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5288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5288915"/>
                    </a:xfrm>
                    <a:prstGeom prst="rect">
                      <a:avLst/>
                    </a:prstGeom>
                    <a:noFill/>
                  </pic:spPr>
                </pic:pic>
              </a:graphicData>
            </a:graphic>
          </wp:anchor>
        </w:drawing>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300" w:type="dxa"/>
            <w:vAlign w:val="bottom"/>
          </w:tcPr>
          <w:p>
            <w:pPr>
              <w:spacing w:after="0"/>
              <w:rPr>
                <w:sz w:val="21"/>
                <w:szCs w:val="21"/>
                <w:color w:val="auto"/>
              </w:rPr>
            </w:pPr>
          </w:p>
        </w:tc>
        <w:tc>
          <w:tcPr>
            <w:tcW w:w="6900" w:type="dxa"/>
            <w:vAlign w:val="bottom"/>
          </w:tcPr>
          <w:p>
            <w:pPr>
              <w:ind w:left="740"/>
              <w:spacing w:after="0"/>
              <w:rPr>
                <w:sz w:val="20"/>
                <w:szCs w:val="20"/>
                <w:color w:val="auto"/>
              </w:rPr>
            </w:pPr>
            <w:r>
              <w:rPr>
                <w:rFonts w:ascii="Arial" w:cs="Arial" w:eastAsia="Arial" w:hAnsi="Arial"/>
                <w:sz w:val="20"/>
                <w:szCs w:val="20"/>
                <w:color w:val="auto"/>
              </w:rPr>
              <w:t>Senvest Management, LLC</w:t>
            </w:r>
          </w:p>
        </w:tc>
        <w:tc>
          <w:tcPr>
            <w:tcW w:w="3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300" w:type="dxa"/>
            <w:vAlign w:val="bottom"/>
            <w:tcBorders>
              <w:bottom w:val="single" w:sz="8" w:color="auto"/>
            </w:tcBorders>
          </w:tcPr>
          <w:p>
            <w:pPr>
              <w:spacing w:after="0"/>
              <w:rPr>
                <w:sz w:val="9"/>
                <w:szCs w:val="9"/>
                <w:color w:val="auto"/>
              </w:rPr>
            </w:pPr>
          </w:p>
        </w:tc>
        <w:tc>
          <w:tcPr>
            <w:tcW w:w="6900" w:type="dxa"/>
            <w:vAlign w:val="bottom"/>
            <w:tcBorders>
              <w:bottom w:val="single" w:sz="8" w:color="auto"/>
            </w:tcBorders>
          </w:tcPr>
          <w:p>
            <w:pPr>
              <w:spacing w:after="0"/>
              <w:rPr>
                <w:sz w:val="9"/>
                <w:szCs w:val="9"/>
                <w:color w:val="auto"/>
              </w:rPr>
            </w:pPr>
          </w:p>
        </w:tc>
        <w:tc>
          <w:tcPr>
            <w:tcW w:w="3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300" w:type="dxa"/>
            <w:vAlign w:val="bottom"/>
            <w:vMerge w:val="restart"/>
          </w:tcPr>
          <w:p>
            <w:pPr>
              <w:jc w:val="right"/>
              <w:ind w:right="276"/>
              <w:spacing w:after="0"/>
              <w:rPr>
                <w:sz w:val="20"/>
                <w:szCs w:val="20"/>
                <w:color w:val="auto"/>
              </w:rPr>
            </w:pPr>
            <w:r>
              <w:rPr>
                <w:rFonts w:ascii="Arial" w:cs="Arial" w:eastAsia="Arial" w:hAnsi="Arial"/>
                <w:sz w:val="29"/>
                <w:szCs w:val="29"/>
                <w:b w:val="1"/>
                <w:bCs w:val="1"/>
                <w:color w:val="auto"/>
              </w:rPr>
              <w:t>2</w:t>
            </w:r>
          </w:p>
        </w:tc>
        <w:tc>
          <w:tcPr>
            <w:tcW w:w="6900" w:type="dxa"/>
            <w:vAlign w:val="bottom"/>
          </w:tcPr>
          <w:p>
            <w:pPr>
              <w:ind w:left="400"/>
              <w:spacing w:after="0"/>
              <w:rPr>
                <w:sz w:val="20"/>
                <w:szCs w:val="20"/>
                <w:color w:val="auto"/>
              </w:rPr>
            </w:pPr>
            <w:r>
              <w:rPr>
                <w:rFonts w:ascii="Arial" w:cs="Arial" w:eastAsia="Arial" w:hAnsi="Arial"/>
                <w:sz w:val="16"/>
                <w:szCs w:val="16"/>
                <w:color w:val="auto"/>
              </w:rPr>
              <w:t>CHECK THE APPROPRIATE BOX IF A MEMBER OF A GROUP</w:t>
            </w:r>
          </w:p>
        </w:tc>
        <w:tc>
          <w:tcPr>
            <w:tcW w:w="3040" w:type="dxa"/>
            <w:vAlign w:val="bottom"/>
            <w:vMerge w:val="restart"/>
          </w:tcPr>
          <w:p>
            <w:pPr>
              <w:ind w:left="2020"/>
              <w:spacing w:after="0" w:line="322"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89"/>
        </w:trPr>
        <w:tc>
          <w:tcPr>
            <w:tcW w:w="1300" w:type="dxa"/>
            <w:vAlign w:val="bottom"/>
            <w:vMerge w:val="continue"/>
          </w:tcPr>
          <w:p>
            <w:pPr>
              <w:spacing w:after="0"/>
              <w:rPr>
                <w:sz w:val="7"/>
                <w:szCs w:val="7"/>
                <w:color w:val="auto"/>
              </w:rPr>
            </w:pPr>
          </w:p>
        </w:tc>
        <w:tc>
          <w:tcPr>
            <w:tcW w:w="6900" w:type="dxa"/>
            <w:vAlign w:val="bottom"/>
          </w:tcPr>
          <w:p>
            <w:pPr>
              <w:spacing w:after="0"/>
              <w:rPr>
                <w:sz w:val="7"/>
                <w:szCs w:val="7"/>
                <w:color w:val="auto"/>
              </w:rPr>
            </w:pPr>
          </w:p>
        </w:tc>
        <w:tc>
          <w:tcPr>
            <w:tcW w:w="3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130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3040" w:type="dxa"/>
            <w:vAlign w:val="bottom"/>
          </w:tcPr>
          <w:p>
            <w:pPr>
              <w:ind w:left="2020"/>
              <w:spacing w:after="0" w:line="322"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ind w:left="1700" w:hanging="967"/>
        <w:spacing w:after="0" w:line="189" w:lineRule="auto"/>
        <w:tabs>
          <w:tab w:leader="none" w:pos="1700" w:val="left"/>
        </w:tabs>
        <w:numPr>
          <w:ilvl w:val="0"/>
          <w:numId w:val="3"/>
        </w:numPr>
        <w:rPr>
          <w:rFonts w:ascii="Arial" w:cs="Arial" w:eastAsia="Arial" w:hAnsi="Arial"/>
          <w:sz w:val="25"/>
          <w:szCs w:val="25"/>
          <w:b w:val="1"/>
          <w:bCs w:val="1"/>
          <w:color w:val="auto"/>
          <w:vertAlign w:val="subscript"/>
        </w:rPr>
      </w:pPr>
      <w:r>
        <w:rPr>
          <w:rFonts w:ascii="Arial" w:cs="Arial" w:eastAsia="Arial" w:hAnsi="Arial"/>
          <w:sz w:val="13"/>
          <w:szCs w:val="13"/>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8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7620" w:type="dxa"/>
            <w:vAlign w:val="bottom"/>
            <w:gridSpan w:val="2"/>
          </w:tcPr>
          <w:p>
            <w:pPr>
              <w:ind w:left="120"/>
              <w:spacing w:after="0"/>
              <w:rPr>
                <w:sz w:val="20"/>
                <w:szCs w:val="20"/>
                <w:color w:val="auto"/>
              </w:rPr>
            </w:pPr>
            <w:r>
              <w:rPr>
                <w:rFonts w:ascii="Arial" w:cs="Arial" w:eastAsia="Arial" w:hAnsi="Arial"/>
                <w:sz w:val="16"/>
                <w:szCs w:val="16"/>
                <w:color w:val="auto"/>
              </w:rPr>
              <w:t>CITIZENSHIP OR PLACE OF ORGANIZATION</w:t>
            </w: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580" w:type="dxa"/>
            <w:vAlign w:val="bottom"/>
            <w:vMerge w:val="continue"/>
          </w:tcPr>
          <w:p>
            <w:pPr>
              <w:spacing w:after="0"/>
              <w:rPr>
                <w:sz w:val="14"/>
                <w:szCs w:val="14"/>
                <w:color w:val="auto"/>
              </w:rPr>
            </w:pPr>
          </w:p>
        </w:tc>
        <w:tc>
          <w:tcPr>
            <w:tcW w:w="1260" w:type="dxa"/>
            <w:vAlign w:val="bottom"/>
            <w:vMerge w:val="restart"/>
          </w:tcPr>
          <w:p>
            <w:pPr>
              <w:ind w:left="460"/>
              <w:spacing w:after="0"/>
              <w:rPr>
                <w:sz w:val="20"/>
                <w:szCs w:val="20"/>
                <w:color w:val="auto"/>
              </w:rPr>
            </w:pPr>
            <w:r>
              <w:rPr>
                <w:rFonts w:ascii="Arial" w:cs="Arial" w:eastAsia="Arial" w:hAnsi="Arial"/>
                <w:sz w:val="20"/>
                <w:szCs w:val="20"/>
                <w:color w:val="auto"/>
                <w:w w:val="89"/>
              </w:rPr>
              <w:t>Delaware</w:t>
            </w:r>
          </w:p>
        </w:tc>
        <w:tc>
          <w:tcPr>
            <w:tcW w:w="63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636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58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636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580" w:type="dxa"/>
            <w:vAlign w:val="bottom"/>
          </w:tcPr>
          <w:p>
            <w:pPr>
              <w:spacing w:after="0"/>
              <w:rPr>
                <w:sz w:val="20"/>
                <w:szCs w:val="20"/>
                <w:color w:val="auto"/>
              </w:rPr>
            </w:pPr>
          </w:p>
        </w:tc>
        <w:tc>
          <w:tcPr>
            <w:tcW w:w="1260" w:type="dxa"/>
            <w:vAlign w:val="bottom"/>
            <w:tcBorders>
              <w:right w:val="single" w:sz="8" w:color="auto"/>
            </w:tcBorders>
            <w:vMerge w:val="restart"/>
          </w:tcPr>
          <w:p>
            <w:pPr>
              <w:ind w:left="560"/>
              <w:spacing w:after="0"/>
              <w:rPr>
                <w:sz w:val="20"/>
                <w:szCs w:val="20"/>
                <w:color w:val="auto"/>
              </w:rPr>
            </w:pPr>
            <w:r>
              <w:rPr>
                <w:rFonts w:ascii="Arial" w:cs="Arial" w:eastAsia="Arial" w:hAnsi="Arial"/>
                <w:sz w:val="29"/>
                <w:szCs w:val="29"/>
                <w:b w:val="1"/>
                <w:bCs w:val="1"/>
                <w:color w:val="auto"/>
              </w:rPr>
              <w:t>5</w:t>
            </w:r>
          </w:p>
        </w:tc>
        <w:tc>
          <w:tcPr>
            <w:tcW w:w="6360" w:type="dxa"/>
            <w:vAlign w:val="bottom"/>
          </w:tcPr>
          <w:p>
            <w:pPr>
              <w:ind w:left="120"/>
              <w:spacing w:after="0"/>
              <w:rPr>
                <w:sz w:val="20"/>
                <w:szCs w:val="20"/>
                <w:color w:val="auto"/>
              </w:rPr>
            </w:pPr>
            <w:r>
              <w:rPr>
                <w:rFonts w:ascii="Arial" w:cs="Arial" w:eastAsia="Arial" w:hAnsi="Arial"/>
                <w:sz w:val="16"/>
                <w:szCs w:val="16"/>
                <w:color w:val="auto"/>
              </w:rPr>
              <w:t>SOLE VOTING POWER</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580" w:type="dxa"/>
            <w:vAlign w:val="bottom"/>
          </w:tcPr>
          <w:p>
            <w:pPr>
              <w:spacing w:after="0"/>
              <w:rPr>
                <w:sz w:val="14"/>
                <w:szCs w:val="14"/>
                <w:color w:val="auto"/>
              </w:rPr>
            </w:pPr>
          </w:p>
        </w:tc>
        <w:tc>
          <w:tcPr>
            <w:tcW w:w="1260" w:type="dxa"/>
            <w:vAlign w:val="bottom"/>
            <w:tcBorders>
              <w:right w:val="single" w:sz="8" w:color="auto"/>
            </w:tcBorders>
            <w:vMerge w:val="continue"/>
          </w:tcPr>
          <w:p>
            <w:pPr>
              <w:spacing w:after="0"/>
              <w:rPr>
                <w:sz w:val="14"/>
                <w:szCs w:val="14"/>
                <w:color w:val="auto"/>
              </w:rPr>
            </w:pPr>
          </w:p>
        </w:tc>
        <w:tc>
          <w:tcPr>
            <w:tcW w:w="6360" w:type="dxa"/>
            <w:vAlign w:val="bottom"/>
            <w:vMerge w:val="restart"/>
          </w:tcPr>
          <w:p>
            <w:pPr>
              <w:ind w:left="440"/>
              <w:spacing w:after="0"/>
              <w:rPr>
                <w:sz w:val="20"/>
                <w:szCs w:val="20"/>
                <w:color w:val="auto"/>
              </w:rPr>
            </w:pPr>
            <w:r>
              <w:rPr>
                <w:rFonts w:ascii="Arial" w:cs="Arial" w:eastAsia="Arial" w:hAnsi="Arial"/>
                <w:sz w:val="20"/>
                <w:szCs w:val="20"/>
                <w:color w:val="auto"/>
              </w:rPr>
              <w:t>0</w:t>
            </w: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tcBorders>
              <w:right w:val="single" w:sz="8" w:color="auto"/>
            </w:tcBorders>
          </w:tcPr>
          <w:p>
            <w:pPr>
              <w:spacing w:after="0"/>
              <w:rPr>
                <w:sz w:val="6"/>
                <w:szCs w:val="6"/>
                <w:color w:val="auto"/>
              </w:rPr>
            </w:pPr>
          </w:p>
        </w:tc>
        <w:tc>
          <w:tcPr>
            <w:tcW w:w="636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580" w:type="dxa"/>
            <w:vAlign w:val="bottom"/>
          </w:tcPr>
          <w:p>
            <w:pPr>
              <w:spacing w:after="0"/>
              <w:rPr>
                <w:sz w:val="9"/>
                <w:szCs w:val="9"/>
                <w:color w:val="auto"/>
              </w:rPr>
            </w:pPr>
          </w:p>
        </w:tc>
        <w:tc>
          <w:tcPr>
            <w:tcW w:w="1260" w:type="dxa"/>
            <w:vAlign w:val="bottom"/>
            <w:tcBorders>
              <w:bottom w:val="single" w:sz="8" w:color="auto"/>
              <w:right w:val="single" w:sz="8" w:color="auto"/>
            </w:tcBorders>
          </w:tcPr>
          <w:p>
            <w:pPr>
              <w:spacing w:after="0"/>
              <w:rPr>
                <w:sz w:val="9"/>
                <w:szCs w:val="9"/>
                <w:color w:val="auto"/>
              </w:rPr>
            </w:pPr>
          </w:p>
        </w:tc>
        <w:tc>
          <w:tcPr>
            <w:tcW w:w="636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58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260" w:type="dxa"/>
            <w:vAlign w:val="bottom"/>
            <w:tcBorders>
              <w:right w:val="single" w:sz="8" w:color="auto"/>
            </w:tcBorders>
            <w:vMerge w:val="restart"/>
          </w:tcPr>
          <w:p>
            <w:pPr>
              <w:ind w:left="560"/>
              <w:spacing w:after="0"/>
              <w:rPr>
                <w:sz w:val="20"/>
                <w:szCs w:val="20"/>
                <w:color w:val="auto"/>
              </w:rPr>
            </w:pPr>
            <w:r>
              <w:rPr>
                <w:rFonts w:ascii="Arial" w:cs="Arial" w:eastAsia="Arial" w:hAnsi="Arial"/>
                <w:sz w:val="29"/>
                <w:szCs w:val="29"/>
                <w:b w:val="1"/>
                <w:bCs w:val="1"/>
                <w:color w:val="auto"/>
              </w:rPr>
              <w:t>6</w:t>
            </w:r>
          </w:p>
        </w:tc>
        <w:tc>
          <w:tcPr>
            <w:tcW w:w="6360" w:type="dxa"/>
            <w:vAlign w:val="bottom"/>
          </w:tcPr>
          <w:p>
            <w:pPr>
              <w:ind w:left="120"/>
              <w:spacing w:after="0"/>
              <w:rPr>
                <w:sz w:val="20"/>
                <w:szCs w:val="20"/>
                <w:color w:val="auto"/>
              </w:rPr>
            </w:pPr>
            <w:r>
              <w:rPr>
                <w:rFonts w:ascii="Arial" w:cs="Arial" w:eastAsia="Arial" w:hAnsi="Arial"/>
                <w:sz w:val="16"/>
                <w:szCs w:val="16"/>
                <w:color w:val="auto"/>
              </w:rPr>
              <w:t>SHARED VOTING POWER</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1580" w:type="dxa"/>
            <w:vAlign w:val="bottom"/>
            <w:vMerge w:val="continue"/>
          </w:tcPr>
          <w:p>
            <w:pPr>
              <w:spacing w:after="0"/>
              <w:rPr>
                <w:sz w:val="8"/>
                <w:szCs w:val="8"/>
                <w:color w:val="auto"/>
              </w:rPr>
            </w:pPr>
          </w:p>
        </w:tc>
        <w:tc>
          <w:tcPr>
            <w:tcW w:w="1260" w:type="dxa"/>
            <w:vAlign w:val="bottom"/>
            <w:tcBorders>
              <w:right w:val="single" w:sz="8" w:color="auto"/>
            </w:tcBorders>
            <w:vMerge w:val="continue"/>
          </w:tcPr>
          <w:p>
            <w:pPr>
              <w:spacing w:after="0"/>
              <w:rPr>
                <w:sz w:val="8"/>
                <w:szCs w:val="8"/>
                <w:color w:val="auto"/>
              </w:rPr>
            </w:pPr>
          </w:p>
        </w:tc>
        <w:tc>
          <w:tcPr>
            <w:tcW w:w="8400" w:type="dxa"/>
            <w:vAlign w:val="bottom"/>
            <w:gridSpan w:val="2"/>
            <w:vMerge w:val="restart"/>
          </w:tcPr>
          <w:p>
            <w:pPr>
              <w:ind w:left="440"/>
              <w:spacing w:after="0"/>
              <w:rPr>
                <w:sz w:val="20"/>
                <w:szCs w:val="20"/>
                <w:color w:val="auto"/>
              </w:rPr>
            </w:pPr>
            <w:r>
              <w:rPr>
                <w:rFonts w:ascii="Arial" w:cs="Arial" w:eastAsia="Arial" w:hAnsi="Arial"/>
                <w:sz w:val="20"/>
                <w:szCs w:val="20"/>
                <w:color w:val="auto"/>
                <w:w w:val="91"/>
              </w:rPr>
              <w:t>6,648,046 shares of Class A Common Stock (including 869,649 shares of Class A Common Stock</w:t>
            </w:r>
          </w:p>
        </w:tc>
        <w:tc>
          <w:tcPr>
            <w:tcW w:w="0" w:type="dxa"/>
            <w:vAlign w:val="bottom"/>
          </w:tcPr>
          <w:p>
            <w:pPr>
              <w:spacing w:after="0"/>
              <w:rPr>
                <w:sz w:val="1"/>
                <w:szCs w:val="1"/>
                <w:color w:val="auto"/>
              </w:rPr>
            </w:pPr>
          </w:p>
        </w:tc>
      </w:tr>
      <w:tr>
        <w:trPr>
          <w:trHeight w:val="128"/>
        </w:trPr>
        <w:tc>
          <w:tcPr>
            <w:tcW w:w="1580" w:type="dxa"/>
            <w:vAlign w:val="bottom"/>
            <w:vMerge w:val="restart"/>
          </w:tcPr>
          <w:p>
            <w:pPr>
              <w:jc w:val="center"/>
              <w:spacing w:after="0"/>
              <w:rPr>
                <w:sz w:val="20"/>
                <w:szCs w:val="20"/>
                <w:color w:val="auto"/>
              </w:rPr>
            </w:pPr>
            <w:r>
              <w:rPr>
                <w:rFonts w:ascii="Arial" w:cs="Arial" w:eastAsia="Arial" w:hAnsi="Arial"/>
                <w:sz w:val="16"/>
                <w:szCs w:val="16"/>
                <w:color w:val="auto"/>
                <w:w w:val="94"/>
              </w:rPr>
              <w:t>SHARES</w:t>
            </w:r>
          </w:p>
        </w:tc>
        <w:tc>
          <w:tcPr>
            <w:tcW w:w="1260" w:type="dxa"/>
            <w:vAlign w:val="bottom"/>
            <w:tcBorders>
              <w:right w:val="single" w:sz="8" w:color="auto"/>
            </w:tcBorders>
          </w:tcPr>
          <w:p>
            <w:pPr>
              <w:spacing w:after="0"/>
              <w:rPr>
                <w:sz w:val="11"/>
                <w:szCs w:val="11"/>
                <w:color w:val="auto"/>
              </w:rPr>
            </w:pPr>
          </w:p>
        </w:tc>
        <w:tc>
          <w:tcPr>
            <w:tcW w:w="84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580" w:type="dxa"/>
            <w:vAlign w:val="bottom"/>
            <w:vMerge w:val="continue"/>
          </w:tcPr>
          <w:p>
            <w:pPr>
              <w:spacing w:after="0"/>
              <w:rPr>
                <w:sz w:val="6"/>
                <w:szCs w:val="6"/>
                <w:color w:val="auto"/>
              </w:rPr>
            </w:pPr>
          </w:p>
        </w:tc>
        <w:tc>
          <w:tcPr>
            <w:tcW w:w="1260" w:type="dxa"/>
            <w:vAlign w:val="bottom"/>
            <w:tcBorders>
              <w:right w:val="single" w:sz="8" w:color="auto"/>
            </w:tcBorders>
          </w:tcPr>
          <w:p>
            <w:pPr>
              <w:spacing w:after="0"/>
              <w:rPr>
                <w:sz w:val="6"/>
                <w:szCs w:val="6"/>
                <w:color w:val="auto"/>
              </w:rPr>
            </w:pPr>
          </w:p>
        </w:tc>
        <w:tc>
          <w:tcPr>
            <w:tcW w:w="6360" w:type="dxa"/>
            <w:vAlign w:val="bottom"/>
            <w:vMerge w:val="restart"/>
          </w:tcPr>
          <w:p>
            <w:pPr>
              <w:ind w:left="440"/>
              <w:spacing w:after="0"/>
              <w:rPr>
                <w:sz w:val="20"/>
                <w:szCs w:val="20"/>
                <w:color w:val="auto"/>
              </w:rPr>
            </w:pPr>
            <w:r>
              <w:rPr>
                <w:rFonts w:ascii="Arial" w:cs="Arial" w:eastAsia="Arial" w:hAnsi="Arial"/>
                <w:sz w:val="20"/>
                <w:szCs w:val="20"/>
                <w:color w:val="auto"/>
              </w:rPr>
              <w:t>issuable upon exercise of warrants)* (see Item 4)</w:t>
            </w: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58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260" w:type="dxa"/>
            <w:vAlign w:val="bottom"/>
            <w:tcBorders>
              <w:right w:val="single" w:sz="8" w:color="auto"/>
            </w:tcBorders>
          </w:tcPr>
          <w:p>
            <w:pPr>
              <w:spacing w:after="0"/>
              <w:rPr>
                <w:sz w:val="17"/>
                <w:szCs w:val="17"/>
                <w:color w:val="auto"/>
              </w:rPr>
            </w:pPr>
          </w:p>
        </w:tc>
        <w:tc>
          <w:tcPr>
            <w:tcW w:w="636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58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260" w:type="dxa"/>
            <w:vAlign w:val="bottom"/>
            <w:tcBorders>
              <w:bottom w:val="single" w:sz="8" w:color="auto"/>
              <w:right w:val="single" w:sz="8" w:color="auto"/>
            </w:tcBorders>
          </w:tcPr>
          <w:p>
            <w:pPr>
              <w:spacing w:after="0"/>
              <w:rPr>
                <w:sz w:val="6"/>
                <w:szCs w:val="6"/>
                <w:color w:val="auto"/>
              </w:rPr>
            </w:pPr>
          </w:p>
        </w:tc>
        <w:tc>
          <w:tcPr>
            <w:tcW w:w="6360" w:type="dxa"/>
            <w:vAlign w:val="bottom"/>
            <w:tcBorders>
              <w:bottom w:val="single" w:sz="8" w:color="auto"/>
            </w:tcBorders>
          </w:tcPr>
          <w:p>
            <w:pPr>
              <w:spacing w:after="0"/>
              <w:rPr>
                <w:sz w:val="6"/>
                <w:szCs w:val="6"/>
                <w:color w:val="auto"/>
              </w:rPr>
            </w:pPr>
          </w:p>
        </w:tc>
        <w:tc>
          <w:tcPr>
            <w:tcW w:w="2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580" w:type="dxa"/>
            <w:vAlign w:val="bottom"/>
            <w:vMerge w:val="continue"/>
          </w:tcPr>
          <w:p>
            <w:pPr>
              <w:spacing w:after="0"/>
              <w:rPr>
                <w:sz w:val="9"/>
                <w:szCs w:val="9"/>
                <w:color w:val="auto"/>
              </w:rPr>
            </w:pPr>
          </w:p>
        </w:tc>
        <w:tc>
          <w:tcPr>
            <w:tcW w:w="1260" w:type="dxa"/>
            <w:vAlign w:val="bottom"/>
            <w:tcBorders>
              <w:right w:val="single" w:sz="8" w:color="auto"/>
            </w:tcBorders>
            <w:vMerge w:val="restart"/>
          </w:tcPr>
          <w:p>
            <w:pPr>
              <w:ind w:left="560"/>
              <w:spacing w:after="0" w:line="308" w:lineRule="exact"/>
              <w:rPr>
                <w:sz w:val="20"/>
                <w:szCs w:val="20"/>
                <w:color w:val="auto"/>
              </w:rPr>
            </w:pPr>
            <w:r>
              <w:rPr>
                <w:rFonts w:ascii="Arial" w:cs="Arial" w:eastAsia="Arial" w:hAnsi="Arial"/>
                <w:sz w:val="29"/>
                <w:szCs w:val="29"/>
                <w:b w:val="1"/>
                <w:bCs w:val="1"/>
                <w:color w:val="auto"/>
              </w:rPr>
              <w:t>7</w:t>
            </w:r>
          </w:p>
        </w:tc>
        <w:tc>
          <w:tcPr>
            <w:tcW w:w="6360" w:type="dxa"/>
            <w:vAlign w:val="bottom"/>
            <w:vMerge w:val="restart"/>
          </w:tcPr>
          <w:p>
            <w:pPr>
              <w:ind w:left="120"/>
              <w:spacing w:after="0"/>
              <w:rPr>
                <w:sz w:val="20"/>
                <w:szCs w:val="20"/>
                <w:color w:val="auto"/>
              </w:rPr>
            </w:pPr>
            <w:r>
              <w:rPr>
                <w:rFonts w:ascii="Arial" w:cs="Arial" w:eastAsia="Arial" w:hAnsi="Arial"/>
                <w:sz w:val="16"/>
                <w:szCs w:val="16"/>
                <w:color w:val="auto"/>
              </w:rPr>
              <w:t>SOLE DISPOSITIVE POWER</w:t>
            </w: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58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260" w:type="dxa"/>
            <w:vAlign w:val="bottom"/>
            <w:tcBorders>
              <w:right w:val="single" w:sz="8" w:color="auto"/>
            </w:tcBorders>
            <w:vMerge w:val="continue"/>
          </w:tcPr>
          <w:p>
            <w:pPr>
              <w:spacing w:after="0"/>
              <w:rPr>
                <w:sz w:val="11"/>
                <w:szCs w:val="11"/>
                <w:color w:val="auto"/>
              </w:rPr>
            </w:pPr>
          </w:p>
        </w:tc>
        <w:tc>
          <w:tcPr>
            <w:tcW w:w="6360" w:type="dxa"/>
            <w:vAlign w:val="bottom"/>
            <w:vMerge w:val="continue"/>
          </w:tcPr>
          <w:p>
            <w:pPr>
              <w:spacing w:after="0"/>
              <w:rPr>
                <w:sz w:val="11"/>
                <w:szCs w:val="11"/>
                <w:color w:val="auto"/>
              </w:rPr>
            </w:pPr>
          </w:p>
        </w:tc>
        <w:tc>
          <w:tcPr>
            <w:tcW w:w="2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580" w:type="dxa"/>
            <w:vAlign w:val="bottom"/>
            <w:vMerge w:val="continue"/>
          </w:tcPr>
          <w:p>
            <w:pPr>
              <w:spacing w:after="0"/>
              <w:rPr>
                <w:sz w:val="6"/>
                <w:szCs w:val="6"/>
                <w:color w:val="auto"/>
              </w:rPr>
            </w:pPr>
          </w:p>
        </w:tc>
        <w:tc>
          <w:tcPr>
            <w:tcW w:w="1260" w:type="dxa"/>
            <w:vAlign w:val="bottom"/>
            <w:tcBorders>
              <w:right w:val="single" w:sz="8" w:color="auto"/>
            </w:tcBorders>
            <w:vMerge w:val="continue"/>
          </w:tcPr>
          <w:p>
            <w:pPr>
              <w:spacing w:after="0"/>
              <w:rPr>
                <w:sz w:val="6"/>
                <w:szCs w:val="6"/>
                <w:color w:val="auto"/>
              </w:rPr>
            </w:pPr>
          </w:p>
        </w:tc>
        <w:tc>
          <w:tcPr>
            <w:tcW w:w="6360" w:type="dxa"/>
            <w:vAlign w:val="bottom"/>
            <w:vMerge w:val="restart"/>
          </w:tcPr>
          <w:p>
            <w:pPr>
              <w:ind w:left="440"/>
              <w:spacing w:after="0"/>
              <w:rPr>
                <w:sz w:val="20"/>
                <w:szCs w:val="20"/>
                <w:color w:val="auto"/>
              </w:rPr>
            </w:pPr>
            <w:r>
              <w:rPr>
                <w:rFonts w:ascii="Arial" w:cs="Arial" w:eastAsia="Arial" w:hAnsi="Arial"/>
                <w:sz w:val="20"/>
                <w:szCs w:val="20"/>
                <w:color w:val="auto"/>
              </w:rPr>
              <w:t>0</w:t>
            </w: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58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260" w:type="dxa"/>
            <w:vAlign w:val="bottom"/>
            <w:tcBorders>
              <w:right w:val="single" w:sz="8" w:color="auto"/>
            </w:tcBorders>
          </w:tcPr>
          <w:p>
            <w:pPr>
              <w:spacing w:after="0"/>
              <w:rPr>
                <w:sz w:val="17"/>
                <w:szCs w:val="17"/>
                <w:color w:val="auto"/>
              </w:rPr>
            </w:pPr>
          </w:p>
        </w:tc>
        <w:tc>
          <w:tcPr>
            <w:tcW w:w="636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580" w:type="dxa"/>
            <w:vAlign w:val="bottom"/>
            <w:vMerge w:val="restart"/>
          </w:tcPr>
          <w:p>
            <w:pPr>
              <w:jc w:val="center"/>
              <w:spacing w:after="0"/>
              <w:rPr>
                <w:sz w:val="20"/>
                <w:szCs w:val="20"/>
                <w:color w:val="auto"/>
              </w:rPr>
            </w:pPr>
            <w:r>
              <w:rPr>
                <w:rFonts w:ascii="Arial" w:cs="Arial" w:eastAsia="Arial" w:hAnsi="Arial"/>
                <w:sz w:val="16"/>
                <w:szCs w:val="16"/>
                <w:color w:val="auto"/>
                <w:w w:val="95"/>
              </w:rPr>
              <w:t>PERSON WITH</w:t>
            </w:r>
          </w:p>
        </w:tc>
        <w:tc>
          <w:tcPr>
            <w:tcW w:w="1260" w:type="dxa"/>
            <w:vAlign w:val="bottom"/>
            <w:tcBorders>
              <w:bottom w:val="single" w:sz="8" w:color="auto"/>
              <w:right w:val="single" w:sz="8" w:color="auto"/>
            </w:tcBorders>
          </w:tcPr>
          <w:p>
            <w:pPr>
              <w:spacing w:after="0"/>
              <w:rPr>
                <w:sz w:val="6"/>
                <w:szCs w:val="6"/>
                <w:color w:val="auto"/>
              </w:rPr>
            </w:pPr>
          </w:p>
        </w:tc>
        <w:tc>
          <w:tcPr>
            <w:tcW w:w="6360" w:type="dxa"/>
            <w:vAlign w:val="bottom"/>
            <w:tcBorders>
              <w:bottom w:val="single" w:sz="8" w:color="auto"/>
            </w:tcBorders>
          </w:tcPr>
          <w:p>
            <w:pPr>
              <w:spacing w:after="0"/>
              <w:rPr>
                <w:sz w:val="6"/>
                <w:szCs w:val="6"/>
                <w:color w:val="auto"/>
              </w:rPr>
            </w:pPr>
          </w:p>
        </w:tc>
        <w:tc>
          <w:tcPr>
            <w:tcW w:w="2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580" w:type="dxa"/>
            <w:vAlign w:val="bottom"/>
            <w:vMerge w:val="continue"/>
          </w:tcPr>
          <w:p>
            <w:pPr>
              <w:spacing w:after="0"/>
              <w:rPr>
                <w:sz w:val="9"/>
                <w:szCs w:val="9"/>
                <w:color w:val="auto"/>
              </w:rPr>
            </w:pPr>
          </w:p>
        </w:tc>
        <w:tc>
          <w:tcPr>
            <w:tcW w:w="1260" w:type="dxa"/>
            <w:vAlign w:val="bottom"/>
            <w:tcBorders>
              <w:right w:val="single" w:sz="8" w:color="auto"/>
            </w:tcBorders>
            <w:vMerge w:val="restart"/>
          </w:tcPr>
          <w:p>
            <w:pPr>
              <w:ind w:left="560"/>
              <w:spacing w:after="0"/>
              <w:rPr>
                <w:sz w:val="20"/>
                <w:szCs w:val="20"/>
                <w:color w:val="auto"/>
              </w:rPr>
            </w:pPr>
            <w:r>
              <w:rPr>
                <w:rFonts w:ascii="Arial" w:cs="Arial" w:eastAsia="Arial" w:hAnsi="Arial"/>
                <w:sz w:val="29"/>
                <w:szCs w:val="29"/>
                <w:b w:val="1"/>
                <w:bCs w:val="1"/>
                <w:color w:val="auto"/>
              </w:rPr>
              <w:t>8</w:t>
            </w:r>
          </w:p>
        </w:tc>
        <w:tc>
          <w:tcPr>
            <w:tcW w:w="6360" w:type="dxa"/>
            <w:vAlign w:val="bottom"/>
            <w:vMerge w:val="restart"/>
          </w:tcPr>
          <w:p>
            <w:pPr>
              <w:ind w:left="120"/>
              <w:spacing w:after="0"/>
              <w:rPr>
                <w:sz w:val="20"/>
                <w:szCs w:val="20"/>
                <w:color w:val="auto"/>
              </w:rPr>
            </w:pPr>
            <w:r>
              <w:rPr>
                <w:rFonts w:ascii="Arial" w:cs="Arial" w:eastAsia="Arial" w:hAnsi="Arial"/>
                <w:sz w:val="16"/>
                <w:szCs w:val="16"/>
                <w:color w:val="auto"/>
              </w:rPr>
              <w:t>SHARED DISPOSITIVE POWER</w:t>
            </w: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580" w:type="dxa"/>
            <w:vAlign w:val="bottom"/>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636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580" w:type="dxa"/>
            <w:vAlign w:val="bottom"/>
          </w:tcPr>
          <w:p>
            <w:pPr>
              <w:spacing w:after="0"/>
              <w:rPr>
                <w:sz w:val="14"/>
                <w:szCs w:val="14"/>
                <w:color w:val="auto"/>
              </w:rPr>
            </w:pPr>
          </w:p>
        </w:tc>
        <w:tc>
          <w:tcPr>
            <w:tcW w:w="1260" w:type="dxa"/>
            <w:vAlign w:val="bottom"/>
            <w:tcBorders>
              <w:right w:val="single" w:sz="8" w:color="auto"/>
            </w:tcBorders>
            <w:vMerge w:val="continue"/>
          </w:tcPr>
          <w:p>
            <w:pPr>
              <w:spacing w:after="0"/>
              <w:rPr>
                <w:sz w:val="14"/>
                <w:szCs w:val="14"/>
                <w:color w:val="auto"/>
              </w:rPr>
            </w:pPr>
          </w:p>
        </w:tc>
        <w:tc>
          <w:tcPr>
            <w:tcW w:w="8400" w:type="dxa"/>
            <w:vAlign w:val="bottom"/>
            <w:gridSpan w:val="2"/>
            <w:vMerge w:val="restart"/>
          </w:tcPr>
          <w:p>
            <w:pPr>
              <w:ind w:left="440"/>
              <w:spacing w:after="0"/>
              <w:rPr>
                <w:sz w:val="20"/>
                <w:szCs w:val="20"/>
                <w:color w:val="auto"/>
              </w:rPr>
            </w:pPr>
            <w:r>
              <w:rPr>
                <w:rFonts w:ascii="Arial" w:cs="Arial" w:eastAsia="Arial" w:hAnsi="Arial"/>
                <w:sz w:val="20"/>
                <w:szCs w:val="20"/>
                <w:color w:val="auto"/>
                <w:w w:val="91"/>
              </w:rPr>
              <w:t>6,648,046 shares of Class A Common Stock (including 869,649 shares of Class A Common Stock</w:t>
            </w:r>
          </w:p>
        </w:tc>
        <w:tc>
          <w:tcPr>
            <w:tcW w:w="0" w:type="dxa"/>
            <w:vAlign w:val="bottom"/>
          </w:tcPr>
          <w:p>
            <w:pPr>
              <w:spacing w:after="0"/>
              <w:rPr>
                <w:sz w:val="1"/>
                <w:szCs w:val="1"/>
                <w:color w:val="auto"/>
              </w:rPr>
            </w:pPr>
          </w:p>
        </w:tc>
      </w:tr>
      <w:tr>
        <w:trPr>
          <w:trHeight w:val="59"/>
        </w:trPr>
        <w:tc>
          <w:tcPr>
            <w:tcW w:w="1580" w:type="dxa"/>
            <w:vAlign w:val="bottom"/>
          </w:tcPr>
          <w:p>
            <w:pPr>
              <w:spacing w:after="0"/>
              <w:rPr>
                <w:sz w:val="5"/>
                <w:szCs w:val="5"/>
                <w:color w:val="auto"/>
              </w:rPr>
            </w:pPr>
          </w:p>
        </w:tc>
        <w:tc>
          <w:tcPr>
            <w:tcW w:w="1260" w:type="dxa"/>
            <w:vAlign w:val="bottom"/>
            <w:tcBorders>
              <w:right w:val="single" w:sz="8" w:color="auto"/>
            </w:tcBorders>
          </w:tcPr>
          <w:p>
            <w:pPr>
              <w:spacing w:after="0"/>
              <w:rPr>
                <w:sz w:val="5"/>
                <w:szCs w:val="5"/>
                <w:color w:val="auto"/>
              </w:rPr>
            </w:pPr>
          </w:p>
        </w:tc>
        <w:tc>
          <w:tcPr>
            <w:tcW w:w="84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1580" w:type="dxa"/>
            <w:vAlign w:val="bottom"/>
          </w:tcPr>
          <w:p>
            <w:pPr>
              <w:spacing w:after="0"/>
              <w:rPr>
                <w:sz w:val="21"/>
                <w:szCs w:val="21"/>
                <w:color w:val="auto"/>
              </w:rPr>
            </w:pPr>
          </w:p>
        </w:tc>
        <w:tc>
          <w:tcPr>
            <w:tcW w:w="1260" w:type="dxa"/>
            <w:vAlign w:val="bottom"/>
            <w:tcBorders>
              <w:right w:val="single" w:sz="8" w:color="auto"/>
            </w:tcBorders>
          </w:tcPr>
          <w:p>
            <w:pPr>
              <w:spacing w:after="0"/>
              <w:rPr>
                <w:sz w:val="21"/>
                <w:szCs w:val="21"/>
                <w:color w:val="auto"/>
              </w:rPr>
            </w:pPr>
          </w:p>
        </w:tc>
        <w:tc>
          <w:tcPr>
            <w:tcW w:w="6360" w:type="dxa"/>
            <w:vAlign w:val="bottom"/>
          </w:tcPr>
          <w:p>
            <w:pPr>
              <w:ind w:left="440"/>
              <w:spacing w:after="0"/>
              <w:rPr>
                <w:sz w:val="20"/>
                <w:szCs w:val="20"/>
                <w:color w:val="auto"/>
              </w:rPr>
            </w:pPr>
            <w:r>
              <w:rPr>
                <w:rFonts w:ascii="Arial" w:cs="Arial" w:eastAsia="Arial" w:hAnsi="Arial"/>
                <w:sz w:val="20"/>
                <w:szCs w:val="20"/>
                <w:color w:val="auto"/>
              </w:rPr>
              <w:t>issuable upon exercise of warrants)* (see Item 4)</w:t>
            </w:r>
          </w:p>
        </w:tc>
        <w:tc>
          <w:tcPr>
            <w:tcW w:w="2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580" w:type="dxa"/>
            <w:vAlign w:val="bottom"/>
            <w:tcBorders>
              <w:bottom w:val="single" w:sz="8" w:color="auto"/>
            </w:tcBorders>
          </w:tcPr>
          <w:p>
            <w:pPr>
              <w:spacing w:after="0"/>
              <w:rPr>
                <w:sz w:val="9"/>
                <w:szCs w:val="9"/>
                <w:color w:val="auto"/>
              </w:rPr>
            </w:pPr>
          </w:p>
        </w:tc>
        <w:tc>
          <w:tcPr>
            <w:tcW w:w="1260" w:type="dxa"/>
            <w:vAlign w:val="bottom"/>
            <w:tcBorders>
              <w:bottom w:val="single" w:sz="8" w:color="auto"/>
              <w:right w:val="single" w:sz="8" w:color="auto"/>
            </w:tcBorders>
          </w:tcPr>
          <w:p>
            <w:pPr>
              <w:spacing w:after="0"/>
              <w:rPr>
                <w:sz w:val="9"/>
                <w:szCs w:val="9"/>
                <w:color w:val="auto"/>
              </w:rPr>
            </w:pPr>
          </w:p>
        </w:tc>
        <w:tc>
          <w:tcPr>
            <w:tcW w:w="636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58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9</w:t>
            </w:r>
          </w:p>
        </w:tc>
        <w:tc>
          <w:tcPr>
            <w:tcW w:w="7620" w:type="dxa"/>
            <w:vAlign w:val="bottom"/>
            <w:gridSpan w:val="2"/>
          </w:tcPr>
          <w:p>
            <w:pPr>
              <w:ind w:left="120"/>
              <w:spacing w:after="0"/>
              <w:rPr>
                <w:sz w:val="20"/>
                <w:szCs w:val="20"/>
                <w:color w:val="auto"/>
              </w:rPr>
            </w:pPr>
            <w:r>
              <w:rPr>
                <w:rFonts w:ascii="Arial" w:cs="Arial" w:eastAsia="Arial" w:hAnsi="Arial"/>
                <w:sz w:val="16"/>
                <w:szCs w:val="16"/>
                <w:color w:val="auto"/>
              </w:rPr>
              <w:t>AGGREGATE AMOUNT BENEFICIALLY OWNED BY EACH REPORTING PERSON</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580" w:type="dxa"/>
            <w:vAlign w:val="bottom"/>
            <w:vMerge w:val="continue"/>
          </w:tcPr>
          <w:p>
            <w:pPr>
              <w:spacing w:after="0"/>
              <w:rPr>
                <w:sz w:val="14"/>
                <w:szCs w:val="14"/>
                <w:color w:val="auto"/>
              </w:rPr>
            </w:pPr>
          </w:p>
        </w:tc>
        <w:tc>
          <w:tcPr>
            <w:tcW w:w="9660" w:type="dxa"/>
            <w:vAlign w:val="bottom"/>
            <w:gridSpan w:val="3"/>
            <w:vMerge w:val="restart"/>
          </w:tcPr>
          <w:p>
            <w:pPr>
              <w:ind w:left="460"/>
              <w:spacing w:after="0"/>
              <w:rPr>
                <w:sz w:val="20"/>
                <w:szCs w:val="20"/>
                <w:color w:val="auto"/>
              </w:rPr>
            </w:pPr>
            <w:r>
              <w:rPr>
                <w:rFonts w:ascii="Arial" w:cs="Arial" w:eastAsia="Arial" w:hAnsi="Arial"/>
                <w:sz w:val="20"/>
                <w:szCs w:val="20"/>
                <w:color w:val="auto"/>
                <w:w w:val="92"/>
              </w:rPr>
              <w:t>6,648,046 shares of Class A Common Stock (including 869,649 shares of Class A Common Stock issuable upon</w:t>
            </w:r>
          </w:p>
        </w:tc>
        <w:tc>
          <w:tcPr>
            <w:tcW w:w="0" w:type="dxa"/>
            <w:vAlign w:val="bottom"/>
          </w:tcPr>
          <w:p>
            <w:pPr>
              <w:spacing w:after="0"/>
              <w:rPr>
                <w:sz w:val="1"/>
                <w:szCs w:val="1"/>
                <w:color w:val="auto"/>
              </w:rPr>
            </w:pPr>
          </w:p>
        </w:tc>
      </w:tr>
      <w:tr>
        <w:trPr>
          <w:trHeight w:val="59"/>
        </w:trPr>
        <w:tc>
          <w:tcPr>
            <w:tcW w:w="1580" w:type="dxa"/>
            <w:vAlign w:val="bottom"/>
          </w:tcPr>
          <w:p>
            <w:pPr>
              <w:spacing w:after="0"/>
              <w:rPr>
                <w:sz w:val="5"/>
                <w:szCs w:val="5"/>
                <w:color w:val="auto"/>
              </w:rPr>
            </w:pPr>
          </w:p>
        </w:tc>
        <w:tc>
          <w:tcPr>
            <w:tcW w:w="96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1580" w:type="dxa"/>
            <w:vAlign w:val="bottom"/>
          </w:tcPr>
          <w:p>
            <w:pPr>
              <w:spacing w:after="0"/>
              <w:rPr>
                <w:sz w:val="21"/>
                <w:szCs w:val="21"/>
                <w:color w:val="auto"/>
              </w:rPr>
            </w:pPr>
          </w:p>
        </w:tc>
        <w:tc>
          <w:tcPr>
            <w:tcW w:w="7620" w:type="dxa"/>
            <w:vAlign w:val="bottom"/>
            <w:gridSpan w:val="2"/>
          </w:tcPr>
          <w:p>
            <w:pPr>
              <w:ind w:left="460"/>
              <w:spacing w:after="0"/>
              <w:rPr>
                <w:sz w:val="20"/>
                <w:szCs w:val="20"/>
                <w:color w:val="auto"/>
              </w:rPr>
            </w:pPr>
            <w:r>
              <w:rPr>
                <w:rFonts w:ascii="Arial" w:cs="Arial" w:eastAsia="Arial" w:hAnsi="Arial"/>
                <w:sz w:val="20"/>
                <w:szCs w:val="20"/>
                <w:color w:val="auto"/>
              </w:rPr>
              <w:t>exercise of warrants)* (see Item 4)</w:t>
            </w:r>
          </w:p>
        </w:tc>
        <w:tc>
          <w:tcPr>
            <w:tcW w:w="2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58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636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580" w:type="dxa"/>
            <w:vAlign w:val="bottom"/>
          </w:tcPr>
          <w:p>
            <w:pPr>
              <w:jc w:val="center"/>
              <w:spacing w:after="0" w:line="195" w:lineRule="exact"/>
              <w:rPr>
                <w:sz w:val="20"/>
                <w:szCs w:val="20"/>
                <w:color w:val="auto"/>
              </w:rPr>
            </w:pPr>
            <w:r>
              <w:rPr>
                <w:rFonts w:ascii="Arial" w:cs="Arial" w:eastAsia="Arial" w:hAnsi="Arial"/>
                <w:sz w:val="22"/>
                <w:szCs w:val="22"/>
                <w:b w:val="1"/>
                <w:bCs w:val="1"/>
                <w:color w:val="auto"/>
              </w:rPr>
              <w:t>10</w:t>
            </w:r>
          </w:p>
        </w:tc>
        <w:tc>
          <w:tcPr>
            <w:tcW w:w="7620" w:type="dxa"/>
            <w:vAlign w:val="bottom"/>
            <w:gridSpan w:val="2"/>
            <w:vMerge w:val="restart"/>
          </w:tcPr>
          <w:p>
            <w:pPr>
              <w:ind w:left="12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2040" w:type="dxa"/>
            <w:vAlign w:val="bottom"/>
          </w:tcPr>
          <w:p>
            <w:pPr>
              <w:ind w:left="114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580" w:type="dxa"/>
            <w:vAlign w:val="bottom"/>
          </w:tcPr>
          <w:p>
            <w:pPr>
              <w:spacing w:after="0"/>
              <w:rPr>
                <w:sz w:val="4"/>
                <w:szCs w:val="4"/>
                <w:color w:val="auto"/>
              </w:rPr>
            </w:pPr>
          </w:p>
        </w:tc>
        <w:tc>
          <w:tcPr>
            <w:tcW w:w="7620" w:type="dxa"/>
            <w:vAlign w:val="bottom"/>
            <w:gridSpan w:val="2"/>
            <w:vMerge w:val="continue"/>
          </w:tcPr>
          <w:p>
            <w:pPr>
              <w:spacing w:after="0"/>
              <w:rPr>
                <w:sz w:val="4"/>
                <w:szCs w:val="4"/>
                <w:color w:val="auto"/>
              </w:rPr>
            </w:pPr>
          </w:p>
        </w:tc>
        <w:tc>
          <w:tcPr>
            <w:tcW w:w="2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15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636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58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11</w:t>
            </w:r>
          </w:p>
        </w:tc>
        <w:tc>
          <w:tcPr>
            <w:tcW w:w="7620" w:type="dxa"/>
            <w:vAlign w:val="bottom"/>
            <w:gridSpan w:val="2"/>
          </w:tcPr>
          <w:p>
            <w:pPr>
              <w:ind w:left="120"/>
              <w:spacing w:after="0"/>
              <w:rPr>
                <w:sz w:val="20"/>
                <w:szCs w:val="20"/>
                <w:color w:val="auto"/>
              </w:rPr>
            </w:pPr>
            <w:r>
              <w:rPr>
                <w:rFonts w:ascii="Arial" w:cs="Arial" w:eastAsia="Arial" w:hAnsi="Arial"/>
                <w:sz w:val="16"/>
                <w:szCs w:val="16"/>
                <w:color w:val="auto"/>
              </w:rPr>
              <w:t>PERCENT OF CLASS REPRESENTED BY AMOUNT IN ROW (9)</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580" w:type="dxa"/>
            <w:vAlign w:val="bottom"/>
            <w:vMerge w:val="continue"/>
          </w:tcPr>
          <w:p>
            <w:pPr>
              <w:spacing w:after="0"/>
              <w:rPr>
                <w:sz w:val="14"/>
                <w:szCs w:val="14"/>
                <w:color w:val="auto"/>
              </w:rPr>
            </w:pPr>
          </w:p>
        </w:tc>
        <w:tc>
          <w:tcPr>
            <w:tcW w:w="7620" w:type="dxa"/>
            <w:vAlign w:val="bottom"/>
            <w:gridSpan w:val="2"/>
            <w:vMerge w:val="restart"/>
          </w:tcPr>
          <w:p>
            <w:pPr>
              <w:ind w:left="460"/>
              <w:spacing w:after="0"/>
              <w:rPr>
                <w:sz w:val="20"/>
                <w:szCs w:val="20"/>
                <w:color w:val="auto"/>
              </w:rPr>
            </w:pPr>
            <w:r>
              <w:rPr>
                <w:rFonts w:ascii="Arial" w:cs="Arial" w:eastAsia="Arial" w:hAnsi="Arial"/>
                <w:sz w:val="20"/>
                <w:szCs w:val="20"/>
                <w:color w:val="auto"/>
              </w:rPr>
              <w:t>9.99%* (see Item 4)</w:t>
            </w: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7620" w:type="dxa"/>
            <w:vAlign w:val="bottom"/>
            <w:gridSpan w:val="2"/>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58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636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58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12</w:t>
            </w:r>
          </w:p>
        </w:tc>
        <w:tc>
          <w:tcPr>
            <w:tcW w:w="7620" w:type="dxa"/>
            <w:vAlign w:val="bottom"/>
            <w:gridSpan w:val="2"/>
          </w:tcPr>
          <w:p>
            <w:pPr>
              <w:ind w:left="120"/>
              <w:spacing w:after="0"/>
              <w:rPr>
                <w:sz w:val="20"/>
                <w:szCs w:val="20"/>
                <w:color w:val="auto"/>
              </w:rPr>
            </w:pPr>
            <w:r>
              <w:rPr>
                <w:rFonts w:ascii="Arial" w:cs="Arial" w:eastAsia="Arial" w:hAnsi="Arial"/>
                <w:sz w:val="16"/>
                <w:szCs w:val="16"/>
                <w:color w:val="auto"/>
              </w:rPr>
              <w:t>TYPE OF REPORTING PERSON</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580" w:type="dxa"/>
            <w:vAlign w:val="bottom"/>
            <w:vMerge w:val="continue"/>
          </w:tcPr>
          <w:p>
            <w:pPr>
              <w:spacing w:after="0"/>
              <w:rPr>
                <w:sz w:val="14"/>
                <w:szCs w:val="14"/>
                <w:color w:val="auto"/>
              </w:rPr>
            </w:pPr>
          </w:p>
        </w:tc>
        <w:tc>
          <w:tcPr>
            <w:tcW w:w="1260" w:type="dxa"/>
            <w:vAlign w:val="bottom"/>
            <w:vMerge w:val="restart"/>
          </w:tcPr>
          <w:p>
            <w:pPr>
              <w:ind w:left="460"/>
              <w:spacing w:after="0"/>
              <w:rPr>
                <w:sz w:val="20"/>
                <w:szCs w:val="20"/>
                <w:color w:val="auto"/>
              </w:rPr>
            </w:pPr>
            <w:r>
              <w:rPr>
                <w:rFonts w:ascii="Arial" w:cs="Arial" w:eastAsia="Arial" w:hAnsi="Arial"/>
                <w:sz w:val="20"/>
                <w:szCs w:val="20"/>
                <w:color w:val="auto"/>
              </w:rPr>
              <w:t>OO, IA</w:t>
            </w:r>
          </w:p>
        </w:tc>
        <w:tc>
          <w:tcPr>
            <w:tcW w:w="63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636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 As more fully described in Item 4, 869,649 shares of Class A Common Stock are issuable upon exercise of warrants that are subject to a</w:t>
      </w:r>
    </w:p>
    <w:p>
      <w:pPr>
        <w:spacing w:after="0" w:line="3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9.99% beneficial ownership blocker and the percentage set forth on row (11) and the number of shares of Class A Common Stock set forth on rows (6), (8) and (9) give effect to such blocker.</w:t>
      </w:r>
    </w:p>
    <w:p>
      <w:pPr>
        <w:sectPr>
          <w:pgSz w:w="11900" w:h="16838" w:orient="portrait"/>
          <w:cols w:equalWidth="0" w:num="1">
            <w:col w:w="11240"/>
          </w:cols>
          <w:pgMar w:left="320" w:top="229" w:right="339" w:bottom="1440" w:gutter="0" w:footer="0" w:header="0"/>
        </w:sectPr>
      </w:pPr>
    </w:p>
    <w:bookmarkStart w:id="2" w:name="page3"/>
    <w:bookmarkEnd w:id="2"/>
    <w:p>
      <w:pPr>
        <w:spacing w:after="0"/>
        <w:tabs>
          <w:tab w:leader="none" w:pos="5360" w:val="left"/>
          <w:tab w:leader="none" w:pos="9900" w:val="left"/>
        </w:tabs>
        <w:rPr>
          <w:sz w:val="20"/>
          <w:szCs w:val="20"/>
          <w:color w:val="auto"/>
        </w:rPr>
      </w:pPr>
      <w:r>
        <w:rPr>
          <w:rFonts w:ascii="Arial" w:cs="Arial" w:eastAsia="Arial" w:hAnsi="Arial"/>
          <w:sz w:val="18"/>
          <w:szCs w:val="18"/>
          <w:b w:val="1"/>
          <w:bCs w:val="1"/>
          <w:color w:val="auto"/>
        </w:rPr>
        <w:t>CUSIP No. 92971A109</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3 of 7 Pages</w:t>
      </w:r>
    </w:p>
    <w:p>
      <w:pPr>
        <w:ind w:left="1700" w:hanging="967"/>
        <w:spacing w:after="0" w:line="226" w:lineRule="auto"/>
        <w:tabs>
          <w:tab w:leader="none" w:pos="1700" w:val="left"/>
        </w:tabs>
        <w:numPr>
          <w:ilvl w:val="0"/>
          <w:numId w:val="4"/>
        </w:numPr>
        <w:rPr>
          <w:rFonts w:ascii="Arial" w:cs="Arial" w:eastAsia="Arial" w:hAnsi="Arial"/>
          <w:sz w:val="58"/>
          <w:szCs w:val="58"/>
          <w:b w:val="1"/>
          <w:bCs w:val="1"/>
          <w:color w:val="auto"/>
          <w:vertAlign w:val="subscript"/>
        </w:rPr>
      </w:pPr>
      <w:r>
        <w:rPr>
          <w:rFonts w:ascii="Arial" w:cs="Arial" w:eastAsia="Arial" w:hAnsi="Arial"/>
          <w:sz w:val="16"/>
          <w:szCs w:val="16"/>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52374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5237480"/>
                    </a:xfrm>
                    <a:prstGeom prst="rect">
                      <a:avLst/>
                    </a:prstGeom>
                    <a:noFill/>
                  </pic:spPr>
                </pic:pic>
              </a:graphicData>
            </a:graphic>
          </wp:anchor>
        </w:drawing>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300" w:type="dxa"/>
            <w:vAlign w:val="bottom"/>
          </w:tcPr>
          <w:p>
            <w:pPr>
              <w:spacing w:after="0"/>
              <w:rPr>
                <w:sz w:val="21"/>
                <w:szCs w:val="21"/>
                <w:color w:val="auto"/>
              </w:rPr>
            </w:pPr>
          </w:p>
        </w:tc>
        <w:tc>
          <w:tcPr>
            <w:tcW w:w="6900" w:type="dxa"/>
            <w:vAlign w:val="bottom"/>
          </w:tcPr>
          <w:p>
            <w:pPr>
              <w:ind w:left="740"/>
              <w:spacing w:after="0"/>
              <w:rPr>
                <w:sz w:val="20"/>
                <w:szCs w:val="20"/>
                <w:color w:val="auto"/>
              </w:rPr>
            </w:pPr>
            <w:r>
              <w:rPr>
                <w:rFonts w:ascii="Arial" w:cs="Arial" w:eastAsia="Arial" w:hAnsi="Arial"/>
                <w:sz w:val="20"/>
                <w:szCs w:val="20"/>
                <w:color w:val="auto"/>
              </w:rPr>
              <w:t>Richard Mashaal</w:t>
            </w:r>
          </w:p>
        </w:tc>
        <w:tc>
          <w:tcPr>
            <w:tcW w:w="3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300" w:type="dxa"/>
            <w:vAlign w:val="bottom"/>
            <w:tcBorders>
              <w:bottom w:val="single" w:sz="8" w:color="auto"/>
            </w:tcBorders>
          </w:tcPr>
          <w:p>
            <w:pPr>
              <w:spacing w:after="0"/>
              <w:rPr>
                <w:sz w:val="9"/>
                <w:szCs w:val="9"/>
                <w:color w:val="auto"/>
              </w:rPr>
            </w:pPr>
          </w:p>
        </w:tc>
        <w:tc>
          <w:tcPr>
            <w:tcW w:w="6900" w:type="dxa"/>
            <w:vAlign w:val="bottom"/>
            <w:tcBorders>
              <w:bottom w:val="single" w:sz="8" w:color="auto"/>
            </w:tcBorders>
          </w:tcPr>
          <w:p>
            <w:pPr>
              <w:spacing w:after="0"/>
              <w:rPr>
                <w:sz w:val="9"/>
                <w:szCs w:val="9"/>
                <w:color w:val="auto"/>
              </w:rPr>
            </w:pPr>
          </w:p>
        </w:tc>
        <w:tc>
          <w:tcPr>
            <w:tcW w:w="3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300" w:type="dxa"/>
            <w:vAlign w:val="bottom"/>
            <w:vMerge w:val="restart"/>
          </w:tcPr>
          <w:p>
            <w:pPr>
              <w:jc w:val="right"/>
              <w:ind w:right="276"/>
              <w:spacing w:after="0"/>
              <w:rPr>
                <w:sz w:val="20"/>
                <w:szCs w:val="20"/>
                <w:color w:val="auto"/>
              </w:rPr>
            </w:pPr>
            <w:r>
              <w:rPr>
                <w:rFonts w:ascii="Arial" w:cs="Arial" w:eastAsia="Arial" w:hAnsi="Arial"/>
                <w:sz w:val="29"/>
                <w:szCs w:val="29"/>
                <w:b w:val="1"/>
                <w:bCs w:val="1"/>
                <w:color w:val="auto"/>
              </w:rPr>
              <w:t>2</w:t>
            </w:r>
          </w:p>
        </w:tc>
        <w:tc>
          <w:tcPr>
            <w:tcW w:w="6900" w:type="dxa"/>
            <w:vAlign w:val="bottom"/>
          </w:tcPr>
          <w:p>
            <w:pPr>
              <w:ind w:left="400"/>
              <w:spacing w:after="0"/>
              <w:rPr>
                <w:sz w:val="20"/>
                <w:szCs w:val="20"/>
                <w:color w:val="auto"/>
              </w:rPr>
            </w:pPr>
            <w:r>
              <w:rPr>
                <w:rFonts w:ascii="Arial" w:cs="Arial" w:eastAsia="Arial" w:hAnsi="Arial"/>
                <w:sz w:val="16"/>
                <w:szCs w:val="16"/>
                <w:color w:val="auto"/>
              </w:rPr>
              <w:t>CHECK THE APPROPRIATE BOX IF A MEMBER OF A GROUP</w:t>
            </w:r>
          </w:p>
        </w:tc>
        <w:tc>
          <w:tcPr>
            <w:tcW w:w="3040" w:type="dxa"/>
            <w:vAlign w:val="bottom"/>
            <w:vMerge w:val="restart"/>
          </w:tcPr>
          <w:p>
            <w:pPr>
              <w:ind w:left="2020"/>
              <w:spacing w:after="0" w:line="322"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89"/>
        </w:trPr>
        <w:tc>
          <w:tcPr>
            <w:tcW w:w="1300" w:type="dxa"/>
            <w:vAlign w:val="bottom"/>
            <w:vMerge w:val="continue"/>
          </w:tcPr>
          <w:p>
            <w:pPr>
              <w:spacing w:after="0"/>
              <w:rPr>
                <w:sz w:val="7"/>
                <w:szCs w:val="7"/>
                <w:color w:val="auto"/>
              </w:rPr>
            </w:pPr>
          </w:p>
        </w:tc>
        <w:tc>
          <w:tcPr>
            <w:tcW w:w="6900" w:type="dxa"/>
            <w:vAlign w:val="bottom"/>
          </w:tcPr>
          <w:p>
            <w:pPr>
              <w:spacing w:after="0"/>
              <w:rPr>
                <w:sz w:val="7"/>
                <w:szCs w:val="7"/>
                <w:color w:val="auto"/>
              </w:rPr>
            </w:pPr>
          </w:p>
        </w:tc>
        <w:tc>
          <w:tcPr>
            <w:tcW w:w="3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130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3040" w:type="dxa"/>
            <w:vAlign w:val="bottom"/>
          </w:tcPr>
          <w:p>
            <w:pPr>
              <w:ind w:left="2020"/>
              <w:spacing w:after="0" w:line="322"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ind w:left="1700" w:hanging="967"/>
        <w:spacing w:after="0" w:line="189" w:lineRule="auto"/>
        <w:tabs>
          <w:tab w:leader="none" w:pos="1700" w:val="left"/>
        </w:tabs>
        <w:numPr>
          <w:ilvl w:val="0"/>
          <w:numId w:val="5"/>
        </w:numPr>
        <w:rPr>
          <w:rFonts w:ascii="Arial" w:cs="Arial" w:eastAsia="Arial" w:hAnsi="Arial"/>
          <w:sz w:val="25"/>
          <w:szCs w:val="25"/>
          <w:b w:val="1"/>
          <w:bCs w:val="1"/>
          <w:color w:val="auto"/>
          <w:vertAlign w:val="subscript"/>
        </w:rPr>
      </w:pPr>
      <w:r>
        <w:rPr>
          <w:rFonts w:ascii="Arial" w:cs="Arial" w:eastAsia="Arial" w:hAnsi="Arial"/>
          <w:sz w:val="13"/>
          <w:szCs w:val="13"/>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8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7620" w:type="dxa"/>
            <w:vAlign w:val="bottom"/>
            <w:gridSpan w:val="2"/>
          </w:tcPr>
          <w:p>
            <w:pPr>
              <w:ind w:left="120"/>
              <w:spacing w:after="0"/>
              <w:rPr>
                <w:sz w:val="20"/>
                <w:szCs w:val="20"/>
                <w:color w:val="auto"/>
              </w:rPr>
            </w:pPr>
            <w:r>
              <w:rPr>
                <w:rFonts w:ascii="Arial" w:cs="Arial" w:eastAsia="Arial" w:hAnsi="Arial"/>
                <w:sz w:val="16"/>
                <w:szCs w:val="16"/>
                <w:color w:val="auto"/>
              </w:rPr>
              <w:t>CITIZENSHIP OR PLACE OF ORGANIZATION</w:t>
            </w: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580" w:type="dxa"/>
            <w:vAlign w:val="bottom"/>
            <w:vMerge w:val="continue"/>
          </w:tcPr>
          <w:p>
            <w:pPr>
              <w:spacing w:after="0"/>
              <w:rPr>
                <w:sz w:val="14"/>
                <w:szCs w:val="14"/>
                <w:color w:val="auto"/>
              </w:rPr>
            </w:pPr>
          </w:p>
        </w:tc>
        <w:tc>
          <w:tcPr>
            <w:tcW w:w="1260" w:type="dxa"/>
            <w:vAlign w:val="bottom"/>
            <w:vMerge w:val="restart"/>
          </w:tcPr>
          <w:p>
            <w:pPr>
              <w:ind w:left="460"/>
              <w:spacing w:after="0"/>
              <w:rPr>
                <w:sz w:val="20"/>
                <w:szCs w:val="20"/>
                <w:color w:val="auto"/>
              </w:rPr>
            </w:pPr>
            <w:r>
              <w:rPr>
                <w:rFonts w:ascii="Arial" w:cs="Arial" w:eastAsia="Arial" w:hAnsi="Arial"/>
                <w:sz w:val="20"/>
                <w:szCs w:val="20"/>
                <w:color w:val="auto"/>
              </w:rPr>
              <w:t>Canada</w:t>
            </w:r>
          </w:p>
        </w:tc>
        <w:tc>
          <w:tcPr>
            <w:tcW w:w="63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636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58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636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580" w:type="dxa"/>
            <w:vAlign w:val="bottom"/>
          </w:tcPr>
          <w:p>
            <w:pPr>
              <w:spacing w:after="0"/>
              <w:rPr>
                <w:sz w:val="20"/>
                <w:szCs w:val="20"/>
                <w:color w:val="auto"/>
              </w:rPr>
            </w:pPr>
          </w:p>
        </w:tc>
        <w:tc>
          <w:tcPr>
            <w:tcW w:w="1260" w:type="dxa"/>
            <w:vAlign w:val="bottom"/>
            <w:tcBorders>
              <w:right w:val="single" w:sz="8" w:color="auto"/>
            </w:tcBorders>
            <w:vMerge w:val="restart"/>
          </w:tcPr>
          <w:p>
            <w:pPr>
              <w:ind w:left="560"/>
              <w:spacing w:after="0"/>
              <w:rPr>
                <w:sz w:val="20"/>
                <w:szCs w:val="20"/>
                <w:color w:val="auto"/>
              </w:rPr>
            </w:pPr>
            <w:r>
              <w:rPr>
                <w:rFonts w:ascii="Arial" w:cs="Arial" w:eastAsia="Arial" w:hAnsi="Arial"/>
                <w:sz w:val="29"/>
                <w:szCs w:val="29"/>
                <w:b w:val="1"/>
                <w:bCs w:val="1"/>
                <w:color w:val="auto"/>
              </w:rPr>
              <w:t>5</w:t>
            </w:r>
          </w:p>
        </w:tc>
        <w:tc>
          <w:tcPr>
            <w:tcW w:w="6360" w:type="dxa"/>
            <w:vAlign w:val="bottom"/>
          </w:tcPr>
          <w:p>
            <w:pPr>
              <w:ind w:left="120"/>
              <w:spacing w:after="0"/>
              <w:rPr>
                <w:sz w:val="20"/>
                <w:szCs w:val="20"/>
                <w:color w:val="auto"/>
              </w:rPr>
            </w:pPr>
            <w:r>
              <w:rPr>
                <w:rFonts w:ascii="Arial" w:cs="Arial" w:eastAsia="Arial" w:hAnsi="Arial"/>
                <w:sz w:val="16"/>
                <w:szCs w:val="16"/>
                <w:color w:val="auto"/>
              </w:rPr>
              <w:t>SOLE VOTING POWER</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580" w:type="dxa"/>
            <w:vAlign w:val="bottom"/>
          </w:tcPr>
          <w:p>
            <w:pPr>
              <w:spacing w:after="0"/>
              <w:rPr>
                <w:sz w:val="14"/>
                <w:szCs w:val="14"/>
                <w:color w:val="auto"/>
              </w:rPr>
            </w:pPr>
          </w:p>
        </w:tc>
        <w:tc>
          <w:tcPr>
            <w:tcW w:w="1260" w:type="dxa"/>
            <w:vAlign w:val="bottom"/>
            <w:tcBorders>
              <w:right w:val="single" w:sz="8" w:color="auto"/>
            </w:tcBorders>
            <w:vMerge w:val="continue"/>
          </w:tcPr>
          <w:p>
            <w:pPr>
              <w:spacing w:after="0"/>
              <w:rPr>
                <w:sz w:val="14"/>
                <w:szCs w:val="14"/>
                <w:color w:val="auto"/>
              </w:rPr>
            </w:pPr>
          </w:p>
        </w:tc>
        <w:tc>
          <w:tcPr>
            <w:tcW w:w="6360" w:type="dxa"/>
            <w:vAlign w:val="bottom"/>
            <w:vMerge w:val="restart"/>
          </w:tcPr>
          <w:p>
            <w:pPr>
              <w:ind w:left="440"/>
              <w:spacing w:after="0"/>
              <w:rPr>
                <w:sz w:val="20"/>
                <w:szCs w:val="20"/>
                <w:color w:val="auto"/>
              </w:rPr>
            </w:pPr>
            <w:r>
              <w:rPr>
                <w:rFonts w:ascii="Arial" w:cs="Arial" w:eastAsia="Arial" w:hAnsi="Arial"/>
                <w:sz w:val="20"/>
                <w:szCs w:val="20"/>
                <w:color w:val="auto"/>
              </w:rPr>
              <w:t>0</w:t>
            </w: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tcBorders>
              <w:right w:val="single" w:sz="8" w:color="auto"/>
            </w:tcBorders>
          </w:tcPr>
          <w:p>
            <w:pPr>
              <w:spacing w:after="0"/>
              <w:rPr>
                <w:sz w:val="6"/>
                <w:szCs w:val="6"/>
                <w:color w:val="auto"/>
              </w:rPr>
            </w:pPr>
          </w:p>
        </w:tc>
        <w:tc>
          <w:tcPr>
            <w:tcW w:w="636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580" w:type="dxa"/>
            <w:vAlign w:val="bottom"/>
          </w:tcPr>
          <w:p>
            <w:pPr>
              <w:spacing w:after="0"/>
              <w:rPr>
                <w:sz w:val="9"/>
                <w:szCs w:val="9"/>
                <w:color w:val="auto"/>
              </w:rPr>
            </w:pPr>
          </w:p>
        </w:tc>
        <w:tc>
          <w:tcPr>
            <w:tcW w:w="1260" w:type="dxa"/>
            <w:vAlign w:val="bottom"/>
            <w:tcBorders>
              <w:bottom w:val="single" w:sz="8" w:color="auto"/>
              <w:right w:val="single" w:sz="8" w:color="auto"/>
            </w:tcBorders>
          </w:tcPr>
          <w:p>
            <w:pPr>
              <w:spacing w:after="0"/>
              <w:rPr>
                <w:sz w:val="9"/>
                <w:szCs w:val="9"/>
                <w:color w:val="auto"/>
              </w:rPr>
            </w:pPr>
          </w:p>
        </w:tc>
        <w:tc>
          <w:tcPr>
            <w:tcW w:w="636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58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260" w:type="dxa"/>
            <w:vAlign w:val="bottom"/>
            <w:tcBorders>
              <w:right w:val="single" w:sz="8" w:color="auto"/>
            </w:tcBorders>
            <w:vMerge w:val="restart"/>
          </w:tcPr>
          <w:p>
            <w:pPr>
              <w:ind w:left="560"/>
              <w:spacing w:after="0"/>
              <w:rPr>
                <w:sz w:val="20"/>
                <w:szCs w:val="20"/>
                <w:color w:val="auto"/>
              </w:rPr>
            </w:pPr>
            <w:r>
              <w:rPr>
                <w:rFonts w:ascii="Arial" w:cs="Arial" w:eastAsia="Arial" w:hAnsi="Arial"/>
                <w:sz w:val="29"/>
                <w:szCs w:val="29"/>
                <w:b w:val="1"/>
                <w:bCs w:val="1"/>
                <w:color w:val="auto"/>
              </w:rPr>
              <w:t>6</w:t>
            </w:r>
          </w:p>
        </w:tc>
        <w:tc>
          <w:tcPr>
            <w:tcW w:w="6360" w:type="dxa"/>
            <w:vAlign w:val="bottom"/>
          </w:tcPr>
          <w:p>
            <w:pPr>
              <w:ind w:left="120"/>
              <w:spacing w:after="0"/>
              <w:rPr>
                <w:sz w:val="20"/>
                <w:szCs w:val="20"/>
                <w:color w:val="auto"/>
              </w:rPr>
            </w:pPr>
            <w:r>
              <w:rPr>
                <w:rFonts w:ascii="Arial" w:cs="Arial" w:eastAsia="Arial" w:hAnsi="Arial"/>
                <w:sz w:val="16"/>
                <w:szCs w:val="16"/>
                <w:color w:val="auto"/>
              </w:rPr>
              <w:t>SHARED VOTING POWER</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1580" w:type="dxa"/>
            <w:vAlign w:val="bottom"/>
            <w:vMerge w:val="continue"/>
          </w:tcPr>
          <w:p>
            <w:pPr>
              <w:spacing w:after="0"/>
              <w:rPr>
                <w:sz w:val="8"/>
                <w:szCs w:val="8"/>
                <w:color w:val="auto"/>
              </w:rPr>
            </w:pPr>
          </w:p>
        </w:tc>
        <w:tc>
          <w:tcPr>
            <w:tcW w:w="1260" w:type="dxa"/>
            <w:vAlign w:val="bottom"/>
            <w:tcBorders>
              <w:right w:val="single" w:sz="8" w:color="auto"/>
            </w:tcBorders>
            <w:vMerge w:val="continue"/>
          </w:tcPr>
          <w:p>
            <w:pPr>
              <w:spacing w:after="0"/>
              <w:rPr>
                <w:sz w:val="8"/>
                <w:szCs w:val="8"/>
                <w:color w:val="auto"/>
              </w:rPr>
            </w:pPr>
          </w:p>
        </w:tc>
        <w:tc>
          <w:tcPr>
            <w:tcW w:w="8400" w:type="dxa"/>
            <w:vAlign w:val="bottom"/>
            <w:gridSpan w:val="2"/>
            <w:vMerge w:val="restart"/>
          </w:tcPr>
          <w:p>
            <w:pPr>
              <w:ind w:left="440"/>
              <w:spacing w:after="0"/>
              <w:rPr>
                <w:sz w:val="20"/>
                <w:szCs w:val="20"/>
                <w:color w:val="auto"/>
              </w:rPr>
            </w:pPr>
            <w:r>
              <w:rPr>
                <w:rFonts w:ascii="Arial" w:cs="Arial" w:eastAsia="Arial" w:hAnsi="Arial"/>
                <w:sz w:val="20"/>
                <w:szCs w:val="20"/>
                <w:color w:val="auto"/>
                <w:w w:val="91"/>
              </w:rPr>
              <w:t>6,648,046 shares of Class A Common Stock (including 869,649 shares of Class A Common Stock</w:t>
            </w:r>
          </w:p>
        </w:tc>
        <w:tc>
          <w:tcPr>
            <w:tcW w:w="0" w:type="dxa"/>
            <w:vAlign w:val="bottom"/>
          </w:tcPr>
          <w:p>
            <w:pPr>
              <w:spacing w:after="0"/>
              <w:rPr>
                <w:sz w:val="1"/>
                <w:szCs w:val="1"/>
                <w:color w:val="auto"/>
              </w:rPr>
            </w:pPr>
          </w:p>
        </w:tc>
      </w:tr>
      <w:tr>
        <w:trPr>
          <w:trHeight w:val="128"/>
        </w:trPr>
        <w:tc>
          <w:tcPr>
            <w:tcW w:w="1580" w:type="dxa"/>
            <w:vAlign w:val="bottom"/>
            <w:vMerge w:val="restart"/>
          </w:tcPr>
          <w:p>
            <w:pPr>
              <w:jc w:val="center"/>
              <w:spacing w:after="0"/>
              <w:rPr>
                <w:sz w:val="20"/>
                <w:szCs w:val="20"/>
                <w:color w:val="auto"/>
              </w:rPr>
            </w:pPr>
            <w:r>
              <w:rPr>
                <w:rFonts w:ascii="Arial" w:cs="Arial" w:eastAsia="Arial" w:hAnsi="Arial"/>
                <w:sz w:val="16"/>
                <w:szCs w:val="16"/>
                <w:color w:val="auto"/>
                <w:w w:val="94"/>
              </w:rPr>
              <w:t>SHARES</w:t>
            </w:r>
          </w:p>
        </w:tc>
        <w:tc>
          <w:tcPr>
            <w:tcW w:w="1260" w:type="dxa"/>
            <w:vAlign w:val="bottom"/>
            <w:tcBorders>
              <w:right w:val="single" w:sz="8" w:color="auto"/>
            </w:tcBorders>
          </w:tcPr>
          <w:p>
            <w:pPr>
              <w:spacing w:after="0"/>
              <w:rPr>
                <w:sz w:val="11"/>
                <w:szCs w:val="11"/>
                <w:color w:val="auto"/>
              </w:rPr>
            </w:pPr>
          </w:p>
        </w:tc>
        <w:tc>
          <w:tcPr>
            <w:tcW w:w="84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580" w:type="dxa"/>
            <w:vAlign w:val="bottom"/>
            <w:vMerge w:val="continue"/>
          </w:tcPr>
          <w:p>
            <w:pPr>
              <w:spacing w:after="0"/>
              <w:rPr>
                <w:sz w:val="6"/>
                <w:szCs w:val="6"/>
                <w:color w:val="auto"/>
              </w:rPr>
            </w:pPr>
          </w:p>
        </w:tc>
        <w:tc>
          <w:tcPr>
            <w:tcW w:w="1260" w:type="dxa"/>
            <w:vAlign w:val="bottom"/>
            <w:tcBorders>
              <w:right w:val="single" w:sz="8" w:color="auto"/>
            </w:tcBorders>
          </w:tcPr>
          <w:p>
            <w:pPr>
              <w:spacing w:after="0"/>
              <w:rPr>
                <w:sz w:val="6"/>
                <w:szCs w:val="6"/>
                <w:color w:val="auto"/>
              </w:rPr>
            </w:pPr>
          </w:p>
        </w:tc>
        <w:tc>
          <w:tcPr>
            <w:tcW w:w="6360" w:type="dxa"/>
            <w:vAlign w:val="bottom"/>
            <w:vMerge w:val="restart"/>
          </w:tcPr>
          <w:p>
            <w:pPr>
              <w:ind w:left="440"/>
              <w:spacing w:after="0"/>
              <w:rPr>
                <w:sz w:val="20"/>
                <w:szCs w:val="20"/>
                <w:color w:val="auto"/>
              </w:rPr>
            </w:pPr>
            <w:r>
              <w:rPr>
                <w:rFonts w:ascii="Arial" w:cs="Arial" w:eastAsia="Arial" w:hAnsi="Arial"/>
                <w:sz w:val="20"/>
                <w:szCs w:val="20"/>
                <w:color w:val="auto"/>
              </w:rPr>
              <w:t>issuable upon exercise of warrants)* (see Item 4)</w:t>
            </w: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58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260" w:type="dxa"/>
            <w:vAlign w:val="bottom"/>
            <w:tcBorders>
              <w:right w:val="single" w:sz="8" w:color="auto"/>
            </w:tcBorders>
          </w:tcPr>
          <w:p>
            <w:pPr>
              <w:spacing w:after="0"/>
              <w:rPr>
                <w:sz w:val="17"/>
                <w:szCs w:val="17"/>
                <w:color w:val="auto"/>
              </w:rPr>
            </w:pPr>
          </w:p>
        </w:tc>
        <w:tc>
          <w:tcPr>
            <w:tcW w:w="636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58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260" w:type="dxa"/>
            <w:vAlign w:val="bottom"/>
            <w:tcBorders>
              <w:bottom w:val="single" w:sz="8" w:color="auto"/>
              <w:right w:val="single" w:sz="8" w:color="auto"/>
            </w:tcBorders>
          </w:tcPr>
          <w:p>
            <w:pPr>
              <w:spacing w:after="0"/>
              <w:rPr>
                <w:sz w:val="6"/>
                <w:szCs w:val="6"/>
                <w:color w:val="auto"/>
              </w:rPr>
            </w:pPr>
          </w:p>
        </w:tc>
        <w:tc>
          <w:tcPr>
            <w:tcW w:w="6360" w:type="dxa"/>
            <w:vAlign w:val="bottom"/>
            <w:tcBorders>
              <w:bottom w:val="single" w:sz="8" w:color="auto"/>
            </w:tcBorders>
          </w:tcPr>
          <w:p>
            <w:pPr>
              <w:spacing w:after="0"/>
              <w:rPr>
                <w:sz w:val="6"/>
                <w:szCs w:val="6"/>
                <w:color w:val="auto"/>
              </w:rPr>
            </w:pPr>
          </w:p>
        </w:tc>
        <w:tc>
          <w:tcPr>
            <w:tcW w:w="2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580" w:type="dxa"/>
            <w:vAlign w:val="bottom"/>
            <w:vMerge w:val="continue"/>
          </w:tcPr>
          <w:p>
            <w:pPr>
              <w:spacing w:after="0"/>
              <w:rPr>
                <w:sz w:val="9"/>
                <w:szCs w:val="9"/>
                <w:color w:val="auto"/>
              </w:rPr>
            </w:pPr>
          </w:p>
        </w:tc>
        <w:tc>
          <w:tcPr>
            <w:tcW w:w="1260" w:type="dxa"/>
            <w:vAlign w:val="bottom"/>
            <w:tcBorders>
              <w:right w:val="single" w:sz="8" w:color="auto"/>
            </w:tcBorders>
            <w:vMerge w:val="restart"/>
          </w:tcPr>
          <w:p>
            <w:pPr>
              <w:ind w:left="560"/>
              <w:spacing w:after="0" w:line="308" w:lineRule="exact"/>
              <w:rPr>
                <w:sz w:val="20"/>
                <w:szCs w:val="20"/>
                <w:color w:val="auto"/>
              </w:rPr>
            </w:pPr>
            <w:r>
              <w:rPr>
                <w:rFonts w:ascii="Arial" w:cs="Arial" w:eastAsia="Arial" w:hAnsi="Arial"/>
                <w:sz w:val="29"/>
                <w:szCs w:val="29"/>
                <w:b w:val="1"/>
                <w:bCs w:val="1"/>
                <w:color w:val="auto"/>
              </w:rPr>
              <w:t>7</w:t>
            </w:r>
          </w:p>
        </w:tc>
        <w:tc>
          <w:tcPr>
            <w:tcW w:w="6360" w:type="dxa"/>
            <w:vAlign w:val="bottom"/>
            <w:vMerge w:val="restart"/>
          </w:tcPr>
          <w:p>
            <w:pPr>
              <w:ind w:left="120"/>
              <w:spacing w:after="0"/>
              <w:rPr>
                <w:sz w:val="20"/>
                <w:szCs w:val="20"/>
                <w:color w:val="auto"/>
              </w:rPr>
            </w:pPr>
            <w:r>
              <w:rPr>
                <w:rFonts w:ascii="Arial" w:cs="Arial" w:eastAsia="Arial" w:hAnsi="Arial"/>
                <w:sz w:val="16"/>
                <w:szCs w:val="16"/>
                <w:color w:val="auto"/>
              </w:rPr>
              <w:t>SOLE DISPOSITIVE POWER</w:t>
            </w: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58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260" w:type="dxa"/>
            <w:vAlign w:val="bottom"/>
            <w:tcBorders>
              <w:right w:val="single" w:sz="8" w:color="auto"/>
            </w:tcBorders>
            <w:vMerge w:val="continue"/>
          </w:tcPr>
          <w:p>
            <w:pPr>
              <w:spacing w:after="0"/>
              <w:rPr>
                <w:sz w:val="11"/>
                <w:szCs w:val="11"/>
                <w:color w:val="auto"/>
              </w:rPr>
            </w:pPr>
          </w:p>
        </w:tc>
        <w:tc>
          <w:tcPr>
            <w:tcW w:w="6360" w:type="dxa"/>
            <w:vAlign w:val="bottom"/>
            <w:vMerge w:val="continue"/>
          </w:tcPr>
          <w:p>
            <w:pPr>
              <w:spacing w:after="0"/>
              <w:rPr>
                <w:sz w:val="11"/>
                <w:szCs w:val="11"/>
                <w:color w:val="auto"/>
              </w:rPr>
            </w:pPr>
          </w:p>
        </w:tc>
        <w:tc>
          <w:tcPr>
            <w:tcW w:w="2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580" w:type="dxa"/>
            <w:vAlign w:val="bottom"/>
            <w:vMerge w:val="continue"/>
          </w:tcPr>
          <w:p>
            <w:pPr>
              <w:spacing w:after="0"/>
              <w:rPr>
                <w:sz w:val="6"/>
                <w:szCs w:val="6"/>
                <w:color w:val="auto"/>
              </w:rPr>
            </w:pPr>
          </w:p>
        </w:tc>
        <w:tc>
          <w:tcPr>
            <w:tcW w:w="1260" w:type="dxa"/>
            <w:vAlign w:val="bottom"/>
            <w:tcBorders>
              <w:right w:val="single" w:sz="8" w:color="auto"/>
            </w:tcBorders>
            <w:vMerge w:val="continue"/>
          </w:tcPr>
          <w:p>
            <w:pPr>
              <w:spacing w:after="0"/>
              <w:rPr>
                <w:sz w:val="6"/>
                <w:szCs w:val="6"/>
                <w:color w:val="auto"/>
              </w:rPr>
            </w:pPr>
          </w:p>
        </w:tc>
        <w:tc>
          <w:tcPr>
            <w:tcW w:w="6360" w:type="dxa"/>
            <w:vAlign w:val="bottom"/>
            <w:vMerge w:val="restart"/>
          </w:tcPr>
          <w:p>
            <w:pPr>
              <w:ind w:left="440"/>
              <w:spacing w:after="0"/>
              <w:rPr>
                <w:sz w:val="20"/>
                <w:szCs w:val="20"/>
                <w:color w:val="auto"/>
              </w:rPr>
            </w:pPr>
            <w:r>
              <w:rPr>
                <w:rFonts w:ascii="Arial" w:cs="Arial" w:eastAsia="Arial" w:hAnsi="Arial"/>
                <w:sz w:val="20"/>
                <w:szCs w:val="20"/>
                <w:color w:val="auto"/>
              </w:rPr>
              <w:t>0</w:t>
            </w: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58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260" w:type="dxa"/>
            <w:vAlign w:val="bottom"/>
            <w:tcBorders>
              <w:right w:val="single" w:sz="8" w:color="auto"/>
            </w:tcBorders>
          </w:tcPr>
          <w:p>
            <w:pPr>
              <w:spacing w:after="0"/>
              <w:rPr>
                <w:sz w:val="17"/>
                <w:szCs w:val="17"/>
                <w:color w:val="auto"/>
              </w:rPr>
            </w:pPr>
          </w:p>
        </w:tc>
        <w:tc>
          <w:tcPr>
            <w:tcW w:w="636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580" w:type="dxa"/>
            <w:vAlign w:val="bottom"/>
            <w:vMerge w:val="restart"/>
          </w:tcPr>
          <w:p>
            <w:pPr>
              <w:jc w:val="center"/>
              <w:spacing w:after="0"/>
              <w:rPr>
                <w:sz w:val="20"/>
                <w:szCs w:val="20"/>
                <w:color w:val="auto"/>
              </w:rPr>
            </w:pPr>
            <w:r>
              <w:rPr>
                <w:rFonts w:ascii="Arial" w:cs="Arial" w:eastAsia="Arial" w:hAnsi="Arial"/>
                <w:sz w:val="16"/>
                <w:szCs w:val="16"/>
                <w:color w:val="auto"/>
                <w:w w:val="95"/>
              </w:rPr>
              <w:t>PERSON WITH</w:t>
            </w:r>
          </w:p>
        </w:tc>
        <w:tc>
          <w:tcPr>
            <w:tcW w:w="1260" w:type="dxa"/>
            <w:vAlign w:val="bottom"/>
            <w:tcBorders>
              <w:bottom w:val="single" w:sz="8" w:color="auto"/>
              <w:right w:val="single" w:sz="8" w:color="auto"/>
            </w:tcBorders>
          </w:tcPr>
          <w:p>
            <w:pPr>
              <w:spacing w:after="0"/>
              <w:rPr>
                <w:sz w:val="6"/>
                <w:szCs w:val="6"/>
                <w:color w:val="auto"/>
              </w:rPr>
            </w:pPr>
          </w:p>
        </w:tc>
        <w:tc>
          <w:tcPr>
            <w:tcW w:w="6360" w:type="dxa"/>
            <w:vAlign w:val="bottom"/>
            <w:tcBorders>
              <w:bottom w:val="single" w:sz="8" w:color="auto"/>
            </w:tcBorders>
          </w:tcPr>
          <w:p>
            <w:pPr>
              <w:spacing w:after="0"/>
              <w:rPr>
                <w:sz w:val="6"/>
                <w:szCs w:val="6"/>
                <w:color w:val="auto"/>
              </w:rPr>
            </w:pPr>
          </w:p>
        </w:tc>
        <w:tc>
          <w:tcPr>
            <w:tcW w:w="2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580" w:type="dxa"/>
            <w:vAlign w:val="bottom"/>
            <w:vMerge w:val="continue"/>
          </w:tcPr>
          <w:p>
            <w:pPr>
              <w:spacing w:after="0"/>
              <w:rPr>
                <w:sz w:val="9"/>
                <w:szCs w:val="9"/>
                <w:color w:val="auto"/>
              </w:rPr>
            </w:pPr>
          </w:p>
        </w:tc>
        <w:tc>
          <w:tcPr>
            <w:tcW w:w="1260" w:type="dxa"/>
            <w:vAlign w:val="bottom"/>
            <w:tcBorders>
              <w:right w:val="single" w:sz="8" w:color="auto"/>
            </w:tcBorders>
            <w:vMerge w:val="restart"/>
          </w:tcPr>
          <w:p>
            <w:pPr>
              <w:ind w:left="560"/>
              <w:spacing w:after="0"/>
              <w:rPr>
                <w:sz w:val="20"/>
                <w:szCs w:val="20"/>
                <w:color w:val="auto"/>
              </w:rPr>
            </w:pPr>
            <w:r>
              <w:rPr>
                <w:rFonts w:ascii="Arial" w:cs="Arial" w:eastAsia="Arial" w:hAnsi="Arial"/>
                <w:sz w:val="29"/>
                <w:szCs w:val="29"/>
                <w:b w:val="1"/>
                <w:bCs w:val="1"/>
                <w:color w:val="auto"/>
              </w:rPr>
              <w:t>8</w:t>
            </w:r>
          </w:p>
        </w:tc>
        <w:tc>
          <w:tcPr>
            <w:tcW w:w="6360" w:type="dxa"/>
            <w:vAlign w:val="bottom"/>
            <w:vMerge w:val="restart"/>
          </w:tcPr>
          <w:p>
            <w:pPr>
              <w:ind w:left="120"/>
              <w:spacing w:after="0"/>
              <w:rPr>
                <w:sz w:val="20"/>
                <w:szCs w:val="20"/>
                <w:color w:val="auto"/>
              </w:rPr>
            </w:pPr>
            <w:r>
              <w:rPr>
                <w:rFonts w:ascii="Arial" w:cs="Arial" w:eastAsia="Arial" w:hAnsi="Arial"/>
                <w:sz w:val="16"/>
                <w:szCs w:val="16"/>
                <w:color w:val="auto"/>
              </w:rPr>
              <w:t>SHARED DISPOSITIVE POWER</w:t>
            </w: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580" w:type="dxa"/>
            <w:vAlign w:val="bottom"/>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636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580" w:type="dxa"/>
            <w:vAlign w:val="bottom"/>
          </w:tcPr>
          <w:p>
            <w:pPr>
              <w:spacing w:after="0"/>
              <w:rPr>
                <w:sz w:val="14"/>
                <w:szCs w:val="14"/>
                <w:color w:val="auto"/>
              </w:rPr>
            </w:pPr>
          </w:p>
        </w:tc>
        <w:tc>
          <w:tcPr>
            <w:tcW w:w="1260" w:type="dxa"/>
            <w:vAlign w:val="bottom"/>
            <w:tcBorders>
              <w:right w:val="single" w:sz="8" w:color="auto"/>
            </w:tcBorders>
            <w:vMerge w:val="continue"/>
          </w:tcPr>
          <w:p>
            <w:pPr>
              <w:spacing w:after="0"/>
              <w:rPr>
                <w:sz w:val="14"/>
                <w:szCs w:val="14"/>
                <w:color w:val="auto"/>
              </w:rPr>
            </w:pPr>
          </w:p>
        </w:tc>
        <w:tc>
          <w:tcPr>
            <w:tcW w:w="8400" w:type="dxa"/>
            <w:vAlign w:val="bottom"/>
            <w:gridSpan w:val="2"/>
            <w:vMerge w:val="restart"/>
          </w:tcPr>
          <w:p>
            <w:pPr>
              <w:ind w:left="440"/>
              <w:spacing w:after="0"/>
              <w:rPr>
                <w:sz w:val="20"/>
                <w:szCs w:val="20"/>
                <w:color w:val="auto"/>
              </w:rPr>
            </w:pPr>
            <w:r>
              <w:rPr>
                <w:rFonts w:ascii="Arial" w:cs="Arial" w:eastAsia="Arial" w:hAnsi="Arial"/>
                <w:sz w:val="20"/>
                <w:szCs w:val="20"/>
                <w:color w:val="auto"/>
                <w:w w:val="91"/>
              </w:rPr>
              <w:t>6,648,046 shares of Class A Common Stock (including 869,649 shares of Class A Common Stock</w:t>
            </w:r>
          </w:p>
        </w:tc>
        <w:tc>
          <w:tcPr>
            <w:tcW w:w="0" w:type="dxa"/>
            <w:vAlign w:val="bottom"/>
          </w:tcPr>
          <w:p>
            <w:pPr>
              <w:spacing w:after="0"/>
              <w:rPr>
                <w:sz w:val="1"/>
                <w:szCs w:val="1"/>
                <w:color w:val="auto"/>
              </w:rPr>
            </w:pPr>
          </w:p>
        </w:tc>
      </w:tr>
      <w:tr>
        <w:trPr>
          <w:trHeight w:val="59"/>
        </w:trPr>
        <w:tc>
          <w:tcPr>
            <w:tcW w:w="1580" w:type="dxa"/>
            <w:vAlign w:val="bottom"/>
          </w:tcPr>
          <w:p>
            <w:pPr>
              <w:spacing w:after="0"/>
              <w:rPr>
                <w:sz w:val="5"/>
                <w:szCs w:val="5"/>
                <w:color w:val="auto"/>
              </w:rPr>
            </w:pPr>
          </w:p>
        </w:tc>
        <w:tc>
          <w:tcPr>
            <w:tcW w:w="1260" w:type="dxa"/>
            <w:vAlign w:val="bottom"/>
            <w:tcBorders>
              <w:right w:val="single" w:sz="8" w:color="auto"/>
            </w:tcBorders>
          </w:tcPr>
          <w:p>
            <w:pPr>
              <w:spacing w:after="0"/>
              <w:rPr>
                <w:sz w:val="5"/>
                <w:szCs w:val="5"/>
                <w:color w:val="auto"/>
              </w:rPr>
            </w:pPr>
          </w:p>
        </w:tc>
        <w:tc>
          <w:tcPr>
            <w:tcW w:w="84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1580" w:type="dxa"/>
            <w:vAlign w:val="bottom"/>
          </w:tcPr>
          <w:p>
            <w:pPr>
              <w:spacing w:after="0"/>
              <w:rPr>
                <w:sz w:val="21"/>
                <w:szCs w:val="21"/>
                <w:color w:val="auto"/>
              </w:rPr>
            </w:pPr>
          </w:p>
        </w:tc>
        <w:tc>
          <w:tcPr>
            <w:tcW w:w="1260" w:type="dxa"/>
            <w:vAlign w:val="bottom"/>
            <w:tcBorders>
              <w:right w:val="single" w:sz="8" w:color="auto"/>
            </w:tcBorders>
          </w:tcPr>
          <w:p>
            <w:pPr>
              <w:spacing w:after="0"/>
              <w:rPr>
                <w:sz w:val="21"/>
                <w:szCs w:val="21"/>
                <w:color w:val="auto"/>
              </w:rPr>
            </w:pPr>
          </w:p>
        </w:tc>
        <w:tc>
          <w:tcPr>
            <w:tcW w:w="6360" w:type="dxa"/>
            <w:vAlign w:val="bottom"/>
          </w:tcPr>
          <w:p>
            <w:pPr>
              <w:ind w:left="440"/>
              <w:spacing w:after="0"/>
              <w:rPr>
                <w:sz w:val="20"/>
                <w:szCs w:val="20"/>
                <w:color w:val="auto"/>
              </w:rPr>
            </w:pPr>
            <w:r>
              <w:rPr>
                <w:rFonts w:ascii="Arial" w:cs="Arial" w:eastAsia="Arial" w:hAnsi="Arial"/>
                <w:sz w:val="20"/>
                <w:szCs w:val="20"/>
                <w:color w:val="auto"/>
              </w:rPr>
              <w:t>issuable upon exercise of warrants)* (see Item 4)</w:t>
            </w:r>
          </w:p>
        </w:tc>
        <w:tc>
          <w:tcPr>
            <w:tcW w:w="2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580" w:type="dxa"/>
            <w:vAlign w:val="bottom"/>
            <w:tcBorders>
              <w:bottom w:val="single" w:sz="8" w:color="auto"/>
            </w:tcBorders>
          </w:tcPr>
          <w:p>
            <w:pPr>
              <w:spacing w:after="0"/>
              <w:rPr>
                <w:sz w:val="9"/>
                <w:szCs w:val="9"/>
                <w:color w:val="auto"/>
              </w:rPr>
            </w:pPr>
          </w:p>
        </w:tc>
        <w:tc>
          <w:tcPr>
            <w:tcW w:w="1260" w:type="dxa"/>
            <w:vAlign w:val="bottom"/>
            <w:tcBorders>
              <w:bottom w:val="single" w:sz="8" w:color="auto"/>
              <w:right w:val="single" w:sz="8" w:color="auto"/>
            </w:tcBorders>
          </w:tcPr>
          <w:p>
            <w:pPr>
              <w:spacing w:after="0"/>
              <w:rPr>
                <w:sz w:val="9"/>
                <w:szCs w:val="9"/>
                <w:color w:val="auto"/>
              </w:rPr>
            </w:pPr>
          </w:p>
        </w:tc>
        <w:tc>
          <w:tcPr>
            <w:tcW w:w="636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58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9</w:t>
            </w:r>
          </w:p>
        </w:tc>
        <w:tc>
          <w:tcPr>
            <w:tcW w:w="7620" w:type="dxa"/>
            <w:vAlign w:val="bottom"/>
            <w:gridSpan w:val="2"/>
          </w:tcPr>
          <w:p>
            <w:pPr>
              <w:ind w:left="120"/>
              <w:spacing w:after="0"/>
              <w:rPr>
                <w:sz w:val="20"/>
                <w:szCs w:val="20"/>
                <w:color w:val="auto"/>
              </w:rPr>
            </w:pPr>
            <w:r>
              <w:rPr>
                <w:rFonts w:ascii="Arial" w:cs="Arial" w:eastAsia="Arial" w:hAnsi="Arial"/>
                <w:sz w:val="16"/>
                <w:szCs w:val="16"/>
                <w:color w:val="auto"/>
              </w:rPr>
              <w:t>AGGREGATE AMOUNT BENEFICIALLY OWNED BY EACH REPORTING PERSON</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580" w:type="dxa"/>
            <w:vAlign w:val="bottom"/>
            <w:vMerge w:val="continue"/>
          </w:tcPr>
          <w:p>
            <w:pPr>
              <w:spacing w:after="0"/>
              <w:rPr>
                <w:sz w:val="14"/>
                <w:szCs w:val="14"/>
                <w:color w:val="auto"/>
              </w:rPr>
            </w:pPr>
          </w:p>
        </w:tc>
        <w:tc>
          <w:tcPr>
            <w:tcW w:w="9660" w:type="dxa"/>
            <w:vAlign w:val="bottom"/>
            <w:gridSpan w:val="3"/>
            <w:vMerge w:val="restart"/>
          </w:tcPr>
          <w:p>
            <w:pPr>
              <w:ind w:left="460"/>
              <w:spacing w:after="0"/>
              <w:rPr>
                <w:sz w:val="20"/>
                <w:szCs w:val="20"/>
                <w:color w:val="auto"/>
              </w:rPr>
            </w:pPr>
            <w:r>
              <w:rPr>
                <w:rFonts w:ascii="Arial" w:cs="Arial" w:eastAsia="Arial" w:hAnsi="Arial"/>
                <w:sz w:val="20"/>
                <w:szCs w:val="20"/>
                <w:color w:val="auto"/>
                <w:w w:val="92"/>
              </w:rPr>
              <w:t>6,648,046 shares of Class A Common Stock (including 869,649 shares of Class A Common Stock issuable upon</w:t>
            </w:r>
          </w:p>
        </w:tc>
        <w:tc>
          <w:tcPr>
            <w:tcW w:w="0" w:type="dxa"/>
            <w:vAlign w:val="bottom"/>
          </w:tcPr>
          <w:p>
            <w:pPr>
              <w:spacing w:after="0"/>
              <w:rPr>
                <w:sz w:val="1"/>
                <w:szCs w:val="1"/>
                <w:color w:val="auto"/>
              </w:rPr>
            </w:pPr>
          </w:p>
        </w:tc>
      </w:tr>
      <w:tr>
        <w:trPr>
          <w:trHeight w:val="59"/>
        </w:trPr>
        <w:tc>
          <w:tcPr>
            <w:tcW w:w="1580" w:type="dxa"/>
            <w:vAlign w:val="bottom"/>
          </w:tcPr>
          <w:p>
            <w:pPr>
              <w:spacing w:after="0"/>
              <w:rPr>
                <w:sz w:val="5"/>
                <w:szCs w:val="5"/>
                <w:color w:val="auto"/>
              </w:rPr>
            </w:pPr>
          </w:p>
        </w:tc>
        <w:tc>
          <w:tcPr>
            <w:tcW w:w="96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1580" w:type="dxa"/>
            <w:vAlign w:val="bottom"/>
          </w:tcPr>
          <w:p>
            <w:pPr>
              <w:spacing w:after="0"/>
              <w:rPr>
                <w:sz w:val="21"/>
                <w:szCs w:val="21"/>
                <w:color w:val="auto"/>
              </w:rPr>
            </w:pPr>
          </w:p>
        </w:tc>
        <w:tc>
          <w:tcPr>
            <w:tcW w:w="7620" w:type="dxa"/>
            <w:vAlign w:val="bottom"/>
            <w:gridSpan w:val="2"/>
          </w:tcPr>
          <w:p>
            <w:pPr>
              <w:ind w:left="460"/>
              <w:spacing w:after="0"/>
              <w:rPr>
                <w:sz w:val="20"/>
                <w:szCs w:val="20"/>
                <w:color w:val="auto"/>
              </w:rPr>
            </w:pPr>
            <w:r>
              <w:rPr>
                <w:rFonts w:ascii="Arial" w:cs="Arial" w:eastAsia="Arial" w:hAnsi="Arial"/>
                <w:sz w:val="20"/>
                <w:szCs w:val="20"/>
                <w:color w:val="auto"/>
              </w:rPr>
              <w:t>exercise of warrants)* (see Item 4)</w:t>
            </w:r>
          </w:p>
        </w:tc>
        <w:tc>
          <w:tcPr>
            <w:tcW w:w="2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58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636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580" w:type="dxa"/>
            <w:vAlign w:val="bottom"/>
          </w:tcPr>
          <w:p>
            <w:pPr>
              <w:jc w:val="center"/>
              <w:spacing w:after="0" w:line="195" w:lineRule="exact"/>
              <w:rPr>
                <w:sz w:val="20"/>
                <w:szCs w:val="20"/>
                <w:color w:val="auto"/>
              </w:rPr>
            </w:pPr>
            <w:r>
              <w:rPr>
                <w:rFonts w:ascii="Arial" w:cs="Arial" w:eastAsia="Arial" w:hAnsi="Arial"/>
                <w:sz w:val="22"/>
                <w:szCs w:val="22"/>
                <w:b w:val="1"/>
                <w:bCs w:val="1"/>
                <w:color w:val="auto"/>
              </w:rPr>
              <w:t>10</w:t>
            </w:r>
          </w:p>
        </w:tc>
        <w:tc>
          <w:tcPr>
            <w:tcW w:w="7620" w:type="dxa"/>
            <w:vAlign w:val="bottom"/>
            <w:gridSpan w:val="2"/>
            <w:vMerge w:val="restart"/>
          </w:tcPr>
          <w:p>
            <w:pPr>
              <w:ind w:left="12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2040" w:type="dxa"/>
            <w:vAlign w:val="bottom"/>
          </w:tcPr>
          <w:p>
            <w:pPr>
              <w:ind w:left="114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580" w:type="dxa"/>
            <w:vAlign w:val="bottom"/>
          </w:tcPr>
          <w:p>
            <w:pPr>
              <w:spacing w:after="0"/>
              <w:rPr>
                <w:sz w:val="4"/>
                <w:szCs w:val="4"/>
                <w:color w:val="auto"/>
              </w:rPr>
            </w:pPr>
          </w:p>
        </w:tc>
        <w:tc>
          <w:tcPr>
            <w:tcW w:w="7620" w:type="dxa"/>
            <w:vAlign w:val="bottom"/>
            <w:gridSpan w:val="2"/>
            <w:vMerge w:val="continue"/>
          </w:tcPr>
          <w:p>
            <w:pPr>
              <w:spacing w:after="0"/>
              <w:rPr>
                <w:sz w:val="4"/>
                <w:szCs w:val="4"/>
                <w:color w:val="auto"/>
              </w:rPr>
            </w:pPr>
          </w:p>
        </w:tc>
        <w:tc>
          <w:tcPr>
            <w:tcW w:w="2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5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636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58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11</w:t>
            </w:r>
          </w:p>
        </w:tc>
        <w:tc>
          <w:tcPr>
            <w:tcW w:w="7620" w:type="dxa"/>
            <w:vAlign w:val="bottom"/>
            <w:gridSpan w:val="2"/>
          </w:tcPr>
          <w:p>
            <w:pPr>
              <w:ind w:left="120"/>
              <w:spacing w:after="0"/>
              <w:rPr>
                <w:sz w:val="20"/>
                <w:szCs w:val="20"/>
                <w:color w:val="auto"/>
              </w:rPr>
            </w:pPr>
            <w:r>
              <w:rPr>
                <w:rFonts w:ascii="Arial" w:cs="Arial" w:eastAsia="Arial" w:hAnsi="Arial"/>
                <w:sz w:val="16"/>
                <w:szCs w:val="16"/>
                <w:color w:val="auto"/>
              </w:rPr>
              <w:t>PERCENT OF CLASS REPRESENTED BY AMOUNT IN ROW (9)</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580" w:type="dxa"/>
            <w:vAlign w:val="bottom"/>
            <w:vMerge w:val="continue"/>
          </w:tcPr>
          <w:p>
            <w:pPr>
              <w:spacing w:after="0"/>
              <w:rPr>
                <w:sz w:val="14"/>
                <w:szCs w:val="14"/>
                <w:color w:val="auto"/>
              </w:rPr>
            </w:pPr>
          </w:p>
        </w:tc>
        <w:tc>
          <w:tcPr>
            <w:tcW w:w="1260" w:type="dxa"/>
            <w:vAlign w:val="bottom"/>
            <w:vMerge w:val="restart"/>
          </w:tcPr>
          <w:p>
            <w:pPr>
              <w:ind w:left="460"/>
              <w:spacing w:after="0"/>
              <w:rPr>
                <w:sz w:val="20"/>
                <w:szCs w:val="20"/>
                <w:color w:val="auto"/>
              </w:rPr>
            </w:pPr>
            <w:r>
              <w:rPr>
                <w:rFonts w:ascii="Arial" w:cs="Arial" w:eastAsia="Arial" w:hAnsi="Arial"/>
                <w:sz w:val="20"/>
                <w:szCs w:val="20"/>
                <w:color w:val="auto"/>
              </w:rPr>
              <w:t>9.99%*</w:t>
            </w:r>
          </w:p>
        </w:tc>
        <w:tc>
          <w:tcPr>
            <w:tcW w:w="63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636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58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636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58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12</w:t>
            </w:r>
          </w:p>
        </w:tc>
        <w:tc>
          <w:tcPr>
            <w:tcW w:w="7620" w:type="dxa"/>
            <w:vAlign w:val="bottom"/>
            <w:gridSpan w:val="2"/>
          </w:tcPr>
          <w:p>
            <w:pPr>
              <w:ind w:left="120"/>
              <w:spacing w:after="0"/>
              <w:rPr>
                <w:sz w:val="20"/>
                <w:szCs w:val="20"/>
                <w:color w:val="auto"/>
              </w:rPr>
            </w:pPr>
            <w:r>
              <w:rPr>
                <w:rFonts w:ascii="Arial" w:cs="Arial" w:eastAsia="Arial" w:hAnsi="Arial"/>
                <w:sz w:val="16"/>
                <w:szCs w:val="16"/>
                <w:color w:val="auto"/>
              </w:rPr>
              <w:t>TYPE OF REPORTING PERSON</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580" w:type="dxa"/>
            <w:vAlign w:val="bottom"/>
            <w:vMerge w:val="continue"/>
          </w:tcPr>
          <w:p>
            <w:pPr>
              <w:spacing w:after="0"/>
              <w:rPr>
                <w:sz w:val="14"/>
                <w:szCs w:val="14"/>
                <w:color w:val="auto"/>
              </w:rPr>
            </w:pPr>
          </w:p>
        </w:tc>
        <w:tc>
          <w:tcPr>
            <w:tcW w:w="1260" w:type="dxa"/>
            <w:vAlign w:val="bottom"/>
            <w:vMerge w:val="restart"/>
          </w:tcPr>
          <w:p>
            <w:pPr>
              <w:ind w:left="460"/>
              <w:spacing w:after="0"/>
              <w:rPr>
                <w:sz w:val="20"/>
                <w:szCs w:val="20"/>
                <w:color w:val="auto"/>
              </w:rPr>
            </w:pPr>
            <w:r>
              <w:rPr>
                <w:rFonts w:ascii="Arial" w:cs="Arial" w:eastAsia="Arial" w:hAnsi="Arial"/>
                <w:sz w:val="20"/>
                <w:szCs w:val="20"/>
                <w:color w:val="auto"/>
              </w:rPr>
              <w:t>IN, HC</w:t>
            </w:r>
          </w:p>
        </w:tc>
        <w:tc>
          <w:tcPr>
            <w:tcW w:w="63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636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 As more fully described in Item 4, 869,649 shares of Class A Common Stock are issuable upon exercise of warrants that are subject to a</w:t>
      </w:r>
    </w:p>
    <w:p>
      <w:pPr>
        <w:spacing w:after="0" w:line="3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9.99% beneficial ownership blocker and the percentage set forth on row (11) and the number of shares of Class A Common Stock set forth on rows (6), (8) and (9) give effect to such blocker.</w:t>
      </w:r>
    </w:p>
    <w:p>
      <w:pPr>
        <w:sectPr>
          <w:pgSz w:w="11900" w:h="16838" w:orient="portrait"/>
          <w:cols w:equalWidth="0" w:num="1">
            <w:col w:w="11240"/>
          </w:cols>
          <w:pgMar w:left="320" w:top="229" w:right="339" w:bottom="1440" w:gutter="0" w:footer="0" w:header="0"/>
        </w:sectPr>
      </w:pPr>
    </w:p>
    <w:bookmarkStart w:id="3" w:name="page4"/>
    <w:bookmarkEnd w:id="3"/>
    <w:p>
      <w:pPr>
        <w:spacing w:after="0"/>
        <w:tabs>
          <w:tab w:leader="none" w:pos="5360" w:val="left"/>
          <w:tab w:leader="none" w:pos="9900" w:val="left"/>
        </w:tabs>
        <w:rPr>
          <w:sz w:val="20"/>
          <w:szCs w:val="20"/>
          <w:color w:val="auto"/>
        </w:rPr>
      </w:pPr>
      <w:r>
        <w:rPr>
          <w:rFonts w:ascii="Arial" w:cs="Arial" w:eastAsia="Arial" w:hAnsi="Arial"/>
          <w:sz w:val="18"/>
          <w:szCs w:val="18"/>
          <w:b w:val="1"/>
          <w:bCs w:val="1"/>
          <w:color w:val="auto"/>
        </w:rPr>
        <w:t>CUSIP No. 92971A109</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4 of 7 Pages</w:t>
      </w:r>
    </w:p>
    <w:p>
      <w:pPr>
        <w:sectPr>
          <w:pgSz w:w="11900" w:h="16838" w:orient="portrait"/>
          <w:cols w:equalWidth="0" w:num="1">
            <w:col w:w="11240"/>
          </w:cols>
          <w:pgMar w:left="320" w:top="229" w:right="339" w:bottom="1440" w:gutter="0" w:footer="0" w:header="0"/>
        </w:sectPr>
      </w:pP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256"/>
        </w:trPr>
        <w:tc>
          <w:tcPr>
            <w:tcW w:w="1200" w:type="dxa"/>
            <w:vAlign w:val="bottom"/>
          </w:tcPr>
          <w:p>
            <w:pPr>
              <w:spacing w:after="0"/>
              <w:rPr>
                <w:sz w:val="20"/>
                <w:szCs w:val="20"/>
                <w:color w:val="auto"/>
              </w:rPr>
            </w:pPr>
            <w:r>
              <w:rPr>
                <w:rFonts w:ascii="Arial" w:cs="Arial" w:eastAsia="Arial" w:hAnsi="Arial"/>
                <w:sz w:val="20"/>
                <w:szCs w:val="20"/>
                <w:b w:val="1"/>
                <w:bCs w:val="1"/>
                <w:color w:val="auto"/>
              </w:rPr>
              <w:t>Item 1(a).</w:t>
            </w:r>
          </w:p>
        </w:tc>
        <w:tc>
          <w:tcPr>
            <w:tcW w:w="9820" w:type="dxa"/>
            <w:vAlign w:val="bottom"/>
            <w:gridSpan w:val="5"/>
          </w:tcPr>
          <w:p>
            <w:pPr>
              <w:ind w:left="480"/>
              <w:spacing w:after="0"/>
              <w:rPr>
                <w:sz w:val="20"/>
                <w:szCs w:val="20"/>
                <w:color w:val="auto"/>
              </w:rPr>
            </w:pPr>
            <w:r>
              <w:rPr>
                <w:rFonts w:ascii="Arial" w:cs="Arial" w:eastAsia="Arial" w:hAnsi="Arial"/>
                <w:sz w:val="20"/>
                <w:szCs w:val="20"/>
                <w:b w:val="1"/>
                <w:bCs w:val="1"/>
                <w:color w:val="auto"/>
              </w:rPr>
              <w:t>Name of Issuer.</w:t>
            </w:r>
          </w:p>
        </w:tc>
      </w:tr>
      <w:tr>
        <w:trPr>
          <w:trHeight w:val="414"/>
        </w:trPr>
        <w:tc>
          <w:tcPr>
            <w:tcW w:w="1200" w:type="dxa"/>
            <w:vAlign w:val="bottom"/>
          </w:tcPr>
          <w:p>
            <w:pPr>
              <w:spacing w:after="0"/>
              <w:rPr>
                <w:sz w:val="24"/>
                <w:szCs w:val="24"/>
                <w:color w:val="auto"/>
              </w:rPr>
            </w:pPr>
          </w:p>
        </w:tc>
        <w:tc>
          <w:tcPr>
            <w:tcW w:w="9820" w:type="dxa"/>
            <w:vAlign w:val="bottom"/>
            <w:gridSpan w:val="5"/>
          </w:tcPr>
          <w:p>
            <w:pPr>
              <w:ind w:left="480"/>
              <w:spacing w:after="0"/>
              <w:rPr>
                <w:sz w:val="20"/>
                <w:szCs w:val="20"/>
                <w:color w:val="auto"/>
              </w:rPr>
            </w:pPr>
            <w:r>
              <w:rPr>
                <w:rFonts w:ascii="Arial" w:cs="Arial" w:eastAsia="Arial" w:hAnsi="Arial"/>
                <w:sz w:val="20"/>
                <w:szCs w:val="20"/>
                <w:color w:val="auto"/>
              </w:rPr>
              <w:t>WM Technology, Inc. (formerly known as Silver Spike Acquisition Corp.) (the "Issuer")</w:t>
            </w:r>
          </w:p>
        </w:tc>
      </w:tr>
      <w:tr>
        <w:trPr>
          <w:trHeight w:val="483"/>
        </w:trPr>
        <w:tc>
          <w:tcPr>
            <w:tcW w:w="1200" w:type="dxa"/>
            <w:vAlign w:val="bottom"/>
          </w:tcPr>
          <w:p>
            <w:pPr>
              <w:spacing w:after="0"/>
              <w:rPr>
                <w:sz w:val="20"/>
                <w:szCs w:val="20"/>
                <w:color w:val="auto"/>
              </w:rPr>
            </w:pPr>
            <w:r>
              <w:rPr>
                <w:rFonts w:ascii="Arial" w:cs="Arial" w:eastAsia="Arial" w:hAnsi="Arial"/>
                <w:sz w:val="20"/>
                <w:szCs w:val="20"/>
                <w:b w:val="1"/>
                <w:bCs w:val="1"/>
                <w:color w:val="auto"/>
              </w:rPr>
              <w:t>Item 1(b).</w:t>
            </w:r>
          </w:p>
        </w:tc>
        <w:tc>
          <w:tcPr>
            <w:tcW w:w="6860" w:type="dxa"/>
            <w:vAlign w:val="bottom"/>
            <w:gridSpan w:val="3"/>
          </w:tcPr>
          <w:p>
            <w:pPr>
              <w:ind w:left="480"/>
              <w:spacing w:after="0"/>
              <w:rPr>
                <w:sz w:val="20"/>
                <w:szCs w:val="20"/>
                <w:color w:val="auto"/>
              </w:rPr>
            </w:pPr>
            <w:r>
              <w:rPr>
                <w:rFonts w:ascii="Arial" w:cs="Arial" w:eastAsia="Arial" w:hAnsi="Arial"/>
                <w:sz w:val="20"/>
                <w:szCs w:val="20"/>
                <w:b w:val="1"/>
                <w:bCs w:val="1"/>
                <w:color w:val="auto"/>
              </w:rPr>
              <w:t>Address of Issuer's Principal Executive Offices.</w:t>
            </w:r>
          </w:p>
        </w:tc>
        <w:tc>
          <w:tcPr>
            <w:tcW w:w="480" w:type="dxa"/>
            <w:vAlign w:val="bottom"/>
            <w:tcBorders>
              <w:top w:val="single" w:sz="8" w:color="auto"/>
            </w:tcBorders>
          </w:tcPr>
          <w:p>
            <w:pPr>
              <w:spacing w:after="0"/>
              <w:rPr>
                <w:sz w:val="24"/>
                <w:szCs w:val="24"/>
                <w:color w:val="auto"/>
              </w:rPr>
            </w:pPr>
          </w:p>
        </w:tc>
        <w:tc>
          <w:tcPr>
            <w:tcW w:w="2480" w:type="dxa"/>
            <w:vAlign w:val="bottom"/>
          </w:tcPr>
          <w:p>
            <w:pPr>
              <w:spacing w:after="0"/>
              <w:rPr>
                <w:sz w:val="24"/>
                <w:szCs w:val="24"/>
                <w:color w:val="auto"/>
              </w:rPr>
            </w:pPr>
          </w:p>
        </w:tc>
      </w:tr>
      <w:tr>
        <w:trPr>
          <w:trHeight w:val="438"/>
        </w:trPr>
        <w:tc>
          <w:tcPr>
            <w:tcW w:w="1200" w:type="dxa"/>
            <w:vAlign w:val="bottom"/>
          </w:tcPr>
          <w:p>
            <w:pPr>
              <w:spacing w:after="0"/>
              <w:rPr>
                <w:sz w:val="24"/>
                <w:szCs w:val="24"/>
                <w:color w:val="auto"/>
              </w:rPr>
            </w:pPr>
          </w:p>
        </w:tc>
        <w:tc>
          <w:tcPr>
            <w:tcW w:w="9820" w:type="dxa"/>
            <w:vAlign w:val="bottom"/>
            <w:gridSpan w:val="5"/>
          </w:tcPr>
          <w:p>
            <w:pPr>
              <w:ind w:left="480"/>
              <w:spacing w:after="0"/>
              <w:rPr>
                <w:sz w:val="20"/>
                <w:szCs w:val="20"/>
                <w:color w:val="auto"/>
              </w:rPr>
            </w:pPr>
            <w:r>
              <w:rPr>
                <w:rFonts w:ascii="Arial" w:cs="Arial" w:eastAsia="Arial" w:hAnsi="Arial"/>
                <w:sz w:val="20"/>
                <w:szCs w:val="20"/>
                <w:color w:val="auto"/>
              </w:rPr>
              <w:t>41 Discovery</w:t>
            </w:r>
          </w:p>
        </w:tc>
      </w:tr>
      <w:tr>
        <w:trPr>
          <w:trHeight w:val="250"/>
        </w:trPr>
        <w:tc>
          <w:tcPr>
            <w:tcW w:w="1200" w:type="dxa"/>
            <w:vAlign w:val="bottom"/>
          </w:tcPr>
          <w:p>
            <w:pPr>
              <w:spacing w:after="0"/>
              <w:rPr>
                <w:sz w:val="21"/>
                <w:szCs w:val="21"/>
                <w:color w:val="auto"/>
              </w:rPr>
            </w:pPr>
          </w:p>
        </w:tc>
        <w:tc>
          <w:tcPr>
            <w:tcW w:w="9820" w:type="dxa"/>
            <w:vAlign w:val="bottom"/>
            <w:gridSpan w:val="5"/>
          </w:tcPr>
          <w:p>
            <w:pPr>
              <w:ind w:left="480"/>
              <w:spacing w:after="0"/>
              <w:rPr>
                <w:sz w:val="20"/>
                <w:szCs w:val="20"/>
                <w:color w:val="auto"/>
              </w:rPr>
            </w:pPr>
            <w:r>
              <w:rPr>
                <w:rFonts w:ascii="Arial" w:cs="Arial" w:eastAsia="Arial" w:hAnsi="Arial"/>
                <w:sz w:val="20"/>
                <w:szCs w:val="20"/>
                <w:color w:val="auto"/>
              </w:rPr>
              <w:t>Irvine, California 92618</w:t>
            </w:r>
          </w:p>
        </w:tc>
      </w:tr>
      <w:tr>
        <w:trPr>
          <w:trHeight w:val="459"/>
        </w:trPr>
        <w:tc>
          <w:tcPr>
            <w:tcW w:w="1200" w:type="dxa"/>
            <w:vAlign w:val="bottom"/>
          </w:tcPr>
          <w:p>
            <w:pPr>
              <w:spacing w:after="0"/>
              <w:rPr>
                <w:sz w:val="20"/>
                <w:szCs w:val="20"/>
                <w:color w:val="auto"/>
              </w:rPr>
            </w:pPr>
            <w:r>
              <w:rPr>
                <w:rFonts w:ascii="Arial" w:cs="Arial" w:eastAsia="Arial" w:hAnsi="Arial"/>
                <w:sz w:val="20"/>
                <w:szCs w:val="20"/>
                <w:b w:val="1"/>
                <w:bCs w:val="1"/>
                <w:color w:val="auto"/>
              </w:rPr>
              <w:t>Item 2(a).</w:t>
            </w:r>
          </w:p>
        </w:tc>
        <w:tc>
          <w:tcPr>
            <w:tcW w:w="9820" w:type="dxa"/>
            <w:vAlign w:val="bottom"/>
            <w:gridSpan w:val="5"/>
          </w:tcPr>
          <w:p>
            <w:pPr>
              <w:ind w:left="480"/>
              <w:spacing w:after="0"/>
              <w:rPr>
                <w:sz w:val="20"/>
                <w:szCs w:val="20"/>
                <w:color w:val="auto"/>
              </w:rPr>
            </w:pPr>
            <w:r>
              <w:rPr>
                <w:rFonts w:ascii="Arial" w:cs="Arial" w:eastAsia="Arial" w:hAnsi="Arial"/>
                <w:sz w:val="20"/>
                <w:szCs w:val="20"/>
                <w:b w:val="1"/>
                <w:bCs w:val="1"/>
                <w:color w:val="auto"/>
              </w:rPr>
              <w:t>Name of Person Filing.</w:t>
            </w:r>
          </w:p>
        </w:tc>
      </w:tr>
      <w:tr>
        <w:trPr>
          <w:trHeight w:val="459"/>
        </w:trPr>
        <w:tc>
          <w:tcPr>
            <w:tcW w:w="1200" w:type="dxa"/>
            <w:vAlign w:val="bottom"/>
          </w:tcPr>
          <w:p>
            <w:pPr>
              <w:spacing w:after="0"/>
              <w:rPr>
                <w:sz w:val="24"/>
                <w:szCs w:val="24"/>
                <w:color w:val="auto"/>
              </w:rPr>
            </w:pPr>
          </w:p>
        </w:tc>
        <w:tc>
          <w:tcPr>
            <w:tcW w:w="9820" w:type="dxa"/>
            <w:vAlign w:val="bottom"/>
            <w:gridSpan w:val="5"/>
          </w:tcPr>
          <w:p>
            <w:pPr>
              <w:ind w:left="480"/>
              <w:spacing w:after="0"/>
              <w:rPr>
                <w:sz w:val="20"/>
                <w:szCs w:val="20"/>
                <w:color w:val="auto"/>
              </w:rPr>
            </w:pPr>
            <w:r>
              <w:rPr>
                <w:rFonts w:ascii="Arial" w:cs="Arial" w:eastAsia="Arial" w:hAnsi="Arial"/>
                <w:sz w:val="20"/>
                <w:szCs w:val="20"/>
                <w:color w:val="auto"/>
              </w:rPr>
              <w:t>This statement is filed by Senvest Management, LLC and Richard Mashaal.</w:t>
            </w:r>
          </w:p>
        </w:tc>
      </w:tr>
      <w:tr>
        <w:trPr>
          <w:trHeight w:val="438"/>
        </w:trPr>
        <w:tc>
          <w:tcPr>
            <w:tcW w:w="1200" w:type="dxa"/>
            <w:vAlign w:val="bottom"/>
          </w:tcPr>
          <w:p>
            <w:pPr>
              <w:spacing w:after="0"/>
              <w:rPr>
                <w:sz w:val="24"/>
                <w:szCs w:val="24"/>
                <w:color w:val="auto"/>
              </w:rPr>
            </w:pPr>
          </w:p>
        </w:tc>
        <w:tc>
          <w:tcPr>
            <w:tcW w:w="9820" w:type="dxa"/>
            <w:vAlign w:val="bottom"/>
            <w:gridSpan w:val="5"/>
          </w:tcPr>
          <w:p>
            <w:pPr>
              <w:ind w:left="480"/>
              <w:spacing w:after="0"/>
              <w:rPr>
                <w:sz w:val="20"/>
                <w:szCs w:val="20"/>
                <w:color w:val="auto"/>
              </w:rPr>
            </w:pPr>
            <w:r>
              <w:rPr>
                <w:rFonts w:ascii="Arial" w:cs="Arial" w:eastAsia="Arial" w:hAnsi="Arial"/>
                <w:sz w:val="20"/>
                <w:szCs w:val="20"/>
                <w:color w:val="auto"/>
                <w:w w:val="92"/>
              </w:rPr>
              <w:t>The reported securities are held in the account of Senvest Master Fund, LP, Senvest Technology Partners Master</w:t>
            </w:r>
          </w:p>
        </w:tc>
      </w:tr>
      <w:tr>
        <w:trPr>
          <w:trHeight w:val="206"/>
        </w:trPr>
        <w:tc>
          <w:tcPr>
            <w:tcW w:w="1200" w:type="dxa"/>
            <w:vAlign w:val="bottom"/>
          </w:tcPr>
          <w:p>
            <w:pPr>
              <w:spacing w:after="0"/>
              <w:rPr>
                <w:sz w:val="17"/>
                <w:szCs w:val="17"/>
                <w:color w:val="auto"/>
              </w:rPr>
            </w:pPr>
          </w:p>
        </w:tc>
        <w:tc>
          <w:tcPr>
            <w:tcW w:w="9820" w:type="dxa"/>
            <w:vAlign w:val="bottom"/>
            <w:gridSpan w:val="5"/>
          </w:tcPr>
          <w:p>
            <w:pPr>
              <w:ind w:left="480"/>
              <w:spacing w:after="0" w:line="206" w:lineRule="exact"/>
              <w:rPr>
                <w:sz w:val="20"/>
                <w:szCs w:val="20"/>
                <w:color w:val="auto"/>
              </w:rPr>
            </w:pPr>
            <w:r>
              <w:rPr>
                <w:rFonts w:ascii="Arial" w:cs="Arial" w:eastAsia="Arial" w:hAnsi="Arial"/>
                <w:sz w:val="20"/>
                <w:szCs w:val="20"/>
                <w:color w:val="auto"/>
              </w:rPr>
              <w:t>Fund, LP and Senvest Global (KY), LP (collectively, the "Investment Vehicles").</w:t>
            </w:r>
          </w:p>
        </w:tc>
      </w:tr>
      <w:tr>
        <w:trPr>
          <w:trHeight w:val="20"/>
        </w:trPr>
        <w:tc>
          <w:tcPr>
            <w:tcW w:w="120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3120" w:type="dxa"/>
            <w:vAlign w:val="bottom"/>
            <w:gridSpan w:val="3"/>
          </w:tcPr>
          <w:p>
            <w:pPr>
              <w:spacing w:after="0" w:line="20" w:lineRule="exact"/>
              <w:rPr>
                <w:sz w:val="1"/>
                <w:szCs w:val="1"/>
                <w:color w:val="auto"/>
              </w:rPr>
            </w:pPr>
          </w:p>
        </w:tc>
      </w:tr>
      <w:tr>
        <w:trPr>
          <w:trHeight w:val="463"/>
        </w:trPr>
        <w:tc>
          <w:tcPr>
            <w:tcW w:w="1200" w:type="dxa"/>
            <w:vAlign w:val="bottom"/>
          </w:tcPr>
          <w:p>
            <w:pPr>
              <w:spacing w:after="0"/>
              <w:rPr>
                <w:sz w:val="24"/>
                <w:szCs w:val="24"/>
                <w:color w:val="auto"/>
              </w:rPr>
            </w:pPr>
          </w:p>
        </w:tc>
        <w:tc>
          <w:tcPr>
            <w:tcW w:w="9820" w:type="dxa"/>
            <w:vAlign w:val="bottom"/>
            <w:gridSpan w:val="5"/>
          </w:tcPr>
          <w:p>
            <w:pPr>
              <w:ind w:left="480"/>
              <w:spacing w:after="0"/>
              <w:rPr>
                <w:sz w:val="20"/>
                <w:szCs w:val="20"/>
                <w:color w:val="auto"/>
              </w:rPr>
            </w:pPr>
            <w:r>
              <w:rPr>
                <w:rFonts w:ascii="Arial" w:cs="Arial" w:eastAsia="Arial" w:hAnsi="Arial"/>
                <w:sz w:val="20"/>
                <w:szCs w:val="20"/>
                <w:color w:val="auto"/>
                <w:w w:val="94"/>
              </w:rPr>
              <w:t>Senvest Management, LLC may be deemed to beneficially own the securities, subject to the 9.99% Blocker (as</w:t>
            </w:r>
          </w:p>
        </w:tc>
      </w:tr>
      <w:tr>
        <w:trPr>
          <w:trHeight w:val="230"/>
        </w:trPr>
        <w:tc>
          <w:tcPr>
            <w:tcW w:w="1200" w:type="dxa"/>
            <w:vAlign w:val="bottom"/>
          </w:tcPr>
          <w:p>
            <w:pPr>
              <w:spacing w:after="0"/>
              <w:rPr>
                <w:sz w:val="19"/>
                <w:szCs w:val="19"/>
                <w:color w:val="auto"/>
              </w:rPr>
            </w:pPr>
          </w:p>
        </w:tc>
        <w:tc>
          <w:tcPr>
            <w:tcW w:w="9820" w:type="dxa"/>
            <w:vAlign w:val="bottom"/>
            <w:gridSpan w:val="5"/>
          </w:tcPr>
          <w:p>
            <w:pPr>
              <w:ind w:left="480"/>
              <w:spacing w:after="0"/>
              <w:rPr>
                <w:sz w:val="20"/>
                <w:szCs w:val="20"/>
                <w:color w:val="auto"/>
              </w:rPr>
            </w:pPr>
            <w:r>
              <w:rPr>
                <w:rFonts w:ascii="Arial" w:cs="Arial" w:eastAsia="Arial" w:hAnsi="Arial"/>
                <w:sz w:val="20"/>
                <w:szCs w:val="20"/>
                <w:color w:val="auto"/>
                <w:w w:val="91"/>
              </w:rPr>
              <w:t>defined herein) in the case of the shares of Class A Common Stock underlying the warrants, held by the Investment</w:t>
            </w:r>
          </w:p>
        </w:tc>
      </w:tr>
      <w:tr>
        <w:trPr>
          <w:trHeight w:val="229"/>
        </w:trPr>
        <w:tc>
          <w:tcPr>
            <w:tcW w:w="1200" w:type="dxa"/>
            <w:vAlign w:val="bottom"/>
          </w:tcPr>
          <w:p>
            <w:pPr>
              <w:spacing w:after="0"/>
              <w:rPr>
                <w:sz w:val="19"/>
                <w:szCs w:val="19"/>
                <w:color w:val="auto"/>
              </w:rPr>
            </w:pPr>
          </w:p>
        </w:tc>
        <w:tc>
          <w:tcPr>
            <w:tcW w:w="9820" w:type="dxa"/>
            <w:vAlign w:val="bottom"/>
            <w:gridSpan w:val="5"/>
          </w:tcPr>
          <w:p>
            <w:pPr>
              <w:ind w:left="480"/>
              <w:spacing w:after="0"/>
              <w:rPr>
                <w:sz w:val="20"/>
                <w:szCs w:val="20"/>
                <w:color w:val="auto"/>
              </w:rPr>
            </w:pPr>
            <w:r>
              <w:rPr>
                <w:rFonts w:ascii="Arial" w:cs="Arial" w:eastAsia="Arial" w:hAnsi="Arial"/>
                <w:sz w:val="20"/>
                <w:szCs w:val="20"/>
                <w:color w:val="auto"/>
                <w:w w:val="92"/>
              </w:rPr>
              <w:t>Vehicles by virtue of Senvest Management, LLC's position as investment manager of the Investment Vehicles. Mr.</w:t>
            </w:r>
          </w:p>
        </w:tc>
      </w:tr>
      <w:tr>
        <w:trPr>
          <w:trHeight w:val="229"/>
        </w:trPr>
        <w:tc>
          <w:tcPr>
            <w:tcW w:w="1200" w:type="dxa"/>
            <w:vAlign w:val="bottom"/>
          </w:tcPr>
          <w:p>
            <w:pPr>
              <w:spacing w:after="0"/>
              <w:rPr>
                <w:sz w:val="19"/>
                <w:szCs w:val="19"/>
                <w:color w:val="auto"/>
              </w:rPr>
            </w:pPr>
          </w:p>
        </w:tc>
        <w:tc>
          <w:tcPr>
            <w:tcW w:w="9820" w:type="dxa"/>
            <w:vAlign w:val="bottom"/>
            <w:gridSpan w:val="5"/>
          </w:tcPr>
          <w:p>
            <w:pPr>
              <w:ind w:left="480"/>
              <w:spacing w:after="0"/>
              <w:rPr>
                <w:sz w:val="20"/>
                <w:szCs w:val="20"/>
                <w:color w:val="auto"/>
              </w:rPr>
            </w:pPr>
            <w:r>
              <w:rPr>
                <w:rFonts w:ascii="Arial" w:cs="Arial" w:eastAsia="Arial" w:hAnsi="Arial"/>
                <w:sz w:val="20"/>
                <w:szCs w:val="20"/>
                <w:color w:val="auto"/>
                <w:w w:val="90"/>
              </w:rPr>
              <w:t>Mashaal may be deemed to beneficially own the securities, subject to the 9.99% Blocker in the case of the shares of</w:t>
            </w:r>
          </w:p>
        </w:tc>
      </w:tr>
      <w:tr>
        <w:trPr>
          <w:trHeight w:val="230"/>
        </w:trPr>
        <w:tc>
          <w:tcPr>
            <w:tcW w:w="1200" w:type="dxa"/>
            <w:vAlign w:val="bottom"/>
          </w:tcPr>
          <w:p>
            <w:pPr>
              <w:spacing w:after="0"/>
              <w:rPr>
                <w:sz w:val="19"/>
                <w:szCs w:val="19"/>
                <w:color w:val="auto"/>
              </w:rPr>
            </w:pPr>
          </w:p>
        </w:tc>
        <w:tc>
          <w:tcPr>
            <w:tcW w:w="9820" w:type="dxa"/>
            <w:vAlign w:val="bottom"/>
            <w:gridSpan w:val="5"/>
          </w:tcPr>
          <w:p>
            <w:pPr>
              <w:ind w:left="480"/>
              <w:spacing w:after="0"/>
              <w:rPr>
                <w:sz w:val="20"/>
                <w:szCs w:val="20"/>
                <w:color w:val="auto"/>
              </w:rPr>
            </w:pPr>
            <w:r>
              <w:rPr>
                <w:rFonts w:ascii="Arial" w:cs="Arial" w:eastAsia="Arial" w:hAnsi="Arial"/>
                <w:sz w:val="20"/>
                <w:szCs w:val="20"/>
                <w:color w:val="auto"/>
                <w:w w:val="89"/>
              </w:rPr>
              <w:t>Class A Common Stock underlying the warrants, held by the Investment Vehicles by virtue of Mr. Mashaal's status as</w:t>
            </w:r>
          </w:p>
        </w:tc>
      </w:tr>
      <w:tr>
        <w:trPr>
          <w:trHeight w:val="229"/>
        </w:trPr>
        <w:tc>
          <w:tcPr>
            <w:tcW w:w="1200" w:type="dxa"/>
            <w:vAlign w:val="bottom"/>
          </w:tcPr>
          <w:p>
            <w:pPr>
              <w:spacing w:after="0"/>
              <w:rPr>
                <w:sz w:val="19"/>
                <w:szCs w:val="19"/>
                <w:color w:val="auto"/>
              </w:rPr>
            </w:pPr>
          </w:p>
        </w:tc>
        <w:tc>
          <w:tcPr>
            <w:tcW w:w="9820" w:type="dxa"/>
            <w:vAlign w:val="bottom"/>
            <w:gridSpan w:val="5"/>
          </w:tcPr>
          <w:p>
            <w:pPr>
              <w:ind w:left="480"/>
              <w:spacing w:after="0"/>
              <w:rPr>
                <w:sz w:val="20"/>
                <w:szCs w:val="20"/>
                <w:color w:val="auto"/>
              </w:rPr>
            </w:pPr>
            <w:r>
              <w:rPr>
                <w:rFonts w:ascii="Arial" w:cs="Arial" w:eastAsia="Arial" w:hAnsi="Arial"/>
                <w:sz w:val="20"/>
                <w:szCs w:val="20"/>
                <w:color w:val="auto"/>
                <w:w w:val="89"/>
              </w:rPr>
              <w:t>the managing member of Senvest Management, LLC. None of the foregoing should be construed in and of itself as an</w:t>
            </w:r>
          </w:p>
        </w:tc>
      </w:tr>
      <w:tr>
        <w:trPr>
          <w:trHeight w:val="250"/>
        </w:trPr>
        <w:tc>
          <w:tcPr>
            <w:tcW w:w="1200" w:type="dxa"/>
            <w:vAlign w:val="bottom"/>
          </w:tcPr>
          <w:p>
            <w:pPr>
              <w:spacing w:after="0"/>
              <w:rPr>
                <w:sz w:val="21"/>
                <w:szCs w:val="21"/>
                <w:color w:val="auto"/>
              </w:rPr>
            </w:pPr>
          </w:p>
        </w:tc>
        <w:tc>
          <w:tcPr>
            <w:tcW w:w="9820" w:type="dxa"/>
            <w:vAlign w:val="bottom"/>
            <w:gridSpan w:val="5"/>
          </w:tcPr>
          <w:p>
            <w:pPr>
              <w:ind w:left="480"/>
              <w:spacing w:after="0"/>
              <w:rPr>
                <w:sz w:val="20"/>
                <w:szCs w:val="20"/>
                <w:color w:val="auto"/>
              </w:rPr>
            </w:pPr>
            <w:r>
              <w:rPr>
                <w:rFonts w:ascii="Arial" w:cs="Arial" w:eastAsia="Arial" w:hAnsi="Arial"/>
                <w:sz w:val="20"/>
                <w:szCs w:val="20"/>
                <w:color w:val="auto"/>
              </w:rPr>
              <w:t>admission by any Reporting Person as to beneficial ownership of the securities reported herein.</w:t>
            </w:r>
          </w:p>
        </w:tc>
      </w:tr>
      <w:tr>
        <w:trPr>
          <w:trHeight w:val="459"/>
        </w:trPr>
        <w:tc>
          <w:tcPr>
            <w:tcW w:w="1200" w:type="dxa"/>
            <w:vAlign w:val="bottom"/>
          </w:tcPr>
          <w:p>
            <w:pPr>
              <w:spacing w:after="0"/>
              <w:rPr>
                <w:sz w:val="20"/>
                <w:szCs w:val="20"/>
                <w:color w:val="auto"/>
              </w:rPr>
            </w:pPr>
            <w:r>
              <w:rPr>
                <w:rFonts w:ascii="Arial" w:cs="Arial" w:eastAsia="Arial" w:hAnsi="Arial"/>
                <w:sz w:val="20"/>
                <w:szCs w:val="20"/>
                <w:b w:val="1"/>
                <w:bCs w:val="1"/>
                <w:color w:val="auto"/>
              </w:rPr>
              <w:t>Item 2(b).</w:t>
            </w:r>
          </w:p>
        </w:tc>
        <w:tc>
          <w:tcPr>
            <w:tcW w:w="9820" w:type="dxa"/>
            <w:vAlign w:val="bottom"/>
            <w:gridSpan w:val="5"/>
          </w:tcPr>
          <w:p>
            <w:pPr>
              <w:ind w:left="480"/>
              <w:spacing w:after="0"/>
              <w:rPr>
                <w:sz w:val="20"/>
                <w:szCs w:val="20"/>
                <w:color w:val="auto"/>
              </w:rPr>
            </w:pPr>
            <w:r>
              <w:rPr>
                <w:rFonts w:ascii="Arial" w:cs="Arial" w:eastAsia="Arial" w:hAnsi="Arial"/>
                <w:sz w:val="20"/>
                <w:szCs w:val="20"/>
                <w:b w:val="1"/>
                <w:bCs w:val="1"/>
                <w:color w:val="auto"/>
              </w:rPr>
              <w:t>Address of Principal Business Office.</w:t>
            </w:r>
          </w:p>
        </w:tc>
      </w:tr>
      <w:tr>
        <w:trPr>
          <w:trHeight w:val="443"/>
        </w:trPr>
        <w:tc>
          <w:tcPr>
            <w:tcW w:w="1200" w:type="dxa"/>
            <w:vAlign w:val="bottom"/>
          </w:tcPr>
          <w:p>
            <w:pPr>
              <w:spacing w:after="0"/>
              <w:rPr>
                <w:sz w:val="24"/>
                <w:szCs w:val="24"/>
                <w:color w:val="auto"/>
              </w:rPr>
            </w:pPr>
          </w:p>
        </w:tc>
        <w:tc>
          <w:tcPr>
            <w:tcW w:w="9820" w:type="dxa"/>
            <w:vAlign w:val="bottom"/>
            <w:gridSpan w:val="5"/>
          </w:tcPr>
          <w:p>
            <w:pPr>
              <w:ind w:left="480"/>
              <w:spacing w:after="0"/>
              <w:rPr>
                <w:sz w:val="20"/>
                <w:szCs w:val="20"/>
                <w:color w:val="auto"/>
              </w:rPr>
            </w:pPr>
            <w:r>
              <w:rPr>
                <w:rFonts w:ascii="Arial" w:cs="Arial" w:eastAsia="Arial" w:hAnsi="Arial"/>
                <w:sz w:val="20"/>
                <w:szCs w:val="20"/>
                <w:color w:val="auto"/>
              </w:rPr>
              <w:t>Senvest Management, LLC</w:t>
            </w:r>
          </w:p>
        </w:tc>
      </w:tr>
      <w:tr>
        <w:trPr>
          <w:trHeight w:val="279"/>
        </w:trPr>
        <w:tc>
          <w:tcPr>
            <w:tcW w:w="1200" w:type="dxa"/>
            <w:vAlign w:val="bottom"/>
          </w:tcPr>
          <w:p>
            <w:pPr>
              <w:spacing w:after="0"/>
              <w:rPr>
                <w:sz w:val="24"/>
                <w:szCs w:val="24"/>
                <w:color w:val="auto"/>
              </w:rPr>
            </w:pPr>
          </w:p>
        </w:tc>
        <w:tc>
          <w:tcPr>
            <w:tcW w:w="9820" w:type="dxa"/>
            <w:vAlign w:val="bottom"/>
            <w:gridSpan w:val="5"/>
          </w:tcPr>
          <w:p>
            <w:pPr>
              <w:ind w:left="480"/>
              <w:spacing w:after="0" w:line="280" w:lineRule="exact"/>
              <w:rPr>
                <w:sz w:val="20"/>
                <w:szCs w:val="20"/>
                <w:color w:val="auto"/>
              </w:rPr>
            </w:pPr>
            <w:r>
              <w:rPr>
                <w:rFonts w:ascii="Arial" w:cs="Arial" w:eastAsia="Arial" w:hAnsi="Arial"/>
                <w:sz w:val="20"/>
                <w:szCs w:val="20"/>
                <w:color w:val="auto"/>
              </w:rPr>
              <w:t>540 Madison Avenue, 32</w:t>
            </w:r>
            <w:r>
              <w:rPr>
                <w:rFonts w:ascii="Arial" w:cs="Arial" w:eastAsia="Arial" w:hAnsi="Arial"/>
                <w:sz w:val="32"/>
                <w:szCs w:val="32"/>
                <w:color w:val="auto"/>
                <w:vertAlign w:val="superscript"/>
              </w:rPr>
              <w:t>nd</w:t>
            </w:r>
            <w:r>
              <w:rPr>
                <w:rFonts w:ascii="Arial" w:cs="Arial" w:eastAsia="Arial" w:hAnsi="Arial"/>
                <w:sz w:val="20"/>
                <w:szCs w:val="20"/>
                <w:color w:val="auto"/>
              </w:rPr>
              <w:t xml:space="preserve"> Floor</w:t>
            </w:r>
          </w:p>
        </w:tc>
      </w:tr>
      <w:tr>
        <w:trPr>
          <w:trHeight w:val="250"/>
        </w:trPr>
        <w:tc>
          <w:tcPr>
            <w:tcW w:w="1200" w:type="dxa"/>
            <w:vAlign w:val="bottom"/>
          </w:tcPr>
          <w:p>
            <w:pPr>
              <w:spacing w:after="0"/>
              <w:rPr>
                <w:sz w:val="21"/>
                <w:szCs w:val="21"/>
                <w:color w:val="auto"/>
              </w:rPr>
            </w:pPr>
          </w:p>
        </w:tc>
        <w:tc>
          <w:tcPr>
            <w:tcW w:w="9820" w:type="dxa"/>
            <w:vAlign w:val="bottom"/>
            <w:gridSpan w:val="5"/>
          </w:tcPr>
          <w:p>
            <w:pPr>
              <w:ind w:left="480"/>
              <w:spacing w:after="0"/>
              <w:rPr>
                <w:sz w:val="20"/>
                <w:szCs w:val="20"/>
                <w:color w:val="auto"/>
              </w:rPr>
            </w:pPr>
            <w:r>
              <w:rPr>
                <w:rFonts w:ascii="Arial" w:cs="Arial" w:eastAsia="Arial" w:hAnsi="Arial"/>
                <w:sz w:val="20"/>
                <w:szCs w:val="20"/>
                <w:color w:val="auto"/>
              </w:rPr>
              <w:t>New York, New York 10022</w:t>
            </w:r>
          </w:p>
        </w:tc>
      </w:tr>
      <w:tr>
        <w:trPr>
          <w:trHeight w:val="438"/>
        </w:trPr>
        <w:tc>
          <w:tcPr>
            <w:tcW w:w="1200" w:type="dxa"/>
            <w:vAlign w:val="bottom"/>
          </w:tcPr>
          <w:p>
            <w:pPr>
              <w:spacing w:after="0"/>
              <w:rPr>
                <w:sz w:val="24"/>
                <w:szCs w:val="24"/>
                <w:color w:val="auto"/>
              </w:rPr>
            </w:pPr>
          </w:p>
        </w:tc>
        <w:tc>
          <w:tcPr>
            <w:tcW w:w="9820" w:type="dxa"/>
            <w:vAlign w:val="bottom"/>
            <w:gridSpan w:val="5"/>
          </w:tcPr>
          <w:p>
            <w:pPr>
              <w:ind w:left="480"/>
              <w:spacing w:after="0"/>
              <w:rPr>
                <w:sz w:val="20"/>
                <w:szCs w:val="20"/>
                <w:color w:val="auto"/>
              </w:rPr>
            </w:pPr>
            <w:r>
              <w:rPr>
                <w:rFonts w:ascii="Arial" w:cs="Arial" w:eastAsia="Arial" w:hAnsi="Arial"/>
                <w:sz w:val="20"/>
                <w:szCs w:val="20"/>
                <w:color w:val="auto"/>
              </w:rPr>
              <w:t>Richard Mashaal</w:t>
            </w:r>
          </w:p>
        </w:tc>
      </w:tr>
      <w:tr>
        <w:trPr>
          <w:trHeight w:val="234"/>
        </w:trPr>
        <w:tc>
          <w:tcPr>
            <w:tcW w:w="1200" w:type="dxa"/>
            <w:vAlign w:val="bottom"/>
          </w:tcPr>
          <w:p>
            <w:pPr>
              <w:spacing w:after="0"/>
              <w:rPr>
                <w:sz w:val="20"/>
                <w:szCs w:val="20"/>
                <w:color w:val="auto"/>
              </w:rPr>
            </w:pPr>
          </w:p>
        </w:tc>
        <w:tc>
          <w:tcPr>
            <w:tcW w:w="9820" w:type="dxa"/>
            <w:vAlign w:val="bottom"/>
            <w:gridSpan w:val="5"/>
          </w:tcPr>
          <w:p>
            <w:pPr>
              <w:ind w:left="480"/>
              <w:spacing w:after="0"/>
              <w:rPr>
                <w:sz w:val="20"/>
                <w:szCs w:val="20"/>
                <w:color w:val="auto"/>
              </w:rPr>
            </w:pPr>
            <w:r>
              <w:rPr>
                <w:rFonts w:ascii="Arial" w:cs="Arial" w:eastAsia="Arial" w:hAnsi="Arial"/>
                <w:sz w:val="20"/>
                <w:szCs w:val="20"/>
                <w:color w:val="auto"/>
              </w:rPr>
              <w:t>c/o Senvest Management, LLC</w:t>
            </w:r>
          </w:p>
        </w:tc>
      </w:tr>
      <w:tr>
        <w:trPr>
          <w:trHeight w:val="279"/>
        </w:trPr>
        <w:tc>
          <w:tcPr>
            <w:tcW w:w="1200" w:type="dxa"/>
            <w:vAlign w:val="bottom"/>
          </w:tcPr>
          <w:p>
            <w:pPr>
              <w:spacing w:after="0"/>
              <w:rPr>
                <w:sz w:val="24"/>
                <w:szCs w:val="24"/>
                <w:color w:val="auto"/>
              </w:rPr>
            </w:pPr>
          </w:p>
        </w:tc>
        <w:tc>
          <w:tcPr>
            <w:tcW w:w="9820" w:type="dxa"/>
            <w:vAlign w:val="bottom"/>
            <w:gridSpan w:val="5"/>
          </w:tcPr>
          <w:p>
            <w:pPr>
              <w:ind w:left="480"/>
              <w:spacing w:after="0" w:line="280" w:lineRule="exact"/>
              <w:rPr>
                <w:sz w:val="20"/>
                <w:szCs w:val="20"/>
                <w:color w:val="auto"/>
              </w:rPr>
            </w:pPr>
            <w:r>
              <w:rPr>
                <w:rFonts w:ascii="Arial" w:cs="Arial" w:eastAsia="Arial" w:hAnsi="Arial"/>
                <w:sz w:val="20"/>
                <w:szCs w:val="20"/>
                <w:color w:val="auto"/>
              </w:rPr>
              <w:t>540 Madison Avenue, 32</w:t>
            </w:r>
            <w:r>
              <w:rPr>
                <w:rFonts w:ascii="Arial" w:cs="Arial" w:eastAsia="Arial" w:hAnsi="Arial"/>
                <w:sz w:val="32"/>
                <w:szCs w:val="32"/>
                <w:color w:val="auto"/>
                <w:vertAlign w:val="superscript"/>
              </w:rPr>
              <w:t>nd</w:t>
            </w:r>
            <w:r>
              <w:rPr>
                <w:rFonts w:ascii="Arial" w:cs="Arial" w:eastAsia="Arial" w:hAnsi="Arial"/>
                <w:sz w:val="20"/>
                <w:szCs w:val="20"/>
                <w:color w:val="auto"/>
              </w:rPr>
              <w:t xml:space="preserve"> Floor</w:t>
            </w:r>
          </w:p>
        </w:tc>
      </w:tr>
      <w:tr>
        <w:trPr>
          <w:trHeight w:val="250"/>
        </w:trPr>
        <w:tc>
          <w:tcPr>
            <w:tcW w:w="1200" w:type="dxa"/>
            <w:vAlign w:val="bottom"/>
          </w:tcPr>
          <w:p>
            <w:pPr>
              <w:spacing w:after="0"/>
              <w:rPr>
                <w:sz w:val="21"/>
                <w:szCs w:val="21"/>
                <w:color w:val="auto"/>
              </w:rPr>
            </w:pPr>
          </w:p>
        </w:tc>
        <w:tc>
          <w:tcPr>
            <w:tcW w:w="9820" w:type="dxa"/>
            <w:vAlign w:val="bottom"/>
            <w:gridSpan w:val="5"/>
          </w:tcPr>
          <w:p>
            <w:pPr>
              <w:ind w:left="480"/>
              <w:spacing w:after="0"/>
              <w:rPr>
                <w:sz w:val="20"/>
                <w:szCs w:val="20"/>
                <w:color w:val="auto"/>
              </w:rPr>
            </w:pPr>
            <w:r>
              <w:rPr>
                <w:rFonts w:ascii="Arial" w:cs="Arial" w:eastAsia="Arial" w:hAnsi="Arial"/>
                <w:sz w:val="20"/>
                <w:szCs w:val="20"/>
                <w:color w:val="auto"/>
              </w:rPr>
              <w:t>New York, New York 10022</w:t>
            </w:r>
          </w:p>
        </w:tc>
      </w:tr>
      <w:tr>
        <w:trPr>
          <w:trHeight w:val="459"/>
        </w:trPr>
        <w:tc>
          <w:tcPr>
            <w:tcW w:w="1200" w:type="dxa"/>
            <w:vAlign w:val="bottom"/>
          </w:tcPr>
          <w:p>
            <w:pPr>
              <w:spacing w:after="0"/>
              <w:rPr>
                <w:sz w:val="20"/>
                <w:szCs w:val="20"/>
                <w:color w:val="auto"/>
              </w:rPr>
            </w:pPr>
            <w:r>
              <w:rPr>
                <w:rFonts w:ascii="Arial" w:cs="Arial" w:eastAsia="Arial" w:hAnsi="Arial"/>
                <w:sz w:val="20"/>
                <w:szCs w:val="20"/>
                <w:b w:val="1"/>
                <w:bCs w:val="1"/>
                <w:color w:val="auto"/>
              </w:rPr>
              <w:t>Item 2(c).</w:t>
            </w:r>
          </w:p>
        </w:tc>
        <w:tc>
          <w:tcPr>
            <w:tcW w:w="9820" w:type="dxa"/>
            <w:vAlign w:val="bottom"/>
            <w:gridSpan w:val="5"/>
          </w:tcPr>
          <w:p>
            <w:pPr>
              <w:ind w:left="480"/>
              <w:spacing w:after="0"/>
              <w:rPr>
                <w:sz w:val="20"/>
                <w:szCs w:val="20"/>
                <w:color w:val="auto"/>
              </w:rPr>
            </w:pPr>
            <w:r>
              <w:rPr>
                <w:rFonts w:ascii="Arial" w:cs="Arial" w:eastAsia="Arial" w:hAnsi="Arial"/>
                <w:sz w:val="20"/>
                <w:szCs w:val="20"/>
                <w:b w:val="1"/>
                <w:bCs w:val="1"/>
                <w:color w:val="auto"/>
              </w:rPr>
              <w:t>Place of Organization.</w:t>
            </w:r>
          </w:p>
        </w:tc>
      </w:tr>
      <w:tr>
        <w:trPr>
          <w:trHeight w:val="459"/>
        </w:trPr>
        <w:tc>
          <w:tcPr>
            <w:tcW w:w="1200" w:type="dxa"/>
            <w:vAlign w:val="bottom"/>
          </w:tcPr>
          <w:p>
            <w:pPr>
              <w:spacing w:after="0"/>
              <w:rPr>
                <w:sz w:val="24"/>
                <w:szCs w:val="24"/>
                <w:color w:val="auto"/>
              </w:rPr>
            </w:pPr>
          </w:p>
        </w:tc>
        <w:tc>
          <w:tcPr>
            <w:tcW w:w="9820" w:type="dxa"/>
            <w:vAlign w:val="bottom"/>
            <w:gridSpan w:val="5"/>
          </w:tcPr>
          <w:p>
            <w:pPr>
              <w:ind w:left="480"/>
              <w:spacing w:after="0"/>
              <w:rPr>
                <w:sz w:val="20"/>
                <w:szCs w:val="20"/>
                <w:color w:val="auto"/>
              </w:rPr>
            </w:pPr>
            <w:r>
              <w:rPr>
                <w:rFonts w:ascii="Arial" w:cs="Arial" w:eastAsia="Arial" w:hAnsi="Arial"/>
                <w:sz w:val="20"/>
                <w:szCs w:val="20"/>
                <w:color w:val="auto"/>
              </w:rPr>
              <w:t>Senvest Management, LLC – Delaware</w:t>
            </w:r>
          </w:p>
        </w:tc>
      </w:tr>
      <w:tr>
        <w:trPr>
          <w:trHeight w:val="459"/>
        </w:trPr>
        <w:tc>
          <w:tcPr>
            <w:tcW w:w="1200" w:type="dxa"/>
            <w:vAlign w:val="bottom"/>
          </w:tcPr>
          <w:p>
            <w:pPr>
              <w:spacing w:after="0"/>
              <w:rPr>
                <w:sz w:val="24"/>
                <w:szCs w:val="24"/>
                <w:color w:val="auto"/>
              </w:rPr>
            </w:pPr>
          </w:p>
        </w:tc>
        <w:tc>
          <w:tcPr>
            <w:tcW w:w="9820" w:type="dxa"/>
            <w:vAlign w:val="bottom"/>
            <w:gridSpan w:val="5"/>
          </w:tcPr>
          <w:p>
            <w:pPr>
              <w:ind w:left="480"/>
              <w:spacing w:after="0"/>
              <w:rPr>
                <w:sz w:val="20"/>
                <w:szCs w:val="20"/>
                <w:color w:val="auto"/>
              </w:rPr>
            </w:pPr>
            <w:r>
              <w:rPr>
                <w:rFonts w:ascii="Arial" w:cs="Arial" w:eastAsia="Arial" w:hAnsi="Arial"/>
                <w:sz w:val="20"/>
                <w:szCs w:val="20"/>
                <w:color w:val="auto"/>
              </w:rPr>
              <w:t>Richard Mashaal – Canada</w:t>
            </w:r>
          </w:p>
        </w:tc>
      </w:tr>
      <w:tr>
        <w:trPr>
          <w:trHeight w:val="459"/>
        </w:trPr>
        <w:tc>
          <w:tcPr>
            <w:tcW w:w="1200" w:type="dxa"/>
            <w:vAlign w:val="bottom"/>
          </w:tcPr>
          <w:p>
            <w:pPr>
              <w:spacing w:after="0"/>
              <w:rPr>
                <w:sz w:val="20"/>
                <w:szCs w:val="20"/>
                <w:color w:val="auto"/>
              </w:rPr>
            </w:pPr>
            <w:r>
              <w:rPr>
                <w:rFonts w:ascii="Arial" w:cs="Arial" w:eastAsia="Arial" w:hAnsi="Arial"/>
                <w:sz w:val="20"/>
                <w:szCs w:val="20"/>
                <w:b w:val="1"/>
                <w:bCs w:val="1"/>
                <w:color w:val="auto"/>
              </w:rPr>
              <w:t>Item 2(d).</w:t>
            </w:r>
          </w:p>
        </w:tc>
        <w:tc>
          <w:tcPr>
            <w:tcW w:w="9820" w:type="dxa"/>
            <w:vAlign w:val="bottom"/>
            <w:gridSpan w:val="5"/>
          </w:tcPr>
          <w:p>
            <w:pPr>
              <w:ind w:left="380"/>
              <w:spacing w:after="0"/>
              <w:rPr>
                <w:sz w:val="20"/>
                <w:szCs w:val="20"/>
                <w:color w:val="auto"/>
              </w:rPr>
            </w:pPr>
            <w:r>
              <w:rPr>
                <w:rFonts w:ascii="Arial" w:cs="Arial" w:eastAsia="Arial" w:hAnsi="Arial"/>
                <w:sz w:val="20"/>
                <w:szCs w:val="20"/>
                <w:b w:val="1"/>
                <w:bCs w:val="1"/>
                <w:color w:val="auto"/>
              </w:rPr>
              <w:t>Title of Class of Securities.</w:t>
            </w:r>
          </w:p>
        </w:tc>
      </w:tr>
      <w:tr>
        <w:trPr>
          <w:trHeight w:val="459"/>
        </w:trPr>
        <w:tc>
          <w:tcPr>
            <w:tcW w:w="1200" w:type="dxa"/>
            <w:vAlign w:val="bottom"/>
          </w:tcPr>
          <w:p>
            <w:pPr>
              <w:spacing w:after="0"/>
              <w:rPr>
                <w:sz w:val="24"/>
                <w:szCs w:val="24"/>
                <w:color w:val="auto"/>
              </w:rPr>
            </w:pPr>
          </w:p>
        </w:tc>
        <w:tc>
          <w:tcPr>
            <w:tcW w:w="9820" w:type="dxa"/>
            <w:vAlign w:val="bottom"/>
            <w:gridSpan w:val="5"/>
          </w:tcPr>
          <w:p>
            <w:pPr>
              <w:ind w:left="380"/>
              <w:spacing w:after="0"/>
              <w:rPr>
                <w:sz w:val="20"/>
                <w:szCs w:val="20"/>
                <w:color w:val="auto"/>
              </w:rPr>
            </w:pPr>
            <w:r>
              <w:rPr>
                <w:rFonts w:ascii="Arial" w:cs="Arial" w:eastAsia="Arial" w:hAnsi="Arial"/>
                <w:sz w:val="20"/>
                <w:szCs w:val="20"/>
                <w:color w:val="auto"/>
              </w:rPr>
              <w:t>Class A Common Stock, par value $0.0001 per share</w:t>
            </w:r>
          </w:p>
        </w:tc>
      </w:tr>
    </w:tbl>
    <w:p>
      <w:pPr>
        <w:sectPr>
          <w:pgSz w:w="11900" w:h="16838" w:orient="portrait"/>
          <w:cols w:equalWidth="0" w:num="1">
            <w:col w:w="11240"/>
          </w:cols>
          <w:pgMar w:left="320" w:top="229" w:right="339" w:bottom="1440" w:gutter="0" w:footer="0" w:header="0"/>
          <w:type w:val="continuous"/>
        </w:sectPr>
      </w:pPr>
    </w:p>
    <w:bookmarkStart w:id="4" w:name="page5"/>
    <w:bookmarkEnd w:id="4"/>
    <w:p>
      <w:pPr>
        <w:spacing w:after="0"/>
        <w:tabs>
          <w:tab w:leader="none" w:pos="5360" w:val="left"/>
          <w:tab w:leader="none" w:pos="9900" w:val="left"/>
        </w:tabs>
        <w:rPr>
          <w:sz w:val="20"/>
          <w:szCs w:val="20"/>
          <w:color w:val="auto"/>
        </w:rPr>
      </w:pPr>
      <w:r>
        <w:rPr>
          <w:rFonts w:ascii="Arial" w:cs="Arial" w:eastAsia="Arial" w:hAnsi="Arial"/>
          <w:sz w:val="18"/>
          <w:szCs w:val="18"/>
          <w:b w:val="1"/>
          <w:bCs w:val="1"/>
          <w:color w:val="auto"/>
        </w:rPr>
        <w:t>CUSIP No. 92971A109</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5 of 7 Pages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ind w:left="120"/>
        <w:spacing w:after="0"/>
        <w:tabs>
          <w:tab w:leader="none" w:pos="1680" w:val="left"/>
        </w:tabs>
        <w:rPr>
          <w:sz w:val="20"/>
          <w:szCs w:val="20"/>
          <w:color w:val="auto"/>
        </w:rPr>
      </w:pPr>
      <w:r>
        <w:rPr>
          <w:rFonts w:ascii="Arial" w:cs="Arial" w:eastAsia="Arial" w:hAnsi="Arial"/>
          <w:sz w:val="20"/>
          <w:szCs w:val="20"/>
          <w:b w:val="1"/>
          <w:bCs w:val="1"/>
          <w:color w:val="auto"/>
        </w:rPr>
        <w:t>Item 2(e).</w:t>
      </w:r>
      <w:r>
        <w:rPr>
          <w:sz w:val="20"/>
          <w:szCs w:val="20"/>
          <w:color w:val="auto"/>
        </w:rPr>
        <w:tab/>
      </w:r>
      <w:r>
        <w:rPr>
          <w:rFonts w:ascii="Arial" w:cs="Arial" w:eastAsia="Arial" w:hAnsi="Arial"/>
          <w:sz w:val="18"/>
          <w:szCs w:val="18"/>
          <w:b w:val="1"/>
          <w:bCs w:val="1"/>
          <w:color w:val="auto"/>
        </w:rPr>
        <w:t>CUSIP Number.</w:t>
      </w:r>
    </w:p>
    <w:p>
      <w:pPr>
        <w:spacing w:after="0" w:line="235" w:lineRule="exact"/>
        <w:rPr>
          <w:sz w:val="20"/>
          <w:szCs w:val="20"/>
          <w:color w:val="auto"/>
        </w:rPr>
      </w:pPr>
    </w:p>
    <w:p>
      <w:pPr>
        <w:ind w:left="1700"/>
        <w:spacing w:after="0"/>
        <w:rPr>
          <w:sz w:val="20"/>
          <w:szCs w:val="20"/>
          <w:color w:val="auto"/>
        </w:rPr>
      </w:pPr>
      <w:r>
        <w:rPr>
          <w:rFonts w:ascii="Arial" w:cs="Arial" w:eastAsia="Arial" w:hAnsi="Arial"/>
          <w:sz w:val="20"/>
          <w:szCs w:val="20"/>
          <w:color w:val="auto"/>
        </w:rPr>
        <w:t>92971A109</w:t>
      </w:r>
    </w:p>
    <w:p>
      <w:pPr>
        <w:spacing w:after="0" w:line="223" w:lineRule="exact"/>
        <w:rPr>
          <w:sz w:val="20"/>
          <w:szCs w:val="20"/>
          <w:color w:val="auto"/>
        </w:rPr>
      </w:pPr>
    </w:p>
    <w:p>
      <w:pPr>
        <w:ind w:left="120"/>
        <w:spacing w:after="0"/>
        <w:tabs>
          <w:tab w:leader="none" w:pos="178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18"/>
          <w:szCs w:val="18"/>
          <w:b w:val="1"/>
          <w:bCs w:val="1"/>
          <w:color w:val="auto"/>
        </w:rPr>
        <w:t>If this Statement is Filed Pursuant to §§ 240.13d-1(b) or 240.13d-2(b), or (c), check whether the Person Filing</w:t>
      </w:r>
    </w:p>
    <w:p>
      <w:pPr>
        <w:spacing w:after="0" w:line="22" w:lineRule="exact"/>
        <w:rPr>
          <w:sz w:val="20"/>
          <w:szCs w:val="20"/>
          <w:color w:val="auto"/>
        </w:rPr>
      </w:pPr>
    </w:p>
    <w:p>
      <w:pPr>
        <w:ind w:left="1800"/>
        <w:spacing w:after="0"/>
        <w:rPr>
          <w:sz w:val="20"/>
          <w:szCs w:val="20"/>
          <w:color w:val="auto"/>
        </w:rPr>
      </w:pPr>
      <w:r>
        <w:rPr>
          <w:rFonts w:ascii="Arial" w:cs="Arial" w:eastAsia="Arial" w:hAnsi="Arial"/>
          <w:sz w:val="20"/>
          <w:szCs w:val="20"/>
          <w:b w:val="1"/>
          <w:bCs w:val="1"/>
          <w:color w:val="auto"/>
        </w:rPr>
        <w:t>is a:</w:t>
      </w:r>
    </w:p>
    <w:p>
      <w:pPr>
        <w:spacing w:after="0" w:line="189" w:lineRule="exact"/>
        <w:rPr>
          <w:sz w:val="20"/>
          <w:szCs w:val="20"/>
          <w:color w:val="auto"/>
        </w:rPr>
      </w:pPr>
    </w:p>
    <w:p>
      <w:pPr>
        <w:ind w:left="2620" w:hanging="821"/>
        <w:spacing w:after="0" w:line="230" w:lineRule="exact"/>
        <w:tabs>
          <w:tab w:leader="none" w:pos="2620" w:val="left"/>
        </w:tabs>
        <w:numPr>
          <w:ilvl w:val="0"/>
          <w:numId w:val="6"/>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18"/>
          <w:szCs w:val="18"/>
          <w:color w:val="auto"/>
        </w:rPr>
        <w:t>Broker or dealer registered under section 15 of the Act (15 U.S.C. 78o);</w:t>
      </w:r>
    </w:p>
    <w:p>
      <w:pPr>
        <w:spacing w:after="0" w:line="229" w:lineRule="exact"/>
        <w:rPr>
          <w:rFonts w:ascii="Arial" w:cs="Arial" w:eastAsia="Arial" w:hAnsi="Arial"/>
          <w:sz w:val="20"/>
          <w:szCs w:val="20"/>
          <w:color w:val="auto"/>
        </w:rPr>
      </w:pPr>
    </w:p>
    <w:p>
      <w:pPr>
        <w:ind w:left="2620" w:hanging="821"/>
        <w:spacing w:after="0" w:line="230" w:lineRule="exact"/>
        <w:tabs>
          <w:tab w:leader="none" w:pos="2620" w:val="left"/>
        </w:tabs>
        <w:numPr>
          <w:ilvl w:val="0"/>
          <w:numId w:val="6"/>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18"/>
          <w:szCs w:val="18"/>
          <w:color w:val="auto"/>
        </w:rPr>
        <w:t>Bank as defined in section 3(a)(6) of the Act (15 U.S.C. 78c);</w:t>
      </w:r>
    </w:p>
    <w:p>
      <w:pPr>
        <w:spacing w:after="0" w:line="229" w:lineRule="exact"/>
        <w:rPr>
          <w:rFonts w:ascii="Arial" w:cs="Arial" w:eastAsia="Arial" w:hAnsi="Arial"/>
          <w:sz w:val="20"/>
          <w:szCs w:val="20"/>
          <w:color w:val="auto"/>
        </w:rPr>
      </w:pPr>
    </w:p>
    <w:p>
      <w:pPr>
        <w:ind w:left="2620" w:hanging="821"/>
        <w:spacing w:after="0" w:line="230" w:lineRule="exact"/>
        <w:tabs>
          <w:tab w:leader="none" w:pos="2620" w:val="left"/>
        </w:tabs>
        <w:numPr>
          <w:ilvl w:val="0"/>
          <w:numId w:val="6"/>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18"/>
          <w:szCs w:val="18"/>
          <w:color w:val="auto"/>
        </w:rPr>
        <w:t>Insurance company as defined in section 3(a)(19) of the Act (15 U.S.C. 78c);</w:t>
      </w:r>
    </w:p>
    <w:p>
      <w:pPr>
        <w:spacing w:after="0" w:line="229" w:lineRule="exact"/>
        <w:rPr>
          <w:rFonts w:ascii="Arial" w:cs="Arial" w:eastAsia="Arial" w:hAnsi="Arial"/>
          <w:sz w:val="20"/>
          <w:szCs w:val="20"/>
          <w:color w:val="auto"/>
        </w:rPr>
      </w:pPr>
    </w:p>
    <w:p>
      <w:pPr>
        <w:ind w:left="3140" w:right="200" w:hanging="1341"/>
        <w:spacing w:after="0" w:line="240" w:lineRule="exact"/>
        <w:tabs>
          <w:tab w:leader="none" w:pos="2611" w:val="left"/>
        </w:tabs>
        <w:numPr>
          <w:ilvl w:val="0"/>
          <w:numId w:val="6"/>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Investment company registered under section 8 of the Investment Company Act of 1940 (15 U.S.C. 80a-8);</w:t>
      </w:r>
    </w:p>
    <w:p>
      <w:pPr>
        <w:spacing w:after="0" w:line="195" w:lineRule="exact"/>
        <w:rPr>
          <w:rFonts w:ascii="Arial" w:cs="Arial" w:eastAsia="Arial" w:hAnsi="Arial"/>
          <w:sz w:val="20"/>
          <w:szCs w:val="20"/>
          <w:color w:val="auto"/>
        </w:rPr>
      </w:pPr>
    </w:p>
    <w:p>
      <w:pPr>
        <w:ind w:left="2620" w:hanging="821"/>
        <w:spacing w:after="0" w:line="230" w:lineRule="exact"/>
        <w:tabs>
          <w:tab w:leader="none" w:pos="2620" w:val="left"/>
        </w:tabs>
        <w:numPr>
          <w:ilvl w:val="0"/>
          <w:numId w:val="6"/>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18"/>
          <w:szCs w:val="18"/>
          <w:color w:val="auto"/>
        </w:rPr>
        <w:t>An investment adviser in accordance with § 240.13d-1(b)(1)(ii)(E);</w:t>
      </w:r>
    </w:p>
    <w:p>
      <w:pPr>
        <w:spacing w:after="0" w:line="229" w:lineRule="exact"/>
        <w:rPr>
          <w:rFonts w:ascii="Arial" w:cs="Arial" w:eastAsia="Arial" w:hAnsi="Arial"/>
          <w:sz w:val="20"/>
          <w:szCs w:val="20"/>
          <w:color w:val="auto"/>
        </w:rPr>
      </w:pPr>
    </w:p>
    <w:p>
      <w:pPr>
        <w:ind w:left="2620" w:hanging="821"/>
        <w:spacing w:after="0" w:line="230" w:lineRule="exact"/>
        <w:tabs>
          <w:tab w:leader="none" w:pos="2620" w:val="left"/>
        </w:tabs>
        <w:numPr>
          <w:ilvl w:val="0"/>
          <w:numId w:val="6"/>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18"/>
          <w:szCs w:val="18"/>
          <w:color w:val="auto"/>
        </w:rPr>
        <w:t>An employee benefit plan or endowment fund in accordance with § 240.13d-1(b)(1)(ii)(F);</w:t>
      </w:r>
    </w:p>
    <w:p>
      <w:pPr>
        <w:spacing w:after="0" w:line="229" w:lineRule="exact"/>
        <w:rPr>
          <w:rFonts w:ascii="Arial" w:cs="Arial" w:eastAsia="Arial" w:hAnsi="Arial"/>
          <w:sz w:val="20"/>
          <w:szCs w:val="20"/>
          <w:color w:val="auto"/>
        </w:rPr>
      </w:pPr>
    </w:p>
    <w:p>
      <w:pPr>
        <w:ind w:left="2620" w:hanging="821"/>
        <w:spacing w:after="0" w:line="230" w:lineRule="exact"/>
        <w:tabs>
          <w:tab w:leader="none" w:pos="2620" w:val="left"/>
        </w:tabs>
        <w:numPr>
          <w:ilvl w:val="0"/>
          <w:numId w:val="6"/>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18"/>
          <w:szCs w:val="18"/>
          <w:color w:val="auto"/>
        </w:rPr>
        <w:t>A parent holding company or control person in accordance with §240.13d-1(b)(1)(ii)(G);</w:t>
      </w:r>
    </w:p>
    <w:p>
      <w:pPr>
        <w:spacing w:after="0" w:line="229" w:lineRule="exact"/>
        <w:rPr>
          <w:rFonts w:ascii="Arial" w:cs="Arial" w:eastAsia="Arial" w:hAnsi="Arial"/>
          <w:sz w:val="20"/>
          <w:szCs w:val="20"/>
          <w:color w:val="auto"/>
        </w:rPr>
      </w:pPr>
    </w:p>
    <w:p>
      <w:pPr>
        <w:ind w:left="3140" w:right="1020" w:hanging="1341"/>
        <w:spacing w:after="0" w:line="240" w:lineRule="exact"/>
        <w:tabs>
          <w:tab w:leader="none" w:pos="2611" w:val="left"/>
        </w:tabs>
        <w:numPr>
          <w:ilvl w:val="0"/>
          <w:numId w:val="6"/>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A savings association as defined in Section 3(b) of the Federal Deposit Insurance Act (12 U.S.C.1813);</w:t>
      </w:r>
    </w:p>
    <w:p>
      <w:pPr>
        <w:spacing w:after="0" w:line="209" w:lineRule="exact"/>
        <w:rPr>
          <w:rFonts w:ascii="Arial" w:cs="Arial" w:eastAsia="Arial" w:hAnsi="Arial"/>
          <w:sz w:val="20"/>
          <w:szCs w:val="20"/>
          <w:color w:val="auto"/>
        </w:rPr>
      </w:pPr>
    </w:p>
    <w:p>
      <w:pPr>
        <w:ind w:left="3140" w:right="180" w:hanging="1341"/>
        <w:spacing w:after="0" w:line="240" w:lineRule="exact"/>
        <w:tabs>
          <w:tab w:leader="none" w:pos="2611" w:val="left"/>
        </w:tabs>
        <w:numPr>
          <w:ilvl w:val="0"/>
          <w:numId w:val="6"/>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A church plan that is excluded from the definition of an investment company under section 3(c)(14) of the Investment Company Act of 1940 (15 U.S.C. 80a-3);</w:t>
      </w:r>
    </w:p>
    <w:p>
      <w:pPr>
        <w:spacing w:after="0" w:line="209" w:lineRule="exact"/>
        <w:rPr>
          <w:rFonts w:ascii="Arial" w:cs="Arial" w:eastAsia="Arial" w:hAnsi="Arial"/>
          <w:sz w:val="20"/>
          <w:szCs w:val="20"/>
          <w:color w:val="auto"/>
        </w:rPr>
      </w:pPr>
    </w:p>
    <w:p>
      <w:pPr>
        <w:ind w:left="2620" w:hanging="821"/>
        <w:spacing w:after="0" w:line="230" w:lineRule="exact"/>
        <w:tabs>
          <w:tab w:leader="none" w:pos="2620" w:val="left"/>
        </w:tabs>
        <w:numPr>
          <w:ilvl w:val="0"/>
          <w:numId w:val="6"/>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18"/>
          <w:szCs w:val="18"/>
          <w:color w:val="auto"/>
        </w:rPr>
        <w:t>A non-U.S. institution in accordance with §240.13d-1(b)(1)(ii)(J);</w:t>
      </w:r>
    </w:p>
    <w:p>
      <w:pPr>
        <w:spacing w:after="0" w:line="229" w:lineRule="exact"/>
        <w:rPr>
          <w:rFonts w:ascii="Arial" w:cs="Arial" w:eastAsia="Arial" w:hAnsi="Arial"/>
          <w:sz w:val="20"/>
          <w:szCs w:val="20"/>
          <w:color w:val="auto"/>
        </w:rPr>
      </w:pPr>
    </w:p>
    <w:p>
      <w:pPr>
        <w:ind w:left="2620" w:hanging="821"/>
        <w:spacing w:after="0" w:line="230" w:lineRule="exact"/>
        <w:tabs>
          <w:tab w:leader="none" w:pos="2620" w:val="left"/>
        </w:tabs>
        <w:numPr>
          <w:ilvl w:val="0"/>
          <w:numId w:val="6"/>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18"/>
          <w:szCs w:val="18"/>
          <w:color w:val="auto"/>
        </w:rPr>
        <w:t>Group, in accordance with §240.13d-1(b)(1)(ii)(K).</w:t>
      </w:r>
    </w:p>
    <w:p>
      <w:pPr>
        <w:spacing w:after="0" w:line="266" w:lineRule="exact"/>
        <w:rPr>
          <w:sz w:val="20"/>
          <w:szCs w:val="20"/>
          <w:color w:val="auto"/>
        </w:rPr>
      </w:pPr>
    </w:p>
    <w:p>
      <w:pPr>
        <w:ind w:left="1800" w:right="2880"/>
        <w:spacing w:after="0" w:line="260" w:lineRule="auto"/>
        <w:rPr>
          <w:sz w:val="20"/>
          <w:szCs w:val="20"/>
          <w:color w:val="auto"/>
        </w:rPr>
      </w:pPr>
      <w:r>
        <w:rPr>
          <w:rFonts w:ascii="Arial" w:cs="Arial" w:eastAsia="Arial" w:hAnsi="Arial"/>
          <w:sz w:val="20"/>
          <w:szCs w:val="20"/>
          <w:color w:val="auto"/>
        </w:rPr>
        <w:t>If filing as a non-U.S. institution in accordance with Rule 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-13335</wp:posOffset>
            </wp:positionV>
            <wp:extent cx="34975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178" w:lineRule="exact"/>
        <w:rPr>
          <w:sz w:val="20"/>
          <w:szCs w:val="20"/>
          <w:color w:val="auto"/>
        </w:rPr>
      </w:pPr>
    </w:p>
    <w:p>
      <w:pPr>
        <w:ind w:left="120"/>
        <w:spacing w:after="0"/>
        <w:tabs>
          <w:tab w:leader="none" w:pos="168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35" w:lineRule="exact"/>
        <w:rPr>
          <w:sz w:val="20"/>
          <w:szCs w:val="20"/>
          <w:color w:val="auto"/>
        </w:rPr>
      </w:pPr>
    </w:p>
    <w:p>
      <w:pPr>
        <w:ind w:left="1700" w:right="160"/>
        <w:spacing w:after="0" w:line="257" w:lineRule="auto"/>
        <w:rPr>
          <w:sz w:val="20"/>
          <w:szCs w:val="20"/>
          <w:color w:val="auto"/>
        </w:rPr>
      </w:pPr>
      <w:r>
        <w:rPr>
          <w:rFonts w:ascii="Arial" w:cs="Arial" w:eastAsia="Arial" w:hAnsi="Arial"/>
          <w:sz w:val="19"/>
          <w:szCs w:val="19"/>
          <w:color w:val="auto"/>
        </w:rPr>
        <w:t>The information required by Items 4(a) – (c) is set forth in Rows (5) – (11) of the cover page for each Reporting Person hereto and is incorporated herein by reference for each such Reporting Person. The percentages set forth in this Schedule 13G/A are calculated based upon an aggregate of 65,677,361 shares of Class A Common Stock outstanding as of November 24, 2021, as reported in the Issuer's Prospectus filed pursuant to Rule 424(b)(3) with the Securities and Exchange Commission on December 10, 2021. The percentage set forth on row (11) and the number of shares of Class A Common Stock set forth on rows (6), (8) and (9) of the cover page for each Reporting Person are based on the Issuer's total number of outstanding shares of Class A Common Stock and assume the exercise of the reported warrants, subject to the 9.99% Blocker.</w:t>
      </w:r>
    </w:p>
    <w:p>
      <w:pPr>
        <w:sectPr>
          <w:pgSz w:w="11900" w:h="16838" w:orient="portrait"/>
          <w:cols w:equalWidth="0" w:num="1">
            <w:col w:w="11240"/>
          </w:cols>
          <w:pgMar w:left="320" w:top="229" w:right="339" w:bottom="1440" w:gutter="0" w:footer="0" w:header="0"/>
          <w:type w:val="continuous"/>
        </w:sectPr>
      </w:pPr>
    </w:p>
    <w:bookmarkStart w:id="5" w:name="page6"/>
    <w:bookmarkEnd w:id="5"/>
    <w:p>
      <w:pPr>
        <w:spacing w:after="0"/>
        <w:tabs>
          <w:tab w:leader="none" w:pos="5360" w:val="left"/>
          <w:tab w:leader="none" w:pos="9900" w:val="left"/>
        </w:tabs>
        <w:rPr>
          <w:sz w:val="20"/>
          <w:szCs w:val="20"/>
          <w:color w:val="auto"/>
        </w:rPr>
      </w:pPr>
      <w:r>
        <w:rPr>
          <w:rFonts w:ascii="Arial" w:cs="Arial" w:eastAsia="Arial" w:hAnsi="Arial"/>
          <w:sz w:val="18"/>
          <w:szCs w:val="18"/>
          <w:b w:val="1"/>
          <w:bCs w:val="1"/>
          <w:color w:val="auto"/>
        </w:rPr>
        <w:t>CUSIP No. 92971A109</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6 of 7 Pages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77"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1120" w:type="dxa"/>
            <w:vAlign w:val="bottom"/>
          </w:tcPr>
          <w:p>
            <w:pPr>
              <w:spacing w:after="0"/>
              <w:rPr>
                <w:sz w:val="19"/>
                <w:szCs w:val="19"/>
                <w:color w:val="auto"/>
              </w:rPr>
            </w:pPr>
          </w:p>
        </w:tc>
        <w:tc>
          <w:tcPr>
            <w:tcW w:w="9900" w:type="dxa"/>
            <w:vAlign w:val="bottom"/>
            <w:gridSpan w:val="3"/>
          </w:tcPr>
          <w:p>
            <w:pPr>
              <w:ind w:left="460"/>
              <w:spacing w:after="0"/>
              <w:rPr>
                <w:sz w:val="20"/>
                <w:szCs w:val="20"/>
                <w:color w:val="auto"/>
              </w:rPr>
            </w:pPr>
            <w:r>
              <w:rPr>
                <w:rFonts w:ascii="Arial" w:cs="Arial" w:eastAsia="Arial" w:hAnsi="Arial"/>
                <w:sz w:val="20"/>
                <w:szCs w:val="20"/>
                <w:color w:val="auto"/>
                <w:w w:val="90"/>
              </w:rPr>
              <w:t>Pursuant to the terms of the reported warrants, the Reporting Persons cannot exercise such warrants if the Reporting</w:t>
            </w:r>
          </w:p>
        </w:tc>
      </w:tr>
      <w:tr>
        <w:trPr>
          <w:trHeight w:val="229"/>
        </w:trPr>
        <w:tc>
          <w:tcPr>
            <w:tcW w:w="1120" w:type="dxa"/>
            <w:vAlign w:val="bottom"/>
          </w:tcPr>
          <w:p>
            <w:pPr>
              <w:spacing w:after="0"/>
              <w:rPr>
                <w:sz w:val="19"/>
                <w:szCs w:val="19"/>
                <w:color w:val="auto"/>
              </w:rPr>
            </w:pPr>
          </w:p>
        </w:tc>
        <w:tc>
          <w:tcPr>
            <w:tcW w:w="9900" w:type="dxa"/>
            <w:vAlign w:val="bottom"/>
            <w:gridSpan w:val="3"/>
          </w:tcPr>
          <w:p>
            <w:pPr>
              <w:ind w:left="460"/>
              <w:spacing w:after="0"/>
              <w:rPr>
                <w:sz w:val="20"/>
                <w:szCs w:val="20"/>
                <w:color w:val="auto"/>
              </w:rPr>
            </w:pPr>
            <w:r>
              <w:rPr>
                <w:rFonts w:ascii="Arial" w:cs="Arial" w:eastAsia="Arial" w:hAnsi="Arial"/>
                <w:sz w:val="20"/>
                <w:szCs w:val="20"/>
                <w:color w:val="auto"/>
                <w:w w:val="91"/>
              </w:rPr>
              <w:t>Persons would beneficially own, after such exercise, more than 9.99% of the outstanding shares of Class A Common</w:t>
            </w:r>
          </w:p>
        </w:tc>
      </w:tr>
      <w:tr>
        <w:trPr>
          <w:trHeight w:val="206"/>
        </w:trPr>
        <w:tc>
          <w:tcPr>
            <w:tcW w:w="1120" w:type="dxa"/>
            <w:vAlign w:val="bottom"/>
          </w:tcPr>
          <w:p>
            <w:pPr>
              <w:spacing w:after="0"/>
              <w:rPr>
                <w:sz w:val="17"/>
                <w:szCs w:val="17"/>
                <w:color w:val="auto"/>
              </w:rPr>
            </w:pPr>
          </w:p>
        </w:tc>
        <w:tc>
          <w:tcPr>
            <w:tcW w:w="9900" w:type="dxa"/>
            <w:vAlign w:val="bottom"/>
            <w:gridSpan w:val="3"/>
          </w:tcPr>
          <w:p>
            <w:pPr>
              <w:ind w:left="460"/>
              <w:spacing w:after="0" w:line="206" w:lineRule="exact"/>
              <w:rPr>
                <w:sz w:val="20"/>
                <w:szCs w:val="20"/>
                <w:color w:val="auto"/>
              </w:rPr>
            </w:pPr>
            <w:r>
              <w:rPr>
                <w:rFonts w:ascii="Arial" w:cs="Arial" w:eastAsia="Arial" w:hAnsi="Arial"/>
                <w:sz w:val="20"/>
                <w:szCs w:val="20"/>
                <w:color w:val="auto"/>
                <w:w w:val="90"/>
              </w:rPr>
              <w:t>Stock (the "9.99% Blocker"). Consequently, at this time, the Reporting Persons are not able to exercise and convert all</w:t>
            </w:r>
          </w:p>
        </w:tc>
      </w:tr>
      <w:tr>
        <w:trPr>
          <w:trHeight w:val="20"/>
        </w:trPr>
        <w:tc>
          <w:tcPr>
            <w:tcW w:w="1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r>
      <w:tr>
        <w:trPr>
          <w:trHeight w:val="233"/>
        </w:trPr>
        <w:tc>
          <w:tcPr>
            <w:tcW w:w="1120" w:type="dxa"/>
            <w:vAlign w:val="bottom"/>
          </w:tcPr>
          <w:p>
            <w:pPr>
              <w:spacing w:after="0"/>
              <w:rPr>
                <w:sz w:val="20"/>
                <w:szCs w:val="20"/>
                <w:color w:val="auto"/>
              </w:rPr>
            </w:pPr>
          </w:p>
        </w:tc>
        <w:tc>
          <w:tcPr>
            <w:tcW w:w="9900" w:type="dxa"/>
            <w:vAlign w:val="bottom"/>
            <w:gridSpan w:val="3"/>
          </w:tcPr>
          <w:p>
            <w:pPr>
              <w:ind w:left="460"/>
              <w:spacing w:after="0"/>
              <w:rPr>
                <w:sz w:val="20"/>
                <w:szCs w:val="20"/>
                <w:color w:val="auto"/>
              </w:rPr>
            </w:pPr>
            <w:r>
              <w:rPr>
                <w:rFonts w:ascii="Arial" w:cs="Arial" w:eastAsia="Arial" w:hAnsi="Arial"/>
                <w:sz w:val="20"/>
                <w:szCs w:val="20"/>
                <w:color w:val="auto"/>
                <w:w w:val="89"/>
              </w:rPr>
              <w:t>warrants due to the 9.99% Blocker. The percentage set forth on row (11) and the number of shares of Class A Common</w:t>
            </w:r>
          </w:p>
        </w:tc>
      </w:tr>
      <w:tr>
        <w:trPr>
          <w:trHeight w:val="250"/>
        </w:trPr>
        <w:tc>
          <w:tcPr>
            <w:tcW w:w="1120" w:type="dxa"/>
            <w:vAlign w:val="bottom"/>
          </w:tcPr>
          <w:p>
            <w:pPr>
              <w:spacing w:after="0"/>
              <w:rPr>
                <w:sz w:val="21"/>
                <w:szCs w:val="21"/>
                <w:color w:val="auto"/>
              </w:rPr>
            </w:pPr>
          </w:p>
        </w:tc>
        <w:tc>
          <w:tcPr>
            <w:tcW w:w="9900" w:type="dxa"/>
            <w:vAlign w:val="bottom"/>
            <w:gridSpan w:val="3"/>
          </w:tcPr>
          <w:p>
            <w:pPr>
              <w:ind w:left="460"/>
              <w:spacing w:after="0"/>
              <w:rPr>
                <w:sz w:val="20"/>
                <w:szCs w:val="20"/>
                <w:color w:val="auto"/>
              </w:rPr>
            </w:pPr>
            <w:r>
              <w:rPr>
                <w:rFonts w:ascii="Arial" w:cs="Arial" w:eastAsia="Arial" w:hAnsi="Arial"/>
                <w:sz w:val="20"/>
                <w:szCs w:val="20"/>
                <w:color w:val="auto"/>
                <w:w w:val="91"/>
              </w:rPr>
              <w:t>Stock set forth on rows (6), (8) and (9) of the cover page for each Reporting Person give effect to the 9.99% Blocker.</w:t>
            </w:r>
          </w:p>
        </w:tc>
      </w:tr>
      <w:tr>
        <w:trPr>
          <w:trHeight w:val="459"/>
        </w:trPr>
        <w:tc>
          <w:tcPr>
            <w:tcW w:w="1120" w:type="dxa"/>
            <w:vAlign w:val="bottom"/>
          </w:tcPr>
          <w:p>
            <w:pPr>
              <w:spacing w:after="0"/>
              <w:rPr>
                <w:sz w:val="20"/>
                <w:szCs w:val="20"/>
                <w:color w:val="auto"/>
              </w:rPr>
            </w:pPr>
            <w:r>
              <w:rPr>
                <w:rFonts w:ascii="Arial" w:cs="Arial" w:eastAsia="Arial" w:hAnsi="Arial"/>
                <w:sz w:val="20"/>
                <w:szCs w:val="20"/>
                <w:b w:val="1"/>
                <w:bCs w:val="1"/>
                <w:color w:val="auto"/>
              </w:rPr>
              <w:t>Item 5.</w:t>
            </w:r>
          </w:p>
        </w:tc>
        <w:tc>
          <w:tcPr>
            <w:tcW w:w="9900" w:type="dxa"/>
            <w:vAlign w:val="bottom"/>
            <w:gridSpan w:val="3"/>
          </w:tcPr>
          <w:p>
            <w:pPr>
              <w:ind w:left="460"/>
              <w:spacing w:after="0"/>
              <w:rPr>
                <w:sz w:val="20"/>
                <w:szCs w:val="20"/>
                <w:color w:val="auto"/>
              </w:rPr>
            </w:pPr>
            <w:r>
              <w:rPr>
                <w:rFonts w:ascii="Arial" w:cs="Arial" w:eastAsia="Arial" w:hAnsi="Arial"/>
                <w:sz w:val="20"/>
                <w:szCs w:val="20"/>
                <w:b w:val="1"/>
                <w:bCs w:val="1"/>
                <w:color w:val="auto"/>
              </w:rPr>
              <w:t>Ownership of Five Percent or Less of a Class.</w:t>
            </w:r>
          </w:p>
        </w:tc>
      </w:tr>
      <w:tr>
        <w:trPr>
          <w:trHeight w:val="459"/>
        </w:trPr>
        <w:tc>
          <w:tcPr>
            <w:tcW w:w="1120" w:type="dxa"/>
            <w:vAlign w:val="bottom"/>
          </w:tcPr>
          <w:p>
            <w:pPr>
              <w:spacing w:after="0"/>
              <w:rPr>
                <w:sz w:val="24"/>
                <w:szCs w:val="24"/>
                <w:color w:val="auto"/>
              </w:rPr>
            </w:pPr>
          </w:p>
        </w:tc>
        <w:tc>
          <w:tcPr>
            <w:tcW w:w="9900" w:type="dxa"/>
            <w:vAlign w:val="bottom"/>
            <w:gridSpan w:val="3"/>
          </w:tcPr>
          <w:p>
            <w:pPr>
              <w:ind w:left="460"/>
              <w:spacing w:after="0"/>
              <w:rPr>
                <w:sz w:val="20"/>
                <w:szCs w:val="20"/>
                <w:color w:val="auto"/>
              </w:rPr>
            </w:pPr>
            <w:r>
              <w:rPr>
                <w:rFonts w:ascii="Arial" w:cs="Arial" w:eastAsia="Arial" w:hAnsi="Arial"/>
                <w:sz w:val="20"/>
                <w:szCs w:val="20"/>
                <w:color w:val="auto"/>
              </w:rPr>
              <w:t>Not applicable.</w:t>
            </w:r>
          </w:p>
        </w:tc>
      </w:tr>
      <w:tr>
        <w:trPr>
          <w:trHeight w:val="459"/>
        </w:trPr>
        <w:tc>
          <w:tcPr>
            <w:tcW w:w="1120" w:type="dxa"/>
            <w:vAlign w:val="bottom"/>
          </w:tcPr>
          <w:p>
            <w:pPr>
              <w:spacing w:after="0"/>
              <w:rPr>
                <w:sz w:val="20"/>
                <w:szCs w:val="20"/>
                <w:color w:val="auto"/>
              </w:rPr>
            </w:pPr>
            <w:r>
              <w:rPr>
                <w:rFonts w:ascii="Arial" w:cs="Arial" w:eastAsia="Arial" w:hAnsi="Arial"/>
                <w:sz w:val="20"/>
                <w:szCs w:val="20"/>
                <w:b w:val="1"/>
                <w:bCs w:val="1"/>
                <w:color w:val="auto"/>
              </w:rPr>
              <w:t>Item 6.</w:t>
            </w:r>
          </w:p>
        </w:tc>
        <w:tc>
          <w:tcPr>
            <w:tcW w:w="9900" w:type="dxa"/>
            <w:vAlign w:val="bottom"/>
            <w:gridSpan w:val="3"/>
          </w:tcPr>
          <w:p>
            <w:pPr>
              <w:ind w:left="460"/>
              <w:spacing w:after="0"/>
              <w:rPr>
                <w:sz w:val="20"/>
                <w:szCs w:val="20"/>
                <w:color w:val="auto"/>
              </w:rPr>
            </w:pPr>
            <w:r>
              <w:rPr>
                <w:rFonts w:ascii="Arial" w:cs="Arial" w:eastAsia="Arial" w:hAnsi="Arial"/>
                <w:sz w:val="20"/>
                <w:szCs w:val="20"/>
                <w:b w:val="1"/>
                <w:bCs w:val="1"/>
                <w:color w:val="auto"/>
              </w:rPr>
              <w:t>Ownership of More Than Five Percent on Behalf of Another Person.</w:t>
            </w:r>
          </w:p>
        </w:tc>
      </w:tr>
      <w:tr>
        <w:trPr>
          <w:trHeight w:val="438"/>
        </w:trPr>
        <w:tc>
          <w:tcPr>
            <w:tcW w:w="1120" w:type="dxa"/>
            <w:vAlign w:val="bottom"/>
          </w:tcPr>
          <w:p>
            <w:pPr>
              <w:spacing w:after="0"/>
              <w:rPr>
                <w:sz w:val="24"/>
                <w:szCs w:val="24"/>
                <w:color w:val="auto"/>
              </w:rPr>
            </w:pPr>
          </w:p>
        </w:tc>
        <w:tc>
          <w:tcPr>
            <w:tcW w:w="9900" w:type="dxa"/>
            <w:vAlign w:val="bottom"/>
            <w:gridSpan w:val="3"/>
          </w:tcPr>
          <w:p>
            <w:pPr>
              <w:ind w:left="460"/>
              <w:spacing w:after="0"/>
              <w:rPr>
                <w:sz w:val="20"/>
                <w:szCs w:val="20"/>
                <w:color w:val="auto"/>
              </w:rPr>
            </w:pPr>
            <w:r>
              <w:rPr>
                <w:rFonts w:ascii="Arial" w:cs="Arial" w:eastAsia="Arial" w:hAnsi="Arial"/>
                <w:sz w:val="20"/>
                <w:szCs w:val="20"/>
                <w:color w:val="auto"/>
                <w:w w:val="95"/>
              </w:rPr>
              <w:t>The Investment Vehicles have the right to receive and the power to direct the receipt of dividends from, and the</w:t>
            </w:r>
          </w:p>
        </w:tc>
      </w:tr>
      <w:tr>
        <w:trPr>
          <w:trHeight w:val="230"/>
        </w:trPr>
        <w:tc>
          <w:tcPr>
            <w:tcW w:w="1120" w:type="dxa"/>
            <w:vAlign w:val="bottom"/>
          </w:tcPr>
          <w:p>
            <w:pPr>
              <w:spacing w:after="0"/>
              <w:rPr>
                <w:sz w:val="19"/>
                <w:szCs w:val="19"/>
                <w:color w:val="auto"/>
              </w:rPr>
            </w:pPr>
          </w:p>
        </w:tc>
        <w:tc>
          <w:tcPr>
            <w:tcW w:w="9900" w:type="dxa"/>
            <w:vAlign w:val="bottom"/>
            <w:gridSpan w:val="3"/>
          </w:tcPr>
          <w:p>
            <w:pPr>
              <w:ind w:left="460"/>
              <w:spacing w:after="0"/>
              <w:rPr>
                <w:sz w:val="20"/>
                <w:szCs w:val="20"/>
                <w:color w:val="auto"/>
              </w:rPr>
            </w:pPr>
            <w:r>
              <w:rPr>
                <w:rFonts w:ascii="Arial" w:cs="Arial" w:eastAsia="Arial" w:hAnsi="Arial"/>
                <w:sz w:val="20"/>
                <w:szCs w:val="20"/>
                <w:color w:val="auto"/>
                <w:w w:val="90"/>
              </w:rPr>
              <w:t>proceeds from the sale of the Class A Common Stock. Senvest Master Fund, LP has the right to receive or the power</w:t>
            </w:r>
          </w:p>
        </w:tc>
      </w:tr>
      <w:tr>
        <w:trPr>
          <w:trHeight w:val="250"/>
        </w:trPr>
        <w:tc>
          <w:tcPr>
            <w:tcW w:w="1120" w:type="dxa"/>
            <w:vAlign w:val="bottom"/>
          </w:tcPr>
          <w:p>
            <w:pPr>
              <w:spacing w:after="0"/>
              <w:rPr>
                <w:sz w:val="21"/>
                <w:szCs w:val="21"/>
                <w:color w:val="auto"/>
              </w:rPr>
            </w:pPr>
          </w:p>
        </w:tc>
        <w:tc>
          <w:tcPr>
            <w:tcW w:w="9900" w:type="dxa"/>
            <w:vAlign w:val="bottom"/>
            <w:gridSpan w:val="3"/>
          </w:tcPr>
          <w:p>
            <w:pPr>
              <w:ind w:left="460"/>
              <w:spacing w:after="0"/>
              <w:rPr>
                <w:sz w:val="20"/>
                <w:szCs w:val="20"/>
                <w:color w:val="auto"/>
              </w:rPr>
            </w:pPr>
            <w:r>
              <w:rPr>
                <w:rFonts w:ascii="Arial" w:cs="Arial" w:eastAsia="Arial" w:hAnsi="Arial"/>
                <w:sz w:val="20"/>
                <w:szCs w:val="20"/>
                <w:color w:val="auto"/>
                <w:w w:val="91"/>
              </w:rPr>
              <w:t>to direct the receipt of dividends from, or the proceeds from the sale of, more than 5% of the Class A Common Stock.</w:t>
            </w:r>
          </w:p>
        </w:tc>
      </w:tr>
      <w:tr>
        <w:trPr>
          <w:trHeight w:val="432"/>
        </w:trPr>
        <w:tc>
          <w:tcPr>
            <w:tcW w:w="1120" w:type="dxa"/>
            <w:vAlign w:val="bottom"/>
          </w:tcPr>
          <w:p>
            <w:pPr>
              <w:spacing w:after="0"/>
              <w:rPr>
                <w:sz w:val="20"/>
                <w:szCs w:val="20"/>
                <w:color w:val="auto"/>
              </w:rPr>
            </w:pPr>
            <w:r>
              <w:rPr>
                <w:rFonts w:ascii="Arial" w:cs="Arial" w:eastAsia="Arial" w:hAnsi="Arial"/>
                <w:sz w:val="20"/>
                <w:szCs w:val="20"/>
                <w:b w:val="1"/>
                <w:bCs w:val="1"/>
                <w:color w:val="auto"/>
              </w:rPr>
              <w:t>Item 7.</w:t>
            </w:r>
          </w:p>
        </w:tc>
        <w:tc>
          <w:tcPr>
            <w:tcW w:w="9900" w:type="dxa"/>
            <w:vAlign w:val="bottom"/>
            <w:gridSpan w:val="3"/>
          </w:tcPr>
          <w:p>
            <w:pPr>
              <w:ind w:left="460"/>
              <w:spacing w:after="0"/>
              <w:rPr>
                <w:sz w:val="20"/>
                <w:szCs w:val="20"/>
                <w:color w:val="auto"/>
              </w:rPr>
            </w:pPr>
            <w:r>
              <w:rPr>
                <w:rFonts w:ascii="Arial" w:cs="Arial" w:eastAsia="Arial" w:hAnsi="Arial"/>
                <w:sz w:val="20"/>
                <w:szCs w:val="20"/>
                <w:b w:val="1"/>
                <w:bCs w:val="1"/>
                <w:color w:val="auto"/>
                <w:w w:val="94"/>
              </w:rPr>
              <w:t>Identification and Classification of the Subsidiary Which Acquired the Security Being Reported on by the</w:t>
            </w:r>
          </w:p>
        </w:tc>
      </w:tr>
      <w:tr>
        <w:trPr>
          <w:trHeight w:val="256"/>
        </w:trPr>
        <w:tc>
          <w:tcPr>
            <w:tcW w:w="1120" w:type="dxa"/>
            <w:vAlign w:val="bottom"/>
          </w:tcPr>
          <w:p>
            <w:pPr>
              <w:spacing w:after="0"/>
              <w:rPr>
                <w:sz w:val="22"/>
                <w:szCs w:val="22"/>
                <w:color w:val="auto"/>
              </w:rPr>
            </w:pPr>
          </w:p>
        </w:tc>
        <w:tc>
          <w:tcPr>
            <w:tcW w:w="9900" w:type="dxa"/>
            <w:vAlign w:val="bottom"/>
            <w:gridSpan w:val="3"/>
          </w:tcPr>
          <w:p>
            <w:pPr>
              <w:ind w:left="460"/>
              <w:spacing w:after="0"/>
              <w:rPr>
                <w:sz w:val="20"/>
                <w:szCs w:val="20"/>
                <w:color w:val="auto"/>
              </w:rPr>
            </w:pPr>
            <w:r>
              <w:rPr>
                <w:rFonts w:ascii="Arial" w:cs="Arial" w:eastAsia="Arial" w:hAnsi="Arial"/>
                <w:sz w:val="20"/>
                <w:szCs w:val="20"/>
                <w:b w:val="1"/>
                <w:bCs w:val="1"/>
                <w:color w:val="auto"/>
              </w:rPr>
              <w:t>Parent Holding Company or Control Person.</w:t>
            </w:r>
          </w:p>
        </w:tc>
      </w:tr>
      <w:tr>
        <w:trPr>
          <w:trHeight w:val="459"/>
        </w:trPr>
        <w:tc>
          <w:tcPr>
            <w:tcW w:w="1120" w:type="dxa"/>
            <w:vAlign w:val="bottom"/>
          </w:tcPr>
          <w:p>
            <w:pPr>
              <w:spacing w:after="0"/>
              <w:rPr>
                <w:sz w:val="24"/>
                <w:szCs w:val="24"/>
                <w:color w:val="auto"/>
              </w:rPr>
            </w:pPr>
          </w:p>
        </w:tc>
        <w:tc>
          <w:tcPr>
            <w:tcW w:w="9900" w:type="dxa"/>
            <w:vAlign w:val="bottom"/>
            <w:gridSpan w:val="3"/>
          </w:tcPr>
          <w:p>
            <w:pPr>
              <w:ind w:left="460"/>
              <w:spacing w:after="0"/>
              <w:rPr>
                <w:sz w:val="20"/>
                <w:szCs w:val="20"/>
                <w:color w:val="auto"/>
              </w:rPr>
            </w:pPr>
            <w:r>
              <w:rPr>
                <w:rFonts w:ascii="Arial" w:cs="Arial" w:eastAsia="Arial" w:hAnsi="Arial"/>
                <w:sz w:val="20"/>
                <w:szCs w:val="20"/>
                <w:color w:val="auto"/>
              </w:rPr>
              <w:t>Not applicable.</w:t>
            </w:r>
          </w:p>
        </w:tc>
      </w:tr>
      <w:tr>
        <w:trPr>
          <w:trHeight w:val="459"/>
        </w:trPr>
        <w:tc>
          <w:tcPr>
            <w:tcW w:w="1120" w:type="dxa"/>
            <w:vAlign w:val="bottom"/>
          </w:tcPr>
          <w:p>
            <w:pPr>
              <w:spacing w:after="0"/>
              <w:rPr>
                <w:sz w:val="20"/>
                <w:szCs w:val="20"/>
                <w:color w:val="auto"/>
              </w:rPr>
            </w:pPr>
            <w:r>
              <w:rPr>
                <w:rFonts w:ascii="Arial" w:cs="Arial" w:eastAsia="Arial" w:hAnsi="Arial"/>
                <w:sz w:val="20"/>
                <w:szCs w:val="20"/>
                <w:b w:val="1"/>
                <w:bCs w:val="1"/>
                <w:color w:val="auto"/>
              </w:rPr>
              <w:t>Item 8.</w:t>
            </w:r>
          </w:p>
        </w:tc>
        <w:tc>
          <w:tcPr>
            <w:tcW w:w="9900" w:type="dxa"/>
            <w:vAlign w:val="bottom"/>
            <w:gridSpan w:val="3"/>
          </w:tcPr>
          <w:p>
            <w:pPr>
              <w:ind w:left="460"/>
              <w:spacing w:after="0"/>
              <w:rPr>
                <w:sz w:val="20"/>
                <w:szCs w:val="20"/>
                <w:color w:val="auto"/>
              </w:rPr>
            </w:pPr>
            <w:r>
              <w:rPr>
                <w:rFonts w:ascii="Arial" w:cs="Arial" w:eastAsia="Arial" w:hAnsi="Arial"/>
                <w:sz w:val="20"/>
                <w:szCs w:val="20"/>
                <w:b w:val="1"/>
                <w:bCs w:val="1"/>
                <w:color w:val="auto"/>
              </w:rPr>
              <w:t>Identification and Classification of Members of the Group.</w:t>
            </w:r>
          </w:p>
        </w:tc>
      </w:tr>
      <w:tr>
        <w:trPr>
          <w:trHeight w:val="459"/>
        </w:trPr>
        <w:tc>
          <w:tcPr>
            <w:tcW w:w="1120" w:type="dxa"/>
            <w:vAlign w:val="bottom"/>
          </w:tcPr>
          <w:p>
            <w:pPr>
              <w:spacing w:after="0"/>
              <w:rPr>
                <w:sz w:val="24"/>
                <w:szCs w:val="24"/>
                <w:color w:val="auto"/>
              </w:rPr>
            </w:pPr>
          </w:p>
        </w:tc>
        <w:tc>
          <w:tcPr>
            <w:tcW w:w="9900" w:type="dxa"/>
            <w:vAlign w:val="bottom"/>
            <w:gridSpan w:val="3"/>
          </w:tcPr>
          <w:p>
            <w:pPr>
              <w:ind w:left="460"/>
              <w:spacing w:after="0"/>
              <w:rPr>
                <w:sz w:val="20"/>
                <w:szCs w:val="20"/>
                <w:color w:val="auto"/>
              </w:rPr>
            </w:pPr>
            <w:r>
              <w:rPr>
                <w:rFonts w:ascii="Arial" w:cs="Arial" w:eastAsia="Arial" w:hAnsi="Arial"/>
                <w:sz w:val="20"/>
                <w:szCs w:val="20"/>
                <w:color w:val="auto"/>
              </w:rPr>
              <w:t>Not applicable.</w:t>
            </w:r>
          </w:p>
        </w:tc>
      </w:tr>
      <w:tr>
        <w:trPr>
          <w:trHeight w:val="459"/>
        </w:trPr>
        <w:tc>
          <w:tcPr>
            <w:tcW w:w="1120" w:type="dxa"/>
            <w:vAlign w:val="bottom"/>
          </w:tcPr>
          <w:p>
            <w:pPr>
              <w:spacing w:after="0"/>
              <w:rPr>
                <w:sz w:val="20"/>
                <w:szCs w:val="20"/>
                <w:color w:val="auto"/>
              </w:rPr>
            </w:pPr>
            <w:r>
              <w:rPr>
                <w:rFonts w:ascii="Arial" w:cs="Arial" w:eastAsia="Arial" w:hAnsi="Arial"/>
                <w:sz w:val="20"/>
                <w:szCs w:val="20"/>
                <w:b w:val="1"/>
                <w:bCs w:val="1"/>
                <w:color w:val="auto"/>
              </w:rPr>
              <w:t>Item 9.</w:t>
            </w:r>
          </w:p>
        </w:tc>
        <w:tc>
          <w:tcPr>
            <w:tcW w:w="9900" w:type="dxa"/>
            <w:vAlign w:val="bottom"/>
            <w:gridSpan w:val="3"/>
          </w:tcPr>
          <w:p>
            <w:pPr>
              <w:ind w:left="460"/>
              <w:spacing w:after="0"/>
              <w:rPr>
                <w:sz w:val="20"/>
                <w:szCs w:val="20"/>
                <w:color w:val="auto"/>
              </w:rPr>
            </w:pPr>
            <w:r>
              <w:rPr>
                <w:rFonts w:ascii="Arial" w:cs="Arial" w:eastAsia="Arial" w:hAnsi="Arial"/>
                <w:sz w:val="20"/>
                <w:szCs w:val="20"/>
                <w:b w:val="1"/>
                <w:bCs w:val="1"/>
                <w:color w:val="auto"/>
              </w:rPr>
              <w:t>Notice of Dissolution of Group.</w:t>
            </w:r>
          </w:p>
        </w:tc>
      </w:tr>
      <w:tr>
        <w:trPr>
          <w:trHeight w:val="459"/>
        </w:trPr>
        <w:tc>
          <w:tcPr>
            <w:tcW w:w="1120" w:type="dxa"/>
            <w:vAlign w:val="bottom"/>
          </w:tcPr>
          <w:p>
            <w:pPr>
              <w:spacing w:after="0"/>
              <w:rPr>
                <w:sz w:val="24"/>
                <w:szCs w:val="24"/>
                <w:color w:val="auto"/>
              </w:rPr>
            </w:pPr>
          </w:p>
        </w:tc>
        <w:tc>
          <w:tcPr>
            <w:tcW w:w="9900" w:type="dxa"/>
            <w:vAlign w:val="bottom"/>
            <w:gridSpan w:val="3"/>
          </w:tcPr>
          <w:p>
            <w:pPr>
              <w:ind w:left="460"/>
              <w:spacing w:after="0"/>
              <w:rPr>
                <w:sz w:val="20"/>
                <w:szCs w:val="20"/>
                <w:color w:val="auto"/>
              </w:rPr>
            </w:pPr>
            <w:r>
              <w:rPr>
                <w:rFonts w:ascii="Arial" w:cs="Arial" w:eastAsia="Arial" w:hAnsi="Arial"/>
                <w:sz w:val="20"/>
                <w:szCs w:val="20"/>
                <w:color w:val="auto"/>
              </w:rPr>
              <w:t>Not applicable.</w:t>
            </w:r>
          </w:p>
        </w:tc>
      </w:tr>
      <w:tr>
        <w:trPr>
          <w:trHeight w:val="459"/>
        </w:trPr>
        <w:tc>
          <w:tcPr>
            <w:tcW w:w="1120" w:type="dxa"/>
            <w:vAlign w:val="bottom"/>
          </w:tcPr>
          <w:p>
            <w:pPr>
              <w:spacing w:after="0"/>
              <w:rPr>
                <w:sz w:val="20"/>
                <w:szCs w:val="20"/>
                <w:color w:val="auto"/>
              </w:rPr>
            </w:pPr>
            <w:r>
              <w:rPr>
                <w:rFonts w:ascii="Arial" w:cs="Arial" w:eastAsia="Arial" w:hAnsi="Arial"/>
                <w:sz w:val="20"/>
                <w:szCs w:val="20"/>
                <w:b w:val="1"/>
                <w:bCs w:val="1"/>
                <w:color w:val="auto"/>
              </w:rPr>
              <w:t>Item 10.</w:t>
            </w:r>
          </w:p>
        </w:tc>
        <w:tc>
          <w:tcPr>
            <w:tcW w:w="9900" w:type="dxa"/>
            <w:vAlign w:val="bottom"/>
            <w:gridSpan w:val="3"/>
          </w:tcPr>
          <w:p>
            <w:pPr>
              <w:ind w:left="460"/>
              <w:spacing w:after="0"/>
              <w:rPr>
                <w:sz w:val="20"/>
                <w:szCs w:val="20"/>
                <w:color w:val="auto"/>
              </w:rPr>
            </w:pPr>
            <w:r>
              <w:rPr>
                <w:rFonts w:ascii="Arial" w:cs="Arial" w:eastAsia="Arial" w:hAnsi="Arial"/>
                <w:sz w:val="20"/>
                <w:szCs w:val="20"/>
                <w:b w:val="1"/>
                <w:bCs w:val="1"/>
                <w:color w:val="auto"/>
              </w:rPr>
              <w:t>Certification.</w:t>
            </w:r>
          </w:p>
        </w:tc>
      </w:tr>
      <w:tr>
        <w:trPr>
          <w:trHeight w:val="438"/>
        </w:trPr>
        <w:tc>
          <w:tcPr>
            <w:tcW w:w="1120" w:type="dxa"/>
            <w:vAlign w:val="bottom"/>
          </w:tcPr>
          <w:p>
            <w:pPr>
              <w:spacing w:after="0"/>
              <w:rPr>
                <w:sz w:val="24"/>
                <w:szCs w:val="24"/>
                <w:color w:val="auto"/>
              </w:rPr>
            </w:pPr>
          </w:p>
        </w:tc>
        <w:tc>
          <w:tcPr>
            <w:tcW w:w="9900" w:type="dxa"/>
            <w:vAlign w:val="bottom"/>
            <w:gridSpan w:val="3"/>
          </w:tcPr>
          <w:p>
            <w:pPr>
              <w:ind w:left="460"/>
              <w:spacing w:after="0"/>
              <w:rPr>
                <w:sz w:val="20"/>
                <w:szCs w:val="20"/>
                <w:color w:val="auto"/>
              </w:rPr>
            </w:pPr>
            <w:r>
              <w:rPr>
                <w:rFonts w:ascii="Arial" w:cs="Arial" w:eastAsia="Arial" w:hAnsi="Arial"/>
                <w:sz w:val="20"/>
                <w:szCs w:val="20"/>
                <w:color w:val="auto"/>
                <w:w w:val="93"/>
              </w:rPr>
              <w:t>By signing below each Reporting Person certifies that, to the best of his or its knowledge and belief, the securities</w:t>
            </w:r>
          </w:p>
        </w:tc>
      </w:tr>
      <w:tr>
        <w:trPr>
          <w:trHeight w:val="229"/>
        </w:trPr>
        <w:tc>
          <w:tcPr>
            <w:tcW w:w="1120" w:type="dxa"/>
            <w:vAlign w:val="bottom"/>
          </w:tcPr>
          <w:p>
            <w:pPr>
              <w:spacing w:after="0"/>
              <w:rPr>
                <w:sz w:val="19"/>
                <w:szCs w:val="19"/>
                <w:color w:val="auto"/>
              </w:rPr>
            </w:pPr>
          </w:p>
        </w:tc>
        <w:tc>
          <w:tcPr>
            <w:tcW w:w="9900" w:type="dxa"/>
            <w:vAlign w:val="bottom"/>
            <w:gridSpan w:val="3"/>
          </w:tcPr>
          <w:p>
            <w:pPr>
              <w:ind w:left="460"/>
              <w:spacing w:after="0"/>
              <w:rPr>
                <w:sz w:val="20"/>
                <w:szCs w:val="20"/>
                <w:color w:val="auto"/>
              </w:rPr>
            </w:pPr>
            <w:r>
              <w:rPr>
                <w:rFonts w:ascii="Arial" w:cs="Arial" w:eastAsia="Arial" w:hAnsi="Arial"/>
                <w:sz w:val="20"/>
                <w:szCs w:val="20"/>
                <w:color w:val="auto"/>
                <w:w w:val="89"/>
              </w:rPr>
              <w:t>referred to above were not acquired and are not held for the purpose of or with the effect of changing or influencing the</w:t>
            </w:r>
          </w:p>
        </w:tc>
      </w:tr>
      <w:tr>
        <w:trPr>
          <w:trHeight w:val="230"/>
        </w:trPr>
        <w:tc>
          <w:tcPr>
            <w:tcW w:w="1120" w:type="dxa"/>
            <w:vAlign w:val="bottom"/>
          </w:tcPr>
          <w:p>
            <w:pPr>
              <w:spacing w:after="0"/>
              <w:rPr>
                <w:sz w:val="19"/>
                <w:szCs w:val="19"/>
                <w:color w:val="auto"/>
              </w:rPr>
            </w:pPr>
          </w:p>
        </w:tc>
        <w:tc>
          <w:tcPr>
            <w:tcW w:w="9900" w:type="dxa"/>
            <w:vAlign w:val="bottom"/>
            <w:gridSpan w:val="3"/>
          </w:tcPr>
          <w:p>
            <w:pPr>
              <w:ind w:left="460"/>
              <w:spacing w:after="0"/>
              <w:rPr>
                <w:sz w:val="20"/>
                <w:szCs w:val="20"/>
                <w:color w:val="auto"/>
              </w:rPr>
            </w:pPr>
            <w:r>
              <w:rPr>
                <w:rFonts w:ascii="Arial" w:cs="Arial" w:eastAsia="Arial" w:hAnsi="Arial"/>
                <w:sz w:val="20"/>
                <w:szCs w:val="20"/>
                <w:color w:val="auto"/>
                <w:w w:val="92"/>
              </w:rPr>
              <w:t>control of the issuer of the securities and were not acquired and are not held in connection with or as a participant in</w:t>
            </w:r>
          </w:p>
        </w:tc>
      </w:tr>
      <w:tr>
        <w:trPr>
          <w:trHeight w:val="250"/>
        </w:trPr>
        <w:tc>
          <w:tcPr>
            <w:tcW w:w="1120" w:type="dxa"/>
            <w:vAlign w:val="bottom"/>
          </w:tcPr>
          <w:p>
            <w:pPr>
              <w:spacing w:after="0"/>
              <w:rPr>
                <w:sz w:val="21"/>
                <w:szCs w:val="21"/>
                <w:color w:val="auto"/>
              </w:rPr>
            </w:pPr>
          </w:p>
        </w:tc>
        <w:tc>
          <w:tcPr>
            <w:tcW w:w="9900" w:type="dxa"/>
            <w:vAlign w:val="bottom"/>
            <w:gridSpan w:val="3"/>
          </w:tcPr>
          <w:p>
            <w:pPr>
              <w:ind w:left="460"/>
              <w:spacing w:after="0"/>
              <w:rPr>
                <w:sz w:val="20"/>
                <w:szCs w:val="20"/>
                <w:color w:val="auto"/>
              </w:rPr>
            </w:pPr>
            <w:r>
              <w:rPr>
                <w:rFonts w:ascii="Arial" w:cs="Arial" w:eastAsia="Arial" w:hAnsi="Arial"/>
                <w:sz w:val="20"/>
                <w:szCs w:val="20"/>
                <w:color w:val="auto"/>
              </w:rPr>
              <w:t>any transaction having that purpose or effect.</w:t>
            </w:r>
          </w:p>
        </w:tc>
      </w:tr>
    </w:tbl>
    <w:p>
      <w:pPr>
        <w:sectPr>
          <w:pgSz w:w="11900" w:h="16838" w:orient="portrait"/>
          <w:cols w:equalWidth="0" w:num="1">
            <w:col w:w="11240"/>
          </w:cols>
          <w:pgMar w:left="320" w:top="229" w:right="339" w:bottom="1440" w:gutter="0" w:footer="0" w:header="0"/>
          <w:type w:val="continuous"/>
        </w:sectPr>
      </w:pPr>
    </w:p>
    <w:bookmarkStart w:id="6" w:name="page7"/>
    <w:bookmarkEnd w:id="6"/>
    <w:p>
      <w:pPr>
        <w:spacing w:after="0"/>
        <w:tabs>
          <w:tab w:leader="none" w:pos="5360" w:val="left"/>
          <w:tab w:leader="none" w:pos="9900" w:val="left"/>
        </w:tabs>
        <w:rPr>
          <w:sz w:val="20"/>
          <w:szCs w:val="20"/>
          <w:color w:val="auto"/>
        </w:rPr>
      </w:pPr>
      <w:r>
        <w:rPr>
          <w:rFonts w:ascii="Arial" w:cs="Arial" w:eastAsia="Arial" w:hAnsi="Arial"/>
          <w:sz w:val="18"/>
          <w:szCs w:val="18"/>
          <w:b w:val="1"/>
          <w:bCs w:val="1"/>
          <w:color w:val="auto"/>
        </w:rPr>
        <w:t>CUSIP No. 92971A109</w:t>
      </w:r>
      <w:r>
        <w:rPr>
          <w:sz w:val="20"/>
          <w:szCs w:val="20"/>
          <w:color w:val="auto"/>
        </w:rPr>
        <w:tab/>
      </w:r>
      <w:r>
        <w:rPr>
          <w:rFonts w:ascii="Arial" w:cs="Arial" w:eastAsia="Arial" w:hAnsi="Arial"/>
          <w:sz w:val="18"/>
          <w:szCs w:val="18"/>
          <w:b w:val="1"/>
          <w:bCs w:val="1"/>
          <w:color w:val="auto"/>
        </w:rPr>
        <w:t>13G/A</w:t>
      </w:r>
      <w:r>
        <w:rPr>
          <w:sz w:val="20"/>
          <w:szCs w:val="20"/>
          <w:color w:val="auto"/>
        </w:rPr>
        <w:tab/>
      </w:r>
      <w:r>
        <w:rPr>
          <w:rFonts w:ascii="Arial" w:cs="Arial" w:eastAsia="Arial" w:hAnsi="Arial"/>
          <w:sz w:val="15"/>
          <w:szCs w:val="15"/>
          <w:b w:val="1"/>
          <w:bCs w:val="1"/>
          <w:color w:val="auto"/>
        </w:rPr>
        <w:t>Page 7 of 7 Pages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SIGNATURE</w:t>
      </w:r>
    </w:p>
    <w:p>
      <w:pPr>
        <w:spacing w:after="0" w:line="222" w:lineRule="exact"/>
        <w:rPr>
          <w:sz w:val="20"/>
          <w:szCs w:val="20"/>
          <w:color w:val="auto"/>
        </w:rPr>
      </w:pPr>
    </w:p>
    <w:p>
      <w:pPr>
        <w:ind w:right="180" w:firstLine="648"/>
        <w:spacing w:after="0" w:line="260" w:lineRule="auto"/>
        <w:rPr>
          <w:sz w:val="20"/>
          <w:szCs w:val="20"/>
          <w:color w:val="auto"/>
        </w:rPr>
      </w:pPr>
      <w:r>
        <w:rPr>
          <w:rFonts w:ascii="Arial" w:cs="Arial" w:eastAsia="Arial" w:hAnsi="Arial"/>
          <w:sz w:val="20"/>
          <w:szCs w:val="20"/>
          <w:color w:val="auto"/>
        </w:rPr>
        <w:t>After reasonable inquiry and to the best of my knowledge and belief, each of the undersigned certifies that the information set forth in this statement is true, complete and correct.</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20"/>
          <w:szCs w:val="20"/>
          <w:color w:val="auto"/>
        </w:rPr>
        <w:t>Date: February 9, 2022</w:t>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SENVEST MANAGEMENT, LLC</w:t>
      </w:r>
    </w:p>
    <w:p>
      <w:pPr>
        <w:spacing w:after="0" w:line="213"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By: /s/ Bobby Trahanas</w:t>
      </w:r>
    </w:p>
    <w:p>
      <w:pPr>
        <w:spacing w:after="0" w:line="15"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Name: Bobby Trahanas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-144780</wp:posOffset>
            </wp:positionV>
            <wp:extent cx="33515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ind w:left="5620"/>
        <w:spacing w:after="0"/>
        <w:tabs>
          <w:tab w:leader="none" w:pos="62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Chief Compliance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/s/ Richard Mashaal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10160</wp:posOffset>
            </wp:positionV>
            <wp:extent cx="36347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20"/>
          <w:szCs w:val="20"/>
          <w:color w:val="auto"/>
        </w:rPr>
        <w:t>RICHARD MASHAAL</w:t>
      </w:r>
    </w:p>
    <w:sectPr>
      <w:pgSz w:w="11900" w:h="16838" w:orient="portrait"/>
      <w:cols w:equalWidth="0" w:num="1">
        <w:col w:w="11240"/>
      </w:cols>
      <w:pgMar w:left="320" w:top="2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bullet"/>
      <w:start w:val="1"/>
    </w:lvl>
  </w:abstractNum>
  <w:abstractNum w:abstractNumId="2">
    <w:nsid w:val="238E1F29"/>
    <w:multiLevelType w:val="hybridMultilevel"/>
    <w:lvl w:ilvl="0">
      <w:lvlJc w:val="left"/>
      <w:lvlText w:val="3"/>
      <w:numFmt w:val="bullet"/>
      <w:start w:val="1"/>
    </w:lvl>
  </w:abstractNum>
  <w:abstractNum w:abstractNumId="3">
    <w:nsid w:val="46E87CCD"/>
    <w:multiLevelType w:val="hybridMultilevel"/>
    <w:lvl w:ilvl="0">
      <w:lvlJc w:val="left"/>
      <w:lvlText w:val="1"/>
      <w:numFmt w:val="bullet"/>
      <w:start w:val="1"/>
    </w:lvl>
  </w:abstractNum>
  <w:abstractNum w:abstractNumId="4">
    <w:nsid w:val="3D1B58BA"/>
    <w:multiLevelType w:val="hybridMultilevel"/>
    <w:lvl w:ilvl="0">
      <w:lvlJc w:val="left"/>
      <w:lvlText w:val="3"/>
      <w:numFmt w:val="bullet"/>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2022-02-09T15:57:02Z</dcterms:created>
  <dcterms:modified xsi:type="dcterms:W3CDTF">2022-02-09T15:57:02Z</dcterms:modified>
</cp:coreProperties>
</file>