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29"/>
                <w:szCs w:val="29"/>
                <w:b w:val="1"/>
                <w:bCs w:val="1"/>
                <w:color w:val="auto"/>
                <w:w w:val="97"/>
              </w:rPr>
              <w:t>UNITED STATES</w:t>
            </w:r>
          </w:p>
        </w:tc>
      </w:tr>
      <w:tr>
        <w:trPr>
          <w:trHeight w:val="383"/>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SECURITIES AND EXCHANGE COMMISSION</w:t>
            </w:r>
          </w:p>
        </w:tc>
      </w:tr>
      <w:tr>
        <w:trPr>
          <w:trHeight w:val="30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17"/>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29"/>
                <w:szCs w:val="29"/>
                <w:b w:val="1"/>
                <w:bCs w:val="1"/>
                <w:color w:val="auto"/>
                <w:w w:val="99"/>
              </w:rPr>
              <w:t>FORM 10-Q</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r>
        <w:trPr>
          <w:trHeight w:val="40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tc>
      </w:tr>
      <w:tr>
        <w:trPr>
          <w:trHeight w:val="250"/>
        </w:trPr>
        <w:tc>
          <w:tcPr>
            <w:tcW w:w="900" w:type="dxa"/>
            <w:vAlign w:val="bottom"/>
          </w:tcPr>
          <w:p>
            <w:pPr>
              <w:spacing w:after="0"/>
              <w:rPr>
                <w:sz w:val="21"/>
                <w:szCs w:val="21"/>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tc>
      </w:tr>
      <w:tr>
        <w:trPr>
          <w:trHeight w:val="279"/>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402"/>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c>
      </w:tr>
      <w:tr>
        <w:trPr>
          <w:trHeight w:val="219"/>
        </w:trPr>
        <w:tc>
          <w:tcPr>
            <w:tcW w:w="900" w:type="dxa"/>
            <w:vAlign w:val="bottom"/>
          </w:tcPr>
          <w:p>
            <w:pPr>
              <w:spacing w:after="0"/>
              <w:rPr>
                <w:sz w:val="19"/>
                <w:szCs w:val="19"/>
                <w:color w:val="auto"/>
              </w:rPr>
            </w:pPr>
          </w:p>
        </w:tc>
        <w:tc>
          <w:tcPr>
            <w:tcW w:w="9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transition period from ____ to ____</w:t>
            </w:r>
          </w:p>
        </w:tc>
      </w:tr>
      <w:tr>
        <w:trPr>
          <w:trHeight w:val="269"/>
        </w:trPr>
        <w:tc>
          <w:tcPr>
            <w:tcW w:w="900" w:type="dxa"/>
            <w:vAlign w:val="bottom"/>
          </w:tcPr>
          <w:p>
            <w:pPr>
              <w:spacing w:after="0"/>
              <w:rPr>
                <w:sz w:val="23"/>
                <w:szCs w:val="23"/>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tc>
      </w:tr>
      <w:tr>
        <w:trPr>
          <w:trHeight w:val="190"/>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90"/>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16"/>
        </w:trPr>
        <w:tc>
          <w:tcPr>
            <w:tcW w:w="50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(844) 933-3627</w:t>
            </w:r>
          </w:p>
        </w:tc>
        <w:tc>
          <w:tcPr>
            <w:tcW w:w="3740" w:type="dxa"/>
            <w:vAlign w:val="bottom"/>
          </w:tcPr>
          <w:p>
            <w:pPr>
              <w:spacing w:after="0"/>
              <w:rPr>
                <w:sz w:val="24"/>
                <w:szCs w:val="24"/>
                <w:color w:val="auto"/>
              </w:rPr>
            </w:pPr>
          </w:p>
        </w:tc>
      </w:tr>
      <w:tr>
        <w:trPr>
          <w:trHeight w:val="188"/>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color w:val="auto"/>
              </w:rPr>
              <w:t>(Registrant’ telephone number, including area code)</w:t>
            </w:r>
          </w:p>
        </w:tc>
        <w:tc>
          <w:tcPr>
            <w:tcW w:w="3740" w:type="dxa"/>
            <w:vAlign w:val="bottom"/>
          </w:tcPr>
          <w:p>
            <w:pPr>
              <w:spacing w:after="0"/>
              <w:rPr>
                <w:sz w:val="16"/>
                <w:szCs w:val="16"/>
                <w:color w:val="auto"/>
              </w:rPr>
            </w:pPr>
          </w:p>
        </w:tc>
      </w:tr>
      <w:tr>
        <w:trPr>
          <w:trHeight w:val="283"/>
        </w:trPr>
        <w:tc>
          <w:tcPr>
            <w:tcW w:w="7500" w:type="dxa"/>
            <w:vAlign w:val="bottom"/>
            <w:gridSpan w:val="2"/>
          </w:tcPr>
          <w:p>
            <w:pPr>
              <w:jc w:val="center"/>
              <w:ind w:left="36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w w:val="99"/>
              </w:rPr>
              <w:t>MAPS</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190"/>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 at</w:t>
            </w:r>
          </w:p>
        </w:tc>
        <w:tc>
          <w:tcPr>
            <w:tcW w:w="24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8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 exercise price of $11.50 per share</w:t>
            </w:r>
          </w:p>
        </w:tc>
        <w:tc>
          <w:tcPr>
            <w:tcW w:w="244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MAPSW</w:t>
            </w:r>
          </w:p>
        </w:tc>
        <w:tc>
          <w:tcPr>
            <w:tcW w:w="3740" w:type="dxa"/>
            <w:vAlign w:val="bottom"/>
          </w:tcPr>
          <w:p>
            <w:pPr>
              <w:jc w:val="center"/>
              <w:ind w:right="66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111"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5"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229" w:right="339" w:bottom="1440" w:gutter="0" w:footer="0" w:header="0"/>
          <w:type w:val="continuous"/>
        </w:sect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7"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5, 2024, there were 96,948,250 shares of the registrant’s Class A common stock outstanding and 55,486,361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WM TECHNOLOGY, INC.</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7120" w:type="dxa"/>
            <w:vAlign w:val="bottom"/>
            <w:gridSpan w:val="11"/>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2024 and December 31, 2023</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78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2024 and 2023</w:t>
            </w:r>
          </w:p>
        </w:tc>
        <w:tc>
          <w:tcPr>
            <w:tcW w:w="480" w:type="dxa"/>
            <w:vAlign w:val="bottom"/>
            <w:gridSpan w:val="3"/>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Six Months Ended June 30, 2024 and 2023</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2024 and 2023</w:t>
            </w:r>
          </w:p>
        </w:tc>
        <w:tc>
          <w:tcPr>
            <w:tcW w:w="40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380" w:type="dxa"/>
            <w:vAlign w:val="bottom"/>
            <w:gridSpan w:val="6"/>
          </w:tcPr>
          <w:p>
            <w:pPr>
              <w:spacing w:after="0"/>
              <w:rPr>
                <w:sz w:val="20"/>
                <w:szCs w:val="20"/>
                <w:color w:val="auto"/>
              </w:rPr>
            </w:pPr>
          </w:p>
        </w:tc>
        <w:tc>
          <w:tcPr>
            <w:tcW w:w="1860" w:type="dxa"/>
            <w:vAlign w:val="bottom"/>
            <w:gridSpan w:val="3"/>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EE"/>
                <w:w w:val="88"/>
              </w:rPr>
              <w:t>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28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0000EE"/>
          </w:tcPr>
          <w:p>
            <w:pPr>
              <w:spacing w:after="0" w:line="20" w:lineRule="exact"/>
              <w:rPr>
                <w:sz w:val="1"/>
                <w:szCs w:val="1"/>
                <w:color w:val="auto"/>
              </w:rPr>
            </w:pPr>
          </w:p>
        </w:tc>
        <w:tc>
          <w:tcPr>
            <w:tcW w:w="300" w:type="dxa"/>
            <w:vAlign w:val="bottom"/>
            <w:tcBorders>
              <w:top w:val="single" w:sz="8" w:color="0000EE"/>
            </w:tcBorders>
            <w:shd w:val="clear" w:color="auto" w:fill="0000EE"/>
          </w:tcPr>
          <w:p>
            <w:pPr>
              <w:spacing w:after="0" w:line="20" w:lineRule="exact"/>
              <w:rPr>
                <w:sz w:val="1"/>
                <w:szCs w:val="1"/>
                <w:color w:val="auto"/>
              </w:rPr>
            </w:pPr>
          </w:p>
        </w:tc>
        <w:tc>
          <w:tcPr>
            <w:tcW w:w="4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560" w:type="dxa"/>
            <w:vAlign w:val="bottom"/>
            <w:tcBorders>
              <w:top w:val="single" w:sz="8" w:color="0000EE"/>
            </w:tcBorders>
            <w:gridSpan w:val="2"/>
            <w:shd w:val="clear" w:color="auto" w:fill="0000EE"/>
          </w:tcPr>
          <w:p>
            <w:pPr>
              <w:spacing w:after="0" w:line="20" w:lineRule="exact"/>
              <w:rPr>
                <w:sz w:val="1"/>
                <w:szCs w:val="1"/>
                <w:color w:val="auto"/>
              </w:rPr>
            </w:pPr>
          </w:p>
        </w:tc>
        <w:tc>
          <w:tcPr>
            <w:tcW w:w="2020" w:type="dxa"/>
            <w:vAlign w:val="bottom"/>
            <w:tcBorders>
              <w:top w:val="single" w:sz="8" w:color="0000EE"/>
            </w:tcBorders>
            <w:gridSpan w:val="3"/>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2080" w:type="dxa"/>
            <w:vAlign w:val="bottom"/>
            <w:tcBorders>
              <w:top w:val="single" w:sz="8" w:color="0000EE"/>
            </w:tcBorders>
            <w:gridSpan w:val="2"/>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18"/>
                <w:szCs w:val="18"/>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spacing w:after="0"/>
              <w:rPr>
                <w:sz w:val="18"/>
                <w:szCs w:val="18"/>
                <w:color w:val="auto"/>
              </w:rPr>
            </w:pPr>
          </w:p>
        </w:tc>
        <w:tc>
          <w:tcPr>
            <w:tcW w:w="180" w:type="dxa"/>
            <w:vAlign w:val="bottom"/>
            <w:tcBorders>
              <w:bottom w:val="single" w:sz="8" w:color="0000EE"/>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00" w:type="dxa"/>
            <w:vAlign w:val="bottom"/>
            <w:gridSpan w:val="3"/>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5"/>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EE"/>
                <w:w w:val="99"/>
              </w:rPr>
              <w:t>40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0000EE"/>
                <w:w w:val="9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8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40" w:lineRule="exact"/>
        <w:rPr>
          <w:rFonts w:ascii="Times New Roman" w:cs="Times New Roman" w:eastAsia="Times New Roman" w:hAnsi="Times New Roman"/>
          <w:sz w:val="18"/>
          <w:szCs w:val="18"/>
          <w:color w:val="auto"/>
        </w:rPr>
      </w:pPr>
    </w:p>
    <w:p>
      <w:pPr>
        <w:ind w:left="660" w:hanging="328"/>
        <w:spacing w:after="0" w:line="227"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3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the recent state of war between Israel and Hamas and the related risk of a larger regional conflict; and the occurrence of a catastrophic event, including but not limited to severe weather, war, or terrorist attack;</w:t>
      </w:r>
    </w:p>
    <w:p>
      <w:pPr>
        <w:spacing w:after="0" w:line="33"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2023, filed with the SEC on May 24, 2024. Moreover, we operate in a very competitive and rapidly changing environment. New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2024 and December 31, 2023</w:t>
            </w:r>
          </w:p>
        </w:tc>
        <w:tc>
          <w:tcPr>
            <w:tcW w:w="2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96,948,250</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June 30, 2024 and 94,383,053 shares issued and outstanding</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2023</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55,486,361 shares</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June 30, 2024 and December 31, 2023</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80,884</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(64,518)</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r>
      <w:tr>
        <w:trPr>
          <w:trHeight w:val="223"/>
        </w:trPr>
        <w:tc>
          <w:tcPr>
            <w:tcW w:w="7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103,151</w:t>
            </w:r>
          </w:p>
        </w:tc>
      </w:tr>
      <w:tr>
        <w:trPr>
          <w:trHeight w:val="248"/>
        </w:trPr>
        <w:tc>
          <w:tcPr>
            <w:tcW w:w="7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7220" w:type="dxa"/>
            <w:vAlign w:val="bottom"/>
            <w:gridSpan w:val="8"/>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20" w:type="dxa"/>
            <w:vAlign w:val="bottom"/>
            <w:gridSpan w:val="8"/>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4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840" w:type="dxa"/>
            <w:vAlign w:val="bottom"/>
            <w:gridSpan w:val="6"/>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4"/>
                <w:szCs w:val="24"/>
                <w:color w:val="auto"/>
              </w:rPr>
            </w:pPr>
          </w:p>
        </w:tc>
        <w:tc>
          <w:tcPr>
            <w:tcW w:w="25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90"/>
              <w:spacing w:after="0" w:line="243" w:lineRule="exact"/>
              <w:rPr>
                <w:sz w:val="20"/>
                <w:szCs w:val="20"/>
                <w:color w:val="auto"/>
              </w:rPr>
            </w:pPr>
            <w:r>
              <w:rPr>
                <w:rFonts w:ascii="Times New Roman" w:cs="Times New Roman" w:eastAsia="Times New Roman" w:hAnsi="Times New Roman"/>
                <w:sz w:val="18"/>
                <w:szCs w:val="18"/>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57"/>
        </w:trPr>
        <w:tc>
          <w:tcPr>
            <w:tcW w:w="510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0" w:type="dxa"/>
            <w:vAlign w:val="bottom"/>
          </w:tcPr>
          <w:p>
            <w:pPr>
              <w:spacing w:after="0"/>
              <w:rPr>
                <w:sz w:val="1"/>
                <w:szCs w:val="1"/>
                <w:color w:val="auto"/>
              </w:rPr>
            </w:pPr>
          </w:p>
        </w:tc>
      </w:tr>
      <w:tr>
        <w:trPr>
          <w:trHeight w:val="229"/>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0"/>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70"/>
        </w:trPr>
        <w:tc>
          <w:tcPr>
            <w:tcW w:w="510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92,851,349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95,023,380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93,622,582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96,647,173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-4182745</wp:posOffset>
            </wp:positionV>
            <wp:extent cx="60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-4182745</wp:posOffset>
            </wp:positionV>
            <wp:extent cx="60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5" w:lineRule="exact"/>
        <w:rPr>
          <w:sz w:val="20"/>
          <w:szCs w:val="20"/>
          <w:color w:val="auto"/>
        </w:rPr>
      </w:pPr>
    </w:p>
    <w:p>
      <w:pPr>
        <w:ind w:right="20" w:firstLine="8"/>
        <w:spacing w:after="0" w:line="220" w:lineRule="auto"/>
        <w:tabs>
          <w:tab w:leader="none" w:pos="132"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33655</wp:posOffset>
            </wp:positionV>
            <wp:extent cx="58204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4"/>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restart"/>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5"/>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0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1"/>
        </w:trPr>
        <w:tc>
          <w:tcPr>
            <w:tcW w:w="2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94,383,053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55,486,361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80,884</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(64,518)</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86,771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103,151</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3,175</w:t>
            </w:r>
          </w:p>
        </w:tc>
        <w:tc>
          <w:tcPr>
            <w:tcW w:w="0" w:type="dxa"/>
            <w:vAlign w:val="bottom"/>
          </w:tcPr>
          <w:p>
            <w:pPr>
              <w:spacing w:after="0"/>
              <w:rPr>
                <w:sz w:val="1"/>
                <w:szCs w:val="1"/>
                <w:color w:val="auto"/>
              </w:rPr>
            </w:pPr>
          </w:p>
        </w:tc>
      </w:tr>
      <w:tr>
        <w:trPr>
          <w:trHeight w:val="146"/>
        </w:trPr>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628,941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146"/>
        </w:trPr>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Class P Unit exchange</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203"/>
        </w:trPr>
        <w:tc>
          <w:tcPr>
            <w:tcW w:w="2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95,051,735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55,486,361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84,056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(63,278)</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20,792</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86,036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106,828</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3,009</w:t>
            </w:r>
          </w:p>
        </w:tc>
        <w:tc>
          <w:tcPr>
            <w:tcW w:w="0" w:type="dxa"/>
            <w:vAlign w:val="bottom"/>
          </w:tcPr>
          <w:p>
            <w:pPr>
              <w:spacing w:after="0"/>
              <w:rPr>
                <w:sz w:val="1"/>
                <w:szCs w:val="1"/>
                <w:color w:val="auto"/>
              </w:rPr>
            </w:pPr>
          </w:p>
        </w:tc>
      </w:tr>
      <w:tr>
        <w:trPr>
          <w:trHeight w:val="146"/>
        </w:trPr>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1,896,515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(1,845)</w:t>
            </w:r>
          </w:p>
        </w:tc>
        <w:tc>
          <w:tcPr>
            <w:tcW w:w="0" w:type="dxa"/>
            <w:vAlign w:val="bottom"/>
          </w:tcPr>
          <w:p>
            <w:pPr>
              <w:spacing w:after="0"/>
              <w:rPr>
                <w:sz w:val="1"/>
                <w:szCs w:val="1"/>
                <w:color w:val="auto"/>
              </w:rPr>
            </w:pPr>
          </w:p>
        </w:tc>
      </w:tr>
      <w:tr>
        <w:trPr>
          <w:trHeight w:val="210"/>
        </w:trPr>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96"/>
        </w:trPr>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96,948,250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spacing w:after="0"/>
              <w:rPr>
                <w:sz w:val="17"/>
                <w:szCs w:val="17"/>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55,486,361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87,005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(62,562)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84,728</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109,186</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16"/>
          </w:tcPr>
          <w:p>
            <w:pPr>
              <w:ind w:left="320"/>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7"/>
                <w:szCs w:val="17"/>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9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7"/>
                <w:szCs w:val="17"/>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92,062,468</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700" w:type="dxa"/>
            <w:vAlign w:val="bottom"/>
            <w:tcBorders>
              <w:top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67,986</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101,397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475,510</w:t>
            </w:r>
          </w:p>
        </w:tc>
        <w:tc>
          <w:tcPr>
            <w:tcW w:w="4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2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5"/>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4"/>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35,488</w:t>
            </w:r>
          </w:p>
        </w:tc>
        <w:tc>
          <w:tcPr>
            <w:tcW w:w="4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P Unit exchange</w:t>
            </w:r>
          </w:p>
        </w:tc>
        <w:tc>
          <w:tcPr>
            <w:tcW w:w="94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960" w:type="dxa"/>
            <w:vAlign w:val="bottom"/>
            <w:gridSpan w:val="5"/>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92,573,466</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700" w:type="dxa"/>
            <w:vAlign w:val="bottom"/>
            <w:tcBorders>
              <w:top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72,444</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99,876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3,908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204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842,178</w:t>
            </w:r>
          </w:p>
        </w:tc>
        <w:tc>
          <w:tcPr>
            <w:tcW w:w="4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2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shares withheld for taxes</w:t>
            </w: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960" w:type="dxa"/>
            <w:vAlign w:val="bottom"/>
            <w:tcBorders>
              <w:bottom w:val="single" w:sz="8" w:color="CCEEFF"/>
            </w:tcBorders>
            <w:gridSpan w:val="5"/>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4"/>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93,415,644</w:t>
            </w: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55,486,361</w:t>
            </w: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76,351</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99,978</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8"/>
        </w:trPr>
        <w:tc>
          <w:tcPr>
            <w:tcW w:w="8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471"/>
              <w:spacing w:after="0" w:line="158"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1"/>
              <w:spacing w:after="0" w:line="216" w:lineRule="exact"/>
              <w:rPr>
                <w:sz w:val="20"/>
                <w:szCs w:val="20"/>
                <w:color w:val="auto"/>
              </w:rPr>
            </w:pPr>
            <w:r>
              <w:rPr>
                <w:rFonts w:ascii="Times New Roman" w:cs="Times New Roman" w:eastAsia="Times New Roman" w:hAnsi="Times New Roman"/>
                <w:sz w:val="16"/>
                <w:szCs w:val="16"/>
                <w:b w:val="1"/>
                <w:bCs w:val="1"/>
                <w:color w:val="auto"/>
              </w:rPr>
              <w:t>As Restated</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-4619625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beginning of period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end of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(3,980)</w:t>
            </w:r>
          </w:p>
        </w:tc>
      </w:tr>
      <w:tr>
        <w:trPr>
          <w:trHeight w:val="234"/>
        </w:trPr>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28,583</w:t>
            </w:r>
          </w:p>
        </w:tc>
      </w:tr>
      <w:tr>
        <w:trPr>
          <w:trHeight w:val="223"/>
        </w:trPr>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41,292</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24,603</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-334010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7560" w:space="720"/>
            <w:col w:w="2960"/>
          </w:cols>
          <w:pgMar w:left="320" w:top="229" w:right="339" w:bottom="1440" w:gutter="0" w:footer="0" w:header="0"/>
          <w:type w:val="continuous"/>
        </w:sectPr>
      </w:pPr>
    </w:p>
    <w:p>
      <w:pPr>
        <w:ind w:firstLine="8"/>
        <w:spacing w:after="0" w:line="228" w:lineRule="auto"/>
        <w:tabs>
          <w:tab w:leader="none" w:pos="146"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six months ended June 30, 2023, provision (benefit)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-436245</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and Organization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two-sided marketplace of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laws. The Company sells a monthly subscription offering to storefront, delivery and brand clients as well as upsell and add-on offerings to licensed clients. The Company also offers other ad solutions and WM Dispatch for additional fees.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Legacy WHM was reorganized into an Up-C structure, in which substantially all of the assets and business of Legacy WHM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an accumulated deficit of $62.6 million. The Company has funded its operations primarily with customer payments for its services and proceeds from the issuance of common stock in connection with its initial public offering and follow-on offering. As of June 30, 2024, the Company had cash of $41.3 million. The Company believes that its existing sources of liquidity will satisfy its working capital and capital requirements for at least the next twelve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June 30, 2024, and results of its operations and its cash flows for the interim periods presented. Certain prior period amounts have been reclassified to conform to the current period presentation. The results of operations for the three and six months ended June 30,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until cash was collected for the services that were provided. The Company refers to the customers in 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 June 30, 2023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90"/>
              <w:spacing w:after="0" w:line="171"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6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80" w:type="dxa"/>
            <w:vAlign w:val="bottom"/>
          </w:tcPr>
          <w:p>
            <w:pPr>
              <w:spacing w:after="0"/>
              <w:rPr>
                <w:sz w:val="14"/>
                <w:szCs w:val="14"/>
                <w:color w:val="auto"/>
              </w:rPr>
            </w:pP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14"/>
                <w:szCs w:val="14"/>
                <w:color w:val="auto"/>
              </w:rPr>
            </w:pP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 June 30, 2023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41"/>
        </w:trPr>
        <w:tc>
          <w:tcPr>
            <w:tcW w:w="57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5"/>
        </w:trPr>
        <w:tc>
          <w:tcPr>
            <w:tcW w:w="5780" w:type="dxa"/>
            <w:vAlign w:val="bottom"/>
          </w:tcPr>
          <w:p>
            <w:pPr>
              <w:spacing w:after="0"/>
              <w:rPr>
                <w:sz w:val="19"/>
                <w:szCs w:val="19"/>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Previously Reported</w:t>
            </w:r>
          </w:p>
        </w:tc>
        <w:tc>
          <w:tcPr>
            <w:tcW w:w="1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6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155"/>
        </w:trPr>
        <w:tc>
          <w:tcPr>
            <w:tcW w:w="57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6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57"/>
        </w:trPr>
        <w:tc>
          <w:tcPr>
            <w:tcW w:w="57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2024 and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$2.8 million and $8.7 million as of June 30, 2024 and December 31,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no customer accounted for more than 10% of the total gross accounts receivable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9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end of period</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w:t>
            </w:r>
          </w:p>
        </w:tc>
      </w:tr>
      <w:tr>
        <w:trPr>
          <w:trHeight w:val="21"/>
        </w:trPr>
        <w:tc>
          <w:tcPr>
            <w:tcW w:w="3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0" w:lineRule="exact"/>
        <w:rPr>
          <w:sz w:val="20"/>
          <w:szCs w:val="20"/>
          <w:color w:val="auto"/>
        </w:rPr>
      </w:pPr>
    </w:p>
    <w:p>
      <w:pPr>
        <w:jc w:val="both"/>
        <w:ind w:firstLine="8"/>
        <w:spacing w:after="0" w:line="231" w:lineRule="auto"/>
        <w:tabs>
          <w:tab w:leader="none" w:pos="92"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Provision (benefit) for credit losses for the three and six months ended June 30, 2023 and related allowance at the end of the period June 30, 2023, has been retrospectively adjusted to reflect the restatement of previously reported credit losses. See </w:t>
      </w:r>
      <w:r>
        <w:rPr>
          <w:rFonts w:ascii="Times New Roman" w:cs="Times New Roman" w:eastAsia="Times New Roman" w:hAnsi="Times New Roman"/>
          <w:sz w:val="16"/>
          <w:szCs w:val="16"/>
          <w:i w:val="1"/>
          <w:iCs w:val="1"/>
          <w:color w:val="auto"/>
        </w:rPr>
        <w:t>Restatement of Previously Reported 2023 Quarterly Revenue and Credit Losses</w:t>
      </w:r>
      <w:r>
        <w:rPr>
          <w:rFonts w:ascii="Times New Roman" w:cs="Times New Roman" w:eastAsia="Times New Roman" w:hAnsi="Times New Roman"/>
          <w:sz w:val="16"/>
          <w:szCs w:val="16"/>
          <w:color w:val="auto"/>
        </w:rPr>
        <w:t xml:space="preserve"> above for further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six months ended June 30, 2024 and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Company has $24.4 million and $23.1 million in capitalized software costs, net, respectively which are recorded within property and equipment, net on the Company’s condensed consolidated balance sheets. During the three months ended June 30, 2024 and 2023, the Company amortized $2.8 million and $1.7 million, respectively. During the six months ended June 30, 2024 and 2023, the Company amortized $5.3 million and $3.2 million, respectively. Amortization of internal-use software development costs is included in depreciation and amortization expense in the accompanying condensed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 As of June 30, 2024 and December 31, 2023, the Company has $68.4 million in goodwill.</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 No goodwill or intangible asset impairment charges were recorded for the three and six months ended June 30, 2024 and 2023.</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See Note 6, “Intangible Assets,” to these condensed consolidated financial statements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During the three and six months ended June 30, 2024 and 2023, the Company recognized no impairment charge related to ROU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rent expense for the three months ended June 30, 2024 and 2023 was $2.0 million and $2.2 million, respectively. Net rent expense for the six months ended June 30, 2024 and 2023 was $4.2 million and $4.4 million, respectively. Rent expense is included in general and administrative expense in the accompanying condensed consolidated statements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13, “Related Party Transactions,” to these condensed consolidated financial statements for additional information.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 paid $0.1 million to terminate a lease agreement for one of the offices. In conjunction with the early lease termination, the Company reported a gain of $0.1 million which is recognized as a reduction to the related lease expense. The Company also de-recognized a ROU asset of $0.2 million and a lease liability of $0.4 million on the condensed consolidated balance sheet related to early lease termination.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 the Company recorded rent income related to sublease of $0.5 million and $0.5 million, respectively.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 the Company recorded rent income related to sublease of $1.1 million and $1.1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assumed public warrants originally issued in the initial public offering of Silver Spike (the “Public Warrants”) and private placement warrants that were originally issued in a private placement by Silver Spike (the “Private Placement Warrants” and, together with the Public Warrants, the “Warrants”) upon the Closing, all of which were issued in connection with Silver Spike’s initial public offering. 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and concluded they do not meet the criteria to be classified in stockholders’ equity. See Note 9, “Warrant Liability,” to these condensed consolidated financial statements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net on the condensed consolidated statements of operations. As of June 30, 2024 and December 31, 2023, the TRA liability was $2.6 million and $1.8 million, respectively. During the three and six months ended June 30, 2024, the Company recognized a loss of $0.4 million and $0.9 million, respectively, related to the remeasurement of its TRA liability. During the three and six months ended June 30, 2023, the Company recognized a loss of $0.5 million and $0.6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606 </w:t>
      </w:r>
      <w:r>
        <w:rPr>
          <w:rFonts w:ascii="Times New Roman" w:cs="Times New Roman" w:eastAsia="Times New Roman" w:hAnsi="Times New Roman"/>
          <w:sz w:val="18"/>
          <w:szCs w:val="18"/>
          <w:i w:val="1"/>
          <w:iCs w:val="1"/>
          <w:color w:val="auto"/>
        </w:rPr>
        <w:t>- 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the Company recognizes revenue by applying the following five steps: the contract with the customer is identified;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clients that pay in advance for listing and other services, the Company records deferred revenue and recognizes revenue over the applicable subscription term.</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ad solutions. The Company’s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$3.8 million and $3.5 million for the three months ended June 30, 2024 and 2023, respectively, and $6.3 million and $4.6 million for the six months ended June 30, 2024 and 2023, respectively, and are included in sales and marketing expense in the accompanying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June 30, 2024 and 2023, the Company recognized an expense of $0.5 million and $0.4 million, respectively, and for the six months ended June 30, 2024 and 2023, the Company recognized an expense of $0.9 million and $0.9 million, respectively, related to employer contributions for the Company’s 401(k)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and other tax related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the asset and liability method of accounting for income taxes under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six months ended June 30, 2024 and for the year ending December 31, 2023, the Company conducted similar analyses, and determined that a full valuation allowance was still required. As of June 30, 2024 and December 31, 2023, the TRA liability was $2.6 million and $1.8 million, respectively.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ended June 30, 2024, the Company recorded $0.04 million and $0.05 million, respectively, in income tax provisions due to the impact of the full valuation allowance on its net deferred assets. For the three and six months ended June 30, 2023, the Company recorded zero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June 30, 2024, the Company had cash balances that exceeded the FDIC limit with four financial institutions. Management believes that the risk of loss is not significant and has not experienced any losses in such accounts.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Disclosures” </w:t>
      </w:r>
      <w:r>
        <w:rPr>
          <w:rFonts w:ascii="Times New Roman" w:cs="Times New Roman" w:eastAsia="Times New Roman" w:hAnsi="Times New Roman"/>
          <w:sz w:val="18"/>
          <w:szCs w:val="18"/>
          <w:color w:val="auto"/>
        </w:rPr>
        <w:t>requiring enhancements and further transparency to certain income tax disclosures, most notably the tax rate reconciliation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This ASU is effective for fiscal years beginning after December 15, 2024 on a prospective basis and retrospective application is permitted. We are currently evaluating the impact of the adoption of this standard.</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54"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which includes, featured and deal listings and other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3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 solutions: Includes banner ads and promotion tiles on our marketplace as well as banner ads that can be tied to keyword searches. These products provide clients with targeted ad solutions in highly visible slots across our digital surfaces.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346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4"/>
                <w:szCs w:val="24"/>
                <w:color w:val="auto"/>
              </w:rPr>
            </w:pPr>
          </w:p>
        </w:tc>
        <w:tc>
          <w:tcPr>
            <w:tcW w:w="30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5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5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64,875</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87,845</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 solutions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3"/>
                <w:szCs w:val="23"/>
                <w:color w:val="auto"/>
                <w:vertAlign w:val="superscript"/>
              </w:rPr>
              <w:t>2</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 w:lineRule="exact"/>
        <w:rPr>
          <w:sz w:val="20"/>
          <w:szCs w:val="20"/>
          <w:color w:val="auto"/>
        </w:rPr>
      </w:pPr>
    </w:p>
    <w:p>
      <w:pPr>
        <w:ind w:firstLine="8"/>
        <w:spacing w:after="0" w:line="224" w:lineRule="auto"/>
        <w:tabs>
          <w:tab w:leader="none" w:pos="79"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six months ended June 30, 2023, net revenues have been retrospectively adjusted to reflect the restatement of previously reported 2023 revenue. See Note 2, “Summary of Significant Accounting Policies,” for further information.</w:t>
      </w:r>
    </w:p>
    <w:p>
      <w:pPr>
        <w:spacing w:after="0" w:line="34" w:lineRule="exact"/>
        <w:rPr>
          <w:sz w:val="20"/>
          <w:szCs w:val="20"/>
          <w:color w:val="auto"/>
        </w:rPr>
      </w:pPr>
    </w:p>
    <w:p>
      <w:pPr>
        <w:ind w:firstLine="8"/>
        <w:spacing w:after="0" w:line="232" w:lineRule="auto"/>
        <w:tabs>
          <w:tab w:leader="none" w:pos="7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revenues are net of discounts of $0.3 million and $1.1 million, respectively, for the three months ended June 30, 2024 and 2023 and $0.5 million and $2.2 million, respectively, for the six months ended June 30, 2024 and 2023.</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June 30,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and six months ended June 30, 2024 and 2023. For the three and six ended June 30, 2024, approximately 53% of the Company’s net revenues originated in California. For the three and six ended June 30, 2023, approximately 52% of the Company’s net revenues originated in California.</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 The Company has been fully cooperating with the SEC’s investigation.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would consent, without admitting or denying the SEC’s findings, to the entry of an administrative cease-and-desist order finding violations of Sections 17(a)(2) and (3) of the Securities Act of 1933, as amended,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Sections 13(a) and 14(a) of the Securities Exchange Act of 1934, as amended, and Rules 12b-20, 13a-1, 13a-11, 13a-13, and 14a-9 thereunder, and would pay a civil money penalty of $1.5 million. This agreement is subject to mutual agreement on the language of the settlement documents and then approval by the SEC. Accordingly, there can be no assurance that the settlement will be consummated or approved on the terms set forth above or at all.</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Company recorded a liability of $1.5 million for the potential SEC settlement which is included in general and administrative expenses and accounts payable and accrued expenses in the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$3.6 million for the remaining six months in 2024, $7.3 million in 2025 and $7.5 million in 2026, due under software license agreements, of which the majority relates to the Company’s three-year AWS Enterprise agreement.</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5" w:lineRule="exact"/>
        <w:rPr>
          <w:sz w:val="20"/>
          <w:szCs w:val="20"/>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indicates the fair value hierarchy of the valuation inputs the Company utilized to determine such fair value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-624840</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-624840</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220" w:type="dxa"/>
            <w:vAlign w:val="bottom"/>
          </w:tcPr>
          <w:p>
            <w:pPr>
              <w:spacing w:after="0"/>
              <w:rPr>
                <w:sz w:val="14"/>
                <w:szCs w:val="14"/>
                <w:color w:val="auto"/>
              </w:rPr>
            </w:pPr>
          </w:p>
        </w:tc>
        <w:tc>
          <w:tcPr>
            <w:tcW w:w="11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4"/>
                <w:szCs w:val="14"/>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5"/>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875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valuation inputs or other</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assumptions</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625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-1259205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-1259205</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200" w:type="dxa"/>
            <w:vAlign w:val="bottom"/>
          </w:tcPr>
          <w:p>
            <w:pPr>
              <w:spacing w:after="0"/>
              <w:rPr>
                <w:sz w:val="14"/>
                <w:szCs w:val="14"/>
                <w:color w:val="auto"/>
              </w:rPr>
            </w:pPr>
          </w:p>
        </w:tc>
        <w:tc>
          <w:tcPr>
            <w:tcW w:w="11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4"/>
                <w:szCs w:val="14"/>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Placement</w:t>
            </w: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valuation inputs or other</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assumptions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-608330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-608330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-608330</wp:posOffset>
            </wp:positionV>
            <wp:extent cx="59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-608330</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$0.6 million and $0.4 million as of June 30, 2024 and December 31, 2023,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provides  quantitative  information  regarding  Level  3  fair</w:t>
            </w: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value  measurements  inputs</w:t>
            </w:r>
          </w:p>
        </w:tc>
        <w:tc>
          <w:tcPr>
            <w:tcW w:w="1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at  their  measurement  dates:</w:t>
            </w:r>
          </w:p>
        </w:tc>
      </w:tr>
      <w:tr>
        <w:trPr>
          <w:trHeight w:val="256"/>
        </w:trPr>
        <w:tc>
          <w:tcPr>
            <w:tcW w:w="17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2"/>
                <w:szCs w:val="22"/>
                <w:color w:val="auto"/>
              </w:rPr>
            </w:pP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0.72</w:t>
            </w: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Private Placement Warrants was $0.4 million and $0.2 million as of June 30, 2024 and December 31, 2023, respectively. There were no transfers in or out of Level 3 from other levels in the fair value hierarchy.</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2024 and December 31, 2023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2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5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160" w:type="dxa"/>
            <w:vAlign w:val="bottom"/>
          </w:tcPr>
          <w:p>
            <w:pPr>
              <w:spacing w:after="0"/>
              <w:rPr>
                <w:sz w:val="16"/>
                <w:szCs w:val="16"/>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6"/>
                <w:szCs w:val="16"/>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Net Intangible</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5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28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2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5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152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Intangible</w:t>
            </w:r>
          </w:p>
        </w:tc>
        <w:tc>
          <w:tcPr>
            <w:tcW w:w="160" w:type="dxa"/>
            <w:vAlign w:val="bottom"/>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5"/>
                <w:szCs w:val="15"/>
                <w:color w:val="auto"/>
              </w:rPr>
            </w:pPr>
          </w:p>
        </w:tc>
        <w:tc>
          <w:tcPr>
            <w:tcW w:w="1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Intangible</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15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5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28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$0.1 million and $0.5 million during the three months ended June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$0.3 million and $1.1 million during the six months ended June 30, 2024 and 2023, respectively.</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June 30, 2024 is as follows (in thousands):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Remaining period in 2024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1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8000" w:space="280"/>
            <w:col w:w="2960"/>
          </w:cols>
          <w:pgMar w:left="320" w:top="121" w:right="339" w:bottom="1440" w:gutter="0" w:footer="0" w:header="0"/>
          <w:type w:val="continuous"/>
        </w:sect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June 30, 2024 and December 31, 2023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marketing</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-779145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-779145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71"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as of June 30, 2024 and December 31, 2023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-487680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-487680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$4.2 million and $7.4 million as of June 30, 2024 and December 31, 2023, respectively. Accounts payable and other accrued liabilities as of June 30, 2024 include $1.5 million in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SEC settlement. See Note 4, “Commitments and Contingencies” to these condensed consolidated financial statements for further information.</w:t>
      </w:r>
    </w:p>
    <w:p>
      <w:pPr>
        <w:spacing w:after="0" w:line="113"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there were 12,499,973 Public Warrants outstanding and 7,000,000 Private Placement Warrants outstanding.</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815-Derivatives and Hedging and are recorded as liabilities. Upon the Closing, the fair value of the Warrants was recorded on the balance sheet. The fair value of the Warrants are remeasured as of each balance sheet date, which resulted in a non-cash gain of $0.5 million and non-cash loss $0.4 million in the condensed consolidated statements of operations for the three and six months ended June 30, 2024, respectively, and a non-cash loss of $1.0 million and $0.3 million in the condensed consolidated statements of operations for the three and six months ended June 30, 2023, respectively. See Note 5, “Fair Value Measurements” to these condensed consolidated financial statements for additional information.</w:t>
      </w:r>
    </w:p>
    <w:p>
      <w:pPr>
        <w:spacing w:after="0" w:line="75"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alter or change the powers, preferences or special rights of such class of common stock in a manner that is disproportionately adverse as compared to the Class V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w:t>
      </w:r>
    </w:p>
    <w:p>
      <w:pPr>
        <w:spacing w:after="0" w:line="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alter or change the powers, preferences or special rights of such class of common stock in a manner that is disproportionately adverse as compared to the Class A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2024, there were no shares of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June 30, 2024, the noncontrolling interests owned 37.3%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68"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Class P Unit activity for the six months ended June 30, 2024 is as follows:</w:t>
            </w:r>
          </w:p>
        </w:tc>
        <w:tc>
          <w:tcPr>
            <w:tcW w:w="2240" w:type="dxa"/>
            <w:vAlign w:val="bottom"/>
          </w:tcPr>
          <w:p>
            <w:pPr>
              <w:spacing w:after="0"/>
              <w:rPr>
                <w:sz w:val="20"/>
                <w:szCs w:val="20"/>
                <w:color w:val="auto"/>
              </w:rPr>
            </w:pPr>
          </w:p>
        </w:tc>
      </w:tr>
      <w:tr>
        <w:trPr>
          <w:trHeight w:val="364"/>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Class P Units, June 30, 2024</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14,679,507</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June 30,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14,639,221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unrecognized stock-based compensation expense for non-vested Class P Units was $0.1 million which is expected to be recognized over a weighted-average period of 0.4 years. For the three months ended June 30, 2024 and 2023, the Company recorded stock-based compensation expense for the Class P Units of $0.1 million and $0.1 million, respectively. For the six months ended June 30, 2024 and 2023, the Company recorded stock-based compensation expense for the Class P Units of $0.1 million and $0.4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June 30, 2024, 33,146,412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that the Board may act prior to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As of June 30, 2024, 20,415,013 shares of Class A Common Stock were available for future issuance.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six months ended June 30, 2024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7,683,598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(1,049,381)</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4,505,650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unrecognized stock-based compensation expense for non-vested RSUs was $11.9 million, which is expected to be recognized over a weighted-average period of 1.4 years. For the three months ended June 30, 2024 and 2023, the Company recorded stock-based compensation expense for the RSUs of $2.7 million and $3.4 million, respectively. For the six months ended June 30, 2024 and 2023, the Company recorded stock-based compensation expense for the RSUs of $5.4 million and $7.4 million, respectively.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PRSUs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(175,781)</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has no outstanding grants for PRSUs. For the three months ended June 30, 2024 and 2023, the Company recorded stock-based compensation expense for the PRSUs of $0.04 million and $0.2 million, respectively. For the six months ended June 30, 2024 and 2023, the Company recorded stock-based compensation expense for the PRSUs of $0.1 million and $0.3 million,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2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w:t>
            </w:r>
          </w:p>
        </w:tc>
      </w:tr>
      <w:tr>
        <w:trPr>
          <w:trHeight w:val="21"/>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98"/>
        </w:trPr>
        <w:tc>
          <w:tcPr>
            <w:tcW w:w="488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-1593850</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six months ending June 30, 2024 and 2023 (in thousands, except for share and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156"/>
        </w:trPr>
        <w:tc>
          <w:tcPr>
            <w:tcW w:w="51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WM Technology, Inc. Class A</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21"/>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2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of shares of Class A Common Stock outstanding –</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92,851,349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95,023,380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1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of shares of Class A Common Stock outstanding –</w:t>
            </w:r>
          </w:p>
        </w:tc>
        <w:tc>
          <w:tcPr>
            <w:tcW w:w="2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93,622,582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96,647,173</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share of Class A Common Stock – 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¹ Calculated using the treasury stock method.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4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4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V Units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14,679,507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14,986,127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14,679,507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14,986,127</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4,505,650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4,505,650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6,977,020</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859,375</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859,375</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r>
    </w:tbl>
    <w:p>
      <w:pPr>
        <w:spacing w:after="0" w:line="180"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June 30, 2024 and December 31, 2023, rent receivable was $0.0 million and $0.7 million, respectively, and these amounts are included in prepaid expenses and other current assets on the accompanying condensed balance sheets. Rent receivable of $0.7 million from December 31, 2023 was subsequently collected in April 2024. For the three and six months ended June 30, 2024, income on the sublease with a related party was $0.2 million and $0.4 million, respectively. For the three and six months ended June 30, 2023, income on the sublease with a related party was $0.2 million and $0.4 million, respectively. The income on sublease is netted with rent expense and included in general and administrative expenses on the condensed consolidated statements of operations.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June 30, 2024, the remaining balance of the promissory note receivable was the $0.6 million of which $0.4 million was included in prepaid expenses and other current assets and $0.2 million was included in other assets on the condensed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For the three and six ended June 30, 2024 and 2023, interest income on the promissory note was less than $0.1 million, which is included in other income (expense), net on the accompanying condensed consolidated statements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Highlights</w:t>
      </w:r>
    </w:p>
    <w:p>
      <w:pPr>
        <w:spacing w:after="0" w:line="6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$45.9 million as compared to $48.4 million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5,045, as compared to 5,609 in the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revenues per paying client was $3,033, as compared to $2,878 in the prior year.</w:t>
      </w:r>
    </w:p>
    <w:p>
      <w:pPr>
        <w:spacing w:after="0" w:line="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Net income was $1.2 million as compared to $2.0 million in the prior year.</w:t>
      </w:r>
    </w:p>
    <w:p>
      <w:pPr>
        <w:spacing w:after="0" w:line="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$10.1 million as compared to $10.2 million in the prior year.</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in Non-GAAP Financial Measurements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5,045 average monthly paying clients during the three months ended June 30, 2024 on the supply-side of our marketplace. These paying clients include retailers, brands and other client types (such as doctors). Further, these clients, who can choose to purchase multiple listings solutions for each business, had purchased approximately 8,000 listing pages as of June 30,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June 30,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table summarize our financial performance for the three and six ended June 30, 2024 compared with the same period in 2023. For a detailed discussion of our results of operations, see “Results of Operations” below.</w:t>
      </w:r>
    </w:p>
    <w:p>
      <w:pPr>
        <w:spacing w:after="0" w:line="118" w:lineRule="exact"/>
        <w:rPr>
          <w:sz w:val="20"/>
          <w:szCs w:val="20"/>
          <w:color w:val="auto"/>
        </w:rPr>
      </w:pPr>
    </w:p>
    <w:tbl>
      <w:tblPr>
        <w:tblLayout w:type="fixed"/>
        <w:tblInd w:w="4860" w:type="dxa"/>
        <w:tblCellMar>
          <w:top w:w="0" w:type="dxa"/>
          <w:left w:w="0" w:type="dxa"/>
          <w:bottom w:w="0" w:type="dxa"/>
          <w:right w:w="0" w:type="dxa"/>
        </w:tblCellMar>
      </w:tblPr>
      <w:tr>
        <w:trPr>
          <w:trHeight w:val="238"/>
        </w:trPr>
        <w:tc>
          <w:tcPr>
            <w:tcW w:w="32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2"/>
        </w:trPr>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-5080</wp:posOffset>
            </wp:positionV>
            <wp:extent cx="40462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4"/>
          <w:szCs w:val="14"/>
          <w:b w:val="1"/>
          <w:bCs w:val="1"/>
          <w:color w:val="auto"/>
        </w:rPr>
        <w:t>(dollars in thousands, except for net revenues per paying client)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45,903</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1,194</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33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(2)</w:t>
            </w: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4,383</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3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10,090</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w:t>
            </w:r>
          </w:p>
        </w:tc>
      </w:tr>
      <w:tr>
        <w:trPr>
          <w:trHeight w:val="33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net revenues per paying client</w:t>
            </w:r>
            <w:r>
              <w:rPr>
                <w:rFonts w:ascii="Times New Roman" w:cs="Times New Roman" w:eastAsia="Times New Roman" w:hAnsi="Times New Roman"/>
                <w:sz w:val="23"/>
                <w:szCs w:val="23"/>
                <w:color w:val="auto"/>
                <w:vertAlign w:val="superscript"/>
              </w:rPr>
              <w:t>(1)(3)</w:t>
            </w:r>
          </w:p>
        </w:tc>
        <w:tc>
          <w:tcPr>
            <w:tcW w:w="10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3,033</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42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(4)</w:t>
            </w:r>
          </w:p>
        </w:tc>
        <w:tc>
          <w:tcPr>
            <w:tcW w:w="10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5,045</w:t>
            </w: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6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r>
    </w:tbl>
    <w:p>
      <w:pPr>
        <w:ind w:left="340" w:hanging="332"/>
        <w:spacing w:after="0" w:line="249"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ended June 30, 2023, net revenues has been retrospectively adjusted to reflect the restatement of previously reported revenue. See Note 2, “Summary of Significant Accounting Policies,” for further information.</w:t>
      </w:r>
    </w:p>
    <w:p>
      <w:pPr>
        <w:ind w:left="340" w:right="20" w:hanging="332"/>
        <w:spacing w:after="0" w:line="255"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information about how we calculate EBITDA and Adjusted EBITDA as well as limitations of its use and a reconciliation of EBITDA and Adjusted EBITDA to net income (loss), see “Net Income (Loss) to EBITDA and Adjusted EBITDA” below.</w:t>
      </w:r>
    </w:p>
    <w:p>
      <w:pPr>
        <w:jc w:val="both"/>
        <w:ind w:left="340" w:hanging="332"/>
        <w:spacing w:after="0" w:line="252"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ind w:left="340" w:hanging="332"/>
        <w:spacing w:after="0" w:line="275"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June 30, 2024 and 2023 was $1.2 million and $2.0 million, respectively. The change in net income was primarily due to a decrease in revenue of $2.5 million, partially offset by change in fair value of warrant liability of $1.5 million, change in tax receivable agreement (“TRA”) liability of $0.1 million and a decrease in other expense, net of $0.2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six months ended June 30, 2024 was $3.2 million compared with a net loss for the six months ended June 30, 2023 of $2.0 million. The increase in net income was primarily due to a decrease in total costs and expenses of $9.9 million, partially offset by a decrease in revenue of $4.5 million and change in tax receivable agreement (“TRA”) liability of $0.3 million.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reduction in force, asset impairment charges,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860" w:type="dxa"/>
            <w:vAlign w:val="bottom"/>
          </w:tcPr>
          <w:p>
            <w:pPr>
              <w:spacing w:after="0"/>
              <w:rPr>
                <w:sz w:val="23"/>
                <w:szCs w:val="23"/>
                <w:color w:val="auto"/>
              </w:rPr>
            </w:pPr>
          </w:p>
        </w:tc>
        <w:tc>
          <w:tcPr>
            <w:tcW w:w="32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Pr>
          <w:p>
            <w:pPr>
              <w:spacing w:after="0"/>
              <w:rPr>
                <w:sz w:val="23"/>
                <w:szCs w:val="23"/>
                <w:color w:val="auto"/>
              </w:rPr>
            </w:pPr>
          </w:p>
        </w:tc>
        <w:tc>
          <w:tcPr>
            <w:tcW w:w="26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4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3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r>
      <w:tr>
        <w:trPr>
          <w:trHeight w:val="230"/>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3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(recovery) expense</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29"/>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17,357</w:t>
            </w:r>
          </w:p>
        </w:tc>
      </w:tr>
      <w:tr>
        <w:trPr>
          <w:trHeight w:val="20"/>
        </w:trPr>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Net Revenues Per Paying Client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monthly net revenues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net revenues for any particular period by the average monthly number of paying clients in the same respective period. The increase in our average monthly net revenues per paying client was due to sunset of certain products, which had lower average monthly spending clients, in the fourth quarter of 2023.</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net revenues per paying client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Average monthly paying clients for the three months ended June 30, 2024 decreased 10% to 5,045 average monthly paying clients from 5,609 average monthly paying clients in the same period in 2023. Average monthly paying clients for the six months ended June 30, 2024 decreased 11% to 4,991 average monthly paying clients from 5,625 average monthly paying clients in the same period in 2023. The decrease in average monthly paying clients compared to the same periods in 2023 was primarily due to the removal of paying clients from our platform who have become delinquent, the impact on client count related to the sunset of certain products in December 2023, as well as expected client churn due to continued industry challenges, such as price deflation and ongoing consolidation.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020"/>
        </w:trPr>
        <w:tc>
          <w:tcPr>
            <w:tcW w:w="1280" w:type="dxa"/>
            <w:vAlign w:val="bottom"/>
            <w:tcBorders>
              <w:top w:val="single" w:sz="8" w:color="0000FF"/>
            </w:tcBorders>
          </w:tcPr>
          <w:p>
            <w:pPr>
              <w:spacing w:after="0"/>
              <w:rPr>
                <w:sz w:val="24"/>
                <w:szCs w:val="24"/>
                <w:color w:val="auto"/>
              </w:rPr>
            </w:pPr>
          </w:p>
        </w:tc>
        <w:tc>
          <w:tcPr>
            <w:tcW w:w="3580" w:type="dxa"/>
            <w:vAlign w:val="bottom"/>
          </w:tcPr>
          <w:p>
            <w:pPr>
              <w:spacing w:after="0"/>
              <w:rPr>
                <w:sz w:val="24"/>
                <w:szCs w:val="24"/>
                <w:color w:val="auto"/>
              </w:rPr>
            </w:pPr>
          </w:p>
        </w:tc>
        <w:tc>
          <w:tcPr>
            <w:tcW w:w="32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60" w:type="dxa"/>
            <w:vAlign w:val="bottom"/>
            <w:tcBorders>
              <w:bottom w:val="single" w:sz="8" w:color="CCEEFF"/>
            </w:tcBorders>
            <w:gridSpan w:val="2"/>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other resources than existing market participants. Our current and future competitors may also enjoy other competitive advantages, such as greater name recognition, more offerings and larger marketing budgets.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our costs and expenses, including those associated with the operation of our technical infrastructure as well as components of our operating expenses, are generally less variable in nature and may not correlate to changes in revenue.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interest income and other tax related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3"/>
                <w:szCs w:val="23"/>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8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5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right="20" w:firstLine="8"/>
        <w:spacing w:after="0" w:line="220" w:lineRule="auto"/>
        <w:tabs>
          <w:tab w:leader="none" w:pos="132"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280" w:type="dxa"/>
            <w:vAlign w:val="bottom"/>
            <w:tcBorders>
              <w:top w:val="single" w:sz="8" w:color="0000FF"/>
            </w:tcBorders>
          </w:tcPr>
          <w:p>
            <w:pPr>
              <w:spacing w:after="0"/>
              <w:rPr>
                <w:sz w:val="24"/>
                <w:szCs w:val="24"/>
                <w:color w:val="auto"/>
              </w:rPr>
            </w:pPr>
          </w:p>
        </w:tc>
        <w:tc>
          <w:tcPr>
            <w:tcW w:w="3580" w:type="dxa"/>
            <w:vAlign w:val="bottom"/>
          </w:tcPr>
          <w:p>
            <w:pPr>
              <w:spacing w:after="0"/>
              <w:rPr>
                <w:sz w:val="24"/>
                <w:szCs w:val="24"/>
                <w:color w:val="auto"/>
              </w:rPr>
            </w:pPr>
          </w:p>
        </w:tc>
        <w:tc>
          <w:tcPr>
            <w:tcW w:w="31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31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69"/>
        </w:trPr>
        <w:tc>
          <w:tcPr>
            <w:tcW w:w="5840" w:type="dxa"/>
            <w:vAlign w:val="bottom"/>
            <w:gridSpan w:val="3"/>
            <w:vMerge w:val="restart"/>
          </w:tcPr>
          <w:p>
            <w:pPr>
              <w:ind w:left="5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5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154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5840" w:type="dxa"/>
            <w:vAlign w:val="bottom"/>
            <w:gridSpan w:val="3"/>
            <w:vMerge w:val="continue"/>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ind w:left="28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5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19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0"/>
        </w:trPr>
        <w:tc>
          <w:tcPr>
            <w:tcW w:w="486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5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5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right="20" w:firstLine="8"/>
        <w:spacing w:after="0" w:line="220" w:lineRule="auto"/>
        <w:tabs>
          <w:tab w:leader="none" w:pos="132"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2024 and 2023</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8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45,903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98"/>
              </w:rPr>
              <w:t>(2,520)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5" w:lineRule="exact"/>
        <w:rPr>
          <w:sz w:val="20"/>
          <w:szCs w:val="20"/>
          <w:color w:val="auto"/>
        </w:rPr>
      </w:pPr>
    </w:p>
    <w:p>
      <w:pPr>
        <w:ind w:firstLine="8"/>
        <w:spacing w:after="0" w:line="220" w:lineRule="auto"/>
        <w:tabs>
          <w:tab w:leader="none" w:pos="132"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months ended June 30, 2023, net revenues has been retrospectively adjusted to reflect the restatement of previously reported revenue. See Note 2, “Summary of Significant Accounting Policies,” for further information.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revenues decreased by $2.5 million or 5% for the three months ended June 30, 2024 compared to the same period in 2023. The decrease was primarily due to a decrease in net revenues from our Featured Listing and WM Deal products of $4.6 million driven by our clients continuing to face constrained marketing budgets, the ongoing consolidation of our industry, partially offset by an increase in net revenues from our Weedmaps for Business and other SaaS solutions of $2.1 million driven by favorable pricing changes partially offset by a loss in revenue from products that were sunset in December 2023.</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Featured Listing and WM Deal products, Weedmaps for Business and other ad solutions represented approximately 62%, 29% and 9% of our total net revenues,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4"/>
                <w:szCs w:val="24"/>
                <w:color w:val="auto"/>
              </w:rPr>
            </w:pPr>
          </w:p>
        </w:tc>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240"/>
              <w:spacing w:after="0" w:line="234"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88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3"/>
        </w:trPr>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4" w:lineRule="exact"/>
        <w:rPr>
          <w:sz w:val="20"/>
          <w:szCs w:val="20"/>
          <w:color w:val="auto"/>
        </w:rPr>
      </w:pPr>
    </w:p>
    <w:p>
      <w:pPr>
        <w:ind w:firstLine="8"/>
        <w:spacing w:after="0" w:line="213" w:lineRule="auto"/>
        <w:tabs>
          <w:tab w:leader="none" w:pos="134"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months ended June 30, 2023, general and administrative expenses have been retrospectively adjusted to reflect the restatement of previously reported credit losses. See Note 2, “Summary of Significant Accounting Policies,” for further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was primarily related to a decrease of $0.7 million for cost of revenues associated with multi-channel marketing and cloud communication platforms, primarily due to the sunset in December 2023 of WM CRM, WM Screens and WM AdSuite and a decrease of $0.2 million in server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decreases in personnel-related costs of $1.5 million and outside services expense of $0.3 million partially offset by increases in advertising of $0.3 million. The decrease in personnel-related costs was primarily driven by lower headcount resulting in decreases in salaries and wages of $1.0 million, stock-based compensation expense of $0.3 million, bonus and commission expense of $0.1 million and payroll tax expense of $0.1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product development expenses was primarily due to an increase in contracted outside services expense of $0.7 million, partially offset by a decrease in personnel-related costs of $0.4 million. The decrease in personnel-related costs was primarily driven by lower headcount resulting in decreases in salaries and wages of $0.6 million and stock-based compensation expense of $0.1 million, partially offset by an increase in bonus and commission expense of $0.3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general and administrative expenses was primarily due to a charge recorded in the second quarter of 2024 related to the potential settlement of an SEC matter of $1.5 million, increases in professional legal and audit services of $1.4 million, provision for credit losses of $0.8 million, outside service expense of $0.3 million, bonus expense of 0.2 million, partially offset by decreases in salaries and wages of $0.4 million, stock-based compensation expense of $0.5 million, severance expense of $0.5 million, insurance expense of $0.6 million, facilities expense of $0.4 million and rent expense of 0.2 million. See Note 4, “Commitments and Contingencies” to these condensed consolidated financial statements for additional information related to the potential settlement of an SEC matter.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partially offset by a decrease in amortization of 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5"/>
        </w:trPr>
        <w:tc>
          <w:tcPr>
            <w:tcW w:w="4900" w:type="dxa"/>
            <w:vAlign w:val="bottom"/>
          </w:tcPr>
          <w:p>
            <w:pPr>
              <w:spacing w:after="0"/>
              <w:rPr>
                <w:sz w:val="24"/>
                <w:szCs w:val="24"/>
                <w:color w:val="auto"/>
              </w:rPr>
            </w:pPr>
          </w:p>
        </w:tc>
        <w:tc>
          <w:tcPr>
            <w:tcW w:w="318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Pr>
          <w:p>
            <w:pPr>
              <w:spacing w:after="0"/>
              <w:rPr>
                <w:sz w:val="24"/>
                <w:szCs w:val="24"/>
                <w:color w:val="auto"/>
              </w:rPr>
            </w:pPr>
          </w:p>
        </w:tc>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49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8"/>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(1,800)</w:t>
            </w:r>
          </w:p>
        </w:tc>
        <w:tc>
          <w:tcPr>
            <w:tcW w:w="10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$1.5 million, a decrease in TRA liability of $0.1 million and a decrease in other expense of $0.2 million.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2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N/M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Not meaningful</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we recorded forty-two in income tax provisions due to the impact of the full valuation allowance on its net deferred assets. See Note 2, “Summary of Significant Accounting Policies,” for further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2024 and 2023</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8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260"/>
              <w:spacing w:after="0" w:line="234" w:lineRule="exact"/>
              <w:rPr>
                <w:sz w:val="20"/>
                <w:szCs w:val="20"/>
                <w:color w:val="auto"/>
              </w:rPr>
            </w:pPr>
            <w:r>
              <w:rPr>
                <w:rFonts w:ascii="Times New Roman" w:cs="Times New Roman" w:eastAsia="Times New Roman" w:hAnsi="Times New Roman"/>
                <w:sz w:val="18"/>
                <w:szCs w:val="18"/>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88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98"/>
              </w:rPr>
              <w:t>(4,547)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0" w:lineRule="exact"/>
        <w:rPr>
          <w:sz w:val="20"/>
          <w:szCs w:val="20"/>
          <w:color w:val="auto"/>
        </w:rPr>
      </w:pPr>
    </w:p>
    <w:p>
      <w:pPr>
        <w:ind w:firstLine="8"/>
        <w:spacing w:after="0" w:line="217" w:lineRule="auto"/>
        <w:tabs>
          <w:tab w:leader="none" w:pos="1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six months ended June 30, 2023, net revenues has been retrospectively adjusted to reflect the restatement of previously reported revenue. See Note 2, “Summary of Significant Accounting Policies,” for further information.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revenues decreased by $4.5 million, or 5%, for the six months ended June 30, 2024 compared to the same period in 2023. The decrease was primarily due to a decrease in net revenues from our Featured Listing and WM Deal products of $8.3 million driven by our clients continuing to face constrained marketing budgets, the ongoing consolidation of our industry, partially offset by an increase in net revenues from our Weedmaps for Business and other SaaS solutions of $3.7 million driven by favorable pricing changes partially offset by a loss in revenue from products that were sunset in December 2023.</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six months ended June 30, 2024, Featured Listing and WM Deal products, Weedmaps for Business and other ad solutions represented approximately 63%, 29% and 8% of our total net revenues,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60" w:type="dxa"/>
            <w:vAlign w:val="bottom"/>
          </w:tcPr>
          <w:p>
            <w:pPr>
              <w:spacing w:after="0"/>
              <w:rPr>
                <w:sz w:val="24"/>
                <w:szCs w:val="24"/>
                <w:color w:val="auto"/>
              </w:rPr>
            </w:pPr>
          </w:p>
        </w:tc>
        <w:tc>
          <w:tcPr>
            <w:tcW w:w="11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ind w:left="6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86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(9,904)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0" w:lineRule="exact"/>
        <w:rPr>
          <w:sz w:val="20"/>
          <w:szCs w:val="20"/>
          <w:color w:val="auto"/>
        </w:rPr>
      </w:pPr>
    </w:p>
    <w:p>
      <w:pPr>
        <w:ind w:firstLine="8"/>
        <w:spacing w:after="0" w:line="217" w:lineRule="auto"/>
        <w:tabs>
          <w:tab w:leader="none" w:pos="131"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six months ended June 30, 2023, general and administrative expenses have been retrospectively adjusted to reflect the restatement of previously reported credit losses. See Note 2, “Summary of Significant Accounting Policies,” for further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cost of revenue was primarily related to a decrease of $1.6 million for cost of revenues associated with multi-channel marketing and cloud communication platforms primarily due to the sunset in December 2023 of WM CRM, WM Screens and WM AdSuite and a decrease of $0.5 million in server costs.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due to a decrease in personnel-related costs of $5.1 million, a decrease in outside services of $0.5 million and a decrease in branding, advertising and endorsement expense of $2.0 million, partially offset by an increase in event expense of $0.5 million, an increase in print and products expense of $0.8 million and an increase in web advertising of $2.5 million. The decrease in personnel-related costs was primarily driven by lower headcount resulting in decreases in salaries and wages of $2.0 million, bonus expense of $2.1 million, payroll taxes of $0.2 million and $0.8 million in stock-based compensation expense.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product development expenses was due to a decrease in personnel-related costs of $2.2 million, partially offset by an increase in outside service expense of $1.1 million. The decrease in personnel-related costs was primarily due to decreases in salaries and wages of $1.5 million, bonus expense of $0.2 million and stock-based compensation expense of $0.4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personnel-related costs of $2.7 million, a decrease in facilities expense of $0.6 million, a decrease in insurance expense of $1.1 million, a decrease in rent expense of $0.3 million, a decrease in software expense of $0.7 million and a decrease in provision for credit losses of $0.2 million, partially offset by $1.5 million charge recorded in the second quarter of 2024 related to potential settlement of an SEC matter, increases in professional legal and audit services of $0.8 million and an increase in outside service expense of $0.5 million. The decrease in personnel-related costs was primarily driven by lower headcount resulting into a decrease in salaries and wages of $1.0 million, a decrease in severance costs of $0.6 million, a decrease in stock-based compensation expense of $1.2 million, a decrease in employee benefit expense of $0.2 million, partially offset by an increase in bonus expense of $0.3 million. See Note 4, “Commitments and Contingencies” to these condensed consolidated financial statements for additional information related to the potential settlement of an SEC matter.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to an increase in capitalized software amortization, partially offset by a decrease in amortization of 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60" w:type="dxa"/>
            <w:vAlign w:val="bottom"/>
          </w:tcPr>
          <w:p>
            <w:pPr>
              <w:spacing w:after="0"/>
              <w:rPr>
                <w:sz w:val="24"/>
                <w:szCs w:val="24"/>
                <w:color w:val="auto"/>
              </w:rPr>
            </w:pPr>
          </w:p>
        </w:tc>
        <w:tc>
          <w:tcPr>
            <w:tcW w:w="10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8"/>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8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unfavorable changes in fair value of warrant liability of $0.1 million and an increase in change in TRA liability of $0.3 million, partially offset by a decrease in other expense of $0.2 million.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2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N/M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Not meaningful</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we recorded fifty-one in income tax provisions due to the impact of the full valuation allowance on its net deferred assets. See Note 2, “Summary of Significant Accounting Policies,” for further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the Wednesday before Thanksgiving (“Green Wednesday”). Likewise, our clients will typically increase their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w:t>
            </w: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2024 and December 31, 2023, we had cash of $41.3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June 30,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8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20,054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4,092</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(7,140)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(5,806)</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(5,972)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(2,266)</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amortization of right-of-use lease assets, stock-based compensation, gain on lease termination, provision (benefit) for credit losses, net of recoveries and the effect of changes in working capital.</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$20.1 million, which resulted from a net income of $3.2 million, together with net cash inflows of $2.2 million from changes in operating assets and liabilities, and non-cash items of $14.7 million, consisting of depreciation and amortization of $6.1 million, fair value of warrant liability of $0.4 million, change in TRA of $0.9 million, amortization of right-of-use lease assets of $2.4 million, stock-based compensation of $5.6 million, partially offset by gain on lease termination of $0.1 million and provision (benefit) for credit losses, net of recoveries of $0.6 million. Net cash inflows from changes in operating assets and liabilities was primarily due to 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decrease in accounts receivable of $4.8 million, a decrease in prepaid expenses and other current assets of $0.3 million, a decrease in other assets of $0.1 million and an increase in accounts payable and accrued expenses of $0.6 million, partially offset by a decrease in deferred revenue of $0.1 million and a decrease in operating lease liabilities of $3.5 million. The changes in operating assets and liabilities are mostly due to fluctuations in timing of cash receipts and payments.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2023 was $4.1 million, which resulted from net loss of $2.0 million, together with net cash outflows of $11.0 million from changes in operating assets and liabilities, and non-cash items of $17.1 million, consisting of depreciation and amortization of $6.0 million, fair value of warrant liability of $0.3 million, change in TRA of $0.6 million, amortization of right-of-use lease assets of $2.4 million and stock-based compensation of $8.1 million, partially offset by provision (benefit) for credit losses, net of recoveries of $0.4 million. Net cash outflows from changes in operating assets and liabilities were primarily due to a decrease in accounts payables and accrued expenses of $12.9 million and a decrease in operating lease liabilities of $3.1 million, partially offset by a decrease in accounts receivables of $2.9 million, a decrease in prepaid expenses and other current assets of $1.6 million and an increase in deferred revenue of $0.4 million. The changes in operating assets and liabilities are mostly due to fluctuations in timing of cash receipts and payments.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$7.1 million, which resulted from $7.1 million cash paid for capital expenditures which includes purchases of property and equipment, including certain capitalized software development cost.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2023 was $5.8 million, which resulted from $5.8 million cash paid for capital expenditures which includes purchases of property and equipment, including certain capitalized software development cost.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six months ended June 30, 2024 was $6.0 million, which primarily consists of $6.0 million in distributions payments to members of WMH LLC, $0.1 million in TRA payments and $0.1 million in proceeds from collection of related party note receivable.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six months ended June 30, 2023 was $2.3 million, which primarily consists of $1.5 million in repayments of insurance premium financing and $1.0 million in distributions payments to members of WMH LLC and $0.2 million in proceeds from collection of related party note receivable.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significant changes to our critical accounting policies and estimates from those disclosed in “Part I. Item 7. Management’s Discussion and Analysis of Financial Condition and Results of Operations” in our Annual Report on Form 10-K for the year ended December 31, 2023 that was filed with the SEC on May 24,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new accounting pronouncements applicable to us as of June 30, 2024.</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this Item.</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executive chair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foregoing in mind, our executive chair and chief financial officer (“Certifying Officers”) evaluated the effectiveness of our disclosure controls and procedures as of June 30, 2024, pursuant to Rule 13a-15(b) under the Exchange Act. Based on the evaluation, our executive chair and chief financial officer have concluded that as of June 30, 2024, our disclosure controls and procedures were not effective due to the material weaknesses in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117" w:lineRule="exact"/>
        <w:rPr>
          <w:sz w:val="20"/>
          <w:szCs w:val="20"/>
          <w:color w:val="auto"/>
        </w:rPr>
      </w:pPr>
    </w:p>
    <w:p>
      <w:pPr>
        <w:jc w:val="both"/>
        <w:ind w:left="660" w:hanging="328"/>
        <w:spacing w:after="0" w:line="272"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w:t>
      </w:r>
    </w:p>
    <w:p>
      <w:pPr>
        <w:spacing w:after="0" w:line="1" w:lineRule="exact"/>
        <w:rPr>
          <w:rFonts w:ascii="Times New Roman" w:cs="Times New Roman" w:eastAsia="Times New Roman" w:hAnsi="Times New Roman"/>
          <w:sz w:val="17"/>
          <w:szCs w:val="17"/>
          <w:color w:val="auto"/>
        </w:rPr>
      </w:pPr>
    </w:p>
    <w:p>
      <w:pPr>
        <w:jc w:val="both"/>
        <w:ind w:left="6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78"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our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identified a material weakness in internal control related to ineffective IT general controls in the areas of user access and program change-management over certain information technology systems that support our financial reporting processes. We took measures to remediate this material weakness, specifically by undertaking the following measures:</w:t>
      </w:r>
    </w:p>
    <w:p>
      <w:pPr>
        <w:spacing w:after="0" w:line="6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developers’ administrative access from production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ability for certain users, including developers, to access other users’ accounts;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audit trails to log and monitor system configuration and data changes made by users to detect erroneous or unauthorized changes.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remediation efforts concluded as of June 30, 2023 when we determined that the above measures had been implemented.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fiscal 2023. The lack of successful completion of our remediation efforts related to this material weakness identified for the year ended December 31, 2022 is reflected in the first bullet of our 2023 material weaknesses discussed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begun the process of and are focused on designing and implement effective internal controls to improve our internal controls over financial reporting and remediate the material weakness, including;</w:t>
      </w:r>
    </w:p>
    <w:p>
      <w:pPr>
        <w:spacing w:after="0" w:line="5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of additional personnel with extensive knowledge of GAAP,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new ERP system,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IT governance and designing IT general controls including program change management, accessing and restricting user access to our internal systems used for financial reporting and accessing.</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the remediation plan is fully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"Commitments and Contingencies—Litigation" in Note 4 of the notes to the condensed consolidated financial statements included in Part I, Item 1 of this Quarterly Report on Form 10-Q is incorporated by reference into this Item 1.</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the second quarter of 2022, our board of directors received an internal complaint regarding the calculation, definition and reporting of our monthly active users (“MAUs”) metric. In response, our board of directors formed a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following which the SEC’s Division of Enforcement commenced an investigation. We have been fully cooperating with that investigation.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we reached an agreement in principle with the SEC staff to resolve the SEC staff’s investigation with respect to the Company. Under the terms of the settlement, we would consent,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would pay a civil money penalty of $1.5 million. This agreement is subject to mutual agreement on the language of the settlement documents and then approval by the SEC. Accordingly, there can be no assurance that the settlement will be consummated or approved on the terms set forth above or at all.</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in our securities involves risk. An investor or potential investor should consider the risks summarized below and under the caption “Risk Factors” in Part I, Item 1A of our Annual Report on Form 10-K for the year ended December 31, 2023 (our “2023 Form 10-K”) and the risk factor discussed below when making investment decisions regarding our securities. Except for the risk factors discussed below, we do not believe that there have been any material changes to the risk factors disclosed in our 2023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the Company, which remains subject to approval by the SEC. Regardless of the outcome, such proceedings can have an adverse impact on us because of legal costs, penalties and other sanctions, diversion of management resources, negative publicity and reputational harm and other factors. See Part II, Item 1. Legal Proceedings to this Form 10-Q for more information.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available to management at the time and involve a significant amount of management judgment. Actual outcomes or losses may differ materially from our assessments and estimates.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ectPr>
          <w:pgSz w:w="11900" w:h="16838" w:orient="portrait"/>
          <w:cols w:equalWidth="0" w:num="1">
            <w:col w:w="11220"/>
          </w:cols>
          <w:pgMar w:left="320" w:top="229" w:right="359" w:bottom="1440" w:gutter="0" w:footer="0" w:header="0"/>
        </w:sectPr>
      </w:pP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8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3.2</w:t>
        </w:r>
      </w:hyperlink>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Certificate of Incorporation of the Company, dated June 15, 2021 (incorporated by reference to Exhibit 3.1 to the Current Report on Form</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8-K filed on June 21, 2021).</w:t>
        </w:r>
      </w:hyperlink>
    </w:p>
    <w:p>
      <w:pPr>
        <w:spacing w:after="0" w:line="266"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Amended and Restated Bylaws of the Company, dated June 16, 2021 (incorporated by reference to Exhibit 3.2 to the Current report on</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Form 8-K filed on June 21, 2021).</w:t>
        </w:r>
      </w:hyperlink>
    </w:p>
    <w:p>
      <w:pPr>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pursuant to Rules 13a-14(a) and 15d-14(a) under the Securities Exchange Act of 1934, as adopted pursuant to Section 302 of the Sarbanes-Oxley Act of 2002</w:t>
      </w: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Certifications of the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-287655</wp:posOffset>
            </wp:positionV>
            <wp:extent cx="713232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4" w:lineRule="exact"/>
        <w:rPr>
          <w:sz w:val="20"/>
          <w:szCs w:val="20"/>
          <w:color w:val="auto"/>
        </w:rPr>
      </w:pPr>
    </w:p>
    <w:p>
      <w:pPr>
        <w:sectPr>
          <w:pgSz w:w="11900" w:h="16838" w:orient="portrait"/>
          <w:cols w:equalWidth="0" w:num="2">
            <w:col w:w="900" w:space="320"/>
            <w:col w:w="10000"/>
          </w:cols>
          <w:pgMar w:left="320" w:top="229"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50" w:lineRule="exact"/>
        <w:rPr>
          <w:sz w:val="20"/>
          <w:szCs w:val="20"/>
          <w:color w:val="auto"/>
        </w:rPr>
      </w:pPr>
    </w:p>
    <w:p>
      <w:pPr>
        <w:jc w:val="both"/>
        <w:ind w:left="1220" w:hanging="217"/>
        <w:spacing w:after="0" w:line="254" w:lineRule="auto"/>
        <w:tabs>
          <w:tab w:leader="none" w:pos="12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38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WM TECHNOLOGY, INC.</w:t>
            </w:r>
          </w:p>
        </w:tc>
      </w:tr>
      <w:tr>
        <w:trPr>
          <w:trHeight w:val="7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8, 2024</w:t>
            </w:r>
          </w:p>
        </w:tc>
        <w:tc>
          <w:tcPr>
            <w:tcW w:w="208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Douglas Francis</w:t>
            </w:r>
          </w:p>
        </w:tc>
      </w:tr>
      <w:tr>
        <w:trPr>
          <w:trHeight w:val="218"/>
        </w:trPr>
        <w:tc>
          <w:tcPr>
            <w:tcW w:w="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Douglas Francis</w:t>
            </w:r>
          </w:p>
        </w:tc>
      </w:tr>
      <w:tr>
        <w:trPr>
          <w:trHeight w:val="228"/>
        </w:trPr>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Chair</w:t>
            </w:r>
          </w:p>
        </w:tc>
      </w:tr>
      <w:tr>
        <w:trPr>
          <w:trHeight w:val="236"/>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9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8, 2024</w:t>
            </w:r>
          </w:p>
        </w:tc>
        <w:tc>
          <w:tcPr>
            <w:tcW w:w="208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Susan Echard</w:t>
            </w:r>
          </w:p>
        </w:tc>
      </w:tr>
      <w:tr>
        <w:trPr>
          <w:trHeight w:val="218"/>
        </w:trPr>
        <w:tc>
          <w:tcPr>
            <w:tcW w:w="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Susan Echard</w:t>
            </w:r>
          </w:p>
        </w:tc>
      </w:tr>
      <w:tr>
        <w:trPr>
          <w:trHeight w:val="228"/>
        </w:trPr>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182"/>
        </w:trPr>
        <w:tc>
          <w:tcPr>
            <w:tcW w:w="4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4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r>
      <w:tr>
        <w:trPr>
          <w:trHeight w:val="236"/>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r>
        <w:trPr>
          <w:trHeight w:val="911"/>
        </w:trPr>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46</w:t>
            </w:r>
          </w:p>
        </w:tc>
        <w:tc>
          <w:tcPr>
            <w:tcW w:w="3640" w:type="dxa"/>
            <w:vAlign w:val="bottom"/>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Francis, certify that: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8" w:lineRule="exact"/>
        <w:rPr>
          <w:sz w:val="20"/>
          <w:szCs w:val="20"/>
          <w:color w:val="auto"/>
        </w:rPr>
      </w:pPr>
    </w:p>
    <w:p>
      <w:pPr>
        <w:jc w:val="both"/>
        <w:ind w:left="340" w:hanging="332"/>
        <w:spacing w:after="0" w:line="266" w:lineRule="auto"/>
        <w:tabs>
          <w:tab w:leader="none" w:pos="3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340" w:hanging="332"/>
        <w:spacing w:after="0" w:line="282" w:lineRule="auto"/>
        <w:tabs>
          <w:tab w:leader="none" w:pos="4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Executive Chair</w:t>
      </w:r>
    </w:p>
    <w:p>
      <w:pPr>
        <w:sectPr>
          <w:pgSz w:w="11900" w:h="16838" w:orient="portrait"/>
          <w:cols w:equalWidth="0" w:num="1">
            <w:col w:w="11240"/>
          </w:cols>
          <w:pgMar w:left="320" w:top="1413" w:right="339" w:bottom="704" w:gutter="0" w:footer="0" w:header="0"/>
        </w:sectPr>
      </w:pPr>
    </w:p>
    <w:p>
      <w:pPr>
        <w:spacing w:after="0" w:line="200" w:lineRule="exact"/>
        <w:rPr>
          <w:sz w:val="20"/>
          <w:szCs w:val="20"/>
          <w:color w:val="auto"/>
        </w:rPr>
      </w:pPr>
    </w:p>
    <w:p>
      <w:pPr>
        <w:spacing w:after="0" w:line="36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13" w:right="339" w:bottom="704" w:gutter="0" w:footer="0" w:header="0"/>
          <w:type w:val="continuous"/>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Echard, certify that: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WM Technology, Inc.;</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8" w:lineRule="exact"/>
        <w:rPr>
          <w:sz w:val="20"/>
          <w:szCs w:val="20"/>
          <w:color w:val="auto"/>
        </w:rPr>
      </w:pPr>
    </w:p>
    <w:p>
      <w:pPr>
        <w:jc w:val="both"/>
        <w:ind w:left="340" w:hanging="332"/>
        <w:spacing w:after="0" w:line="266" w:lineRule="auto"/>
        <w:tabs>
          <w:tab w:leader="none" w:pos="3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340" w:hanging="332"/>
        <w:spacing w:after="0" w:line="282" w:lineRule="auto"/>
        <w:tabs>
          <w:tab w:leader="none" w:pos="4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4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1114425</wp:posOffset>
            </wp:positionV>
            <wp:extent cx="23317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Susan Echard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4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ectPr>
          <w:pgSz w:w="11900" w:h="16838" w:orient="portrait"/>
          <w:cols w:equalWidth="0" w:num="1">
            <w:col w:w="11240"/>
          </w:cols>
          <w:pgMar w:left="320" w:top="1413" w:right="33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EXECUTIVE CHAIR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Douglas Francis, the Executive Chair of WM Technology, Inc., certify, pursuant to 18 U.S.C. Section 1350, as adopted pursuant to Section 906 of the Sarbanes-Oxley Act of 2002, that the Quarterly Report on Form 10-Q of WM Technology, Inc. for the quarterly period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820" w:val="left"/>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68580</wp:posOffset>
            </wp:positionV>
            <wp:extent cx="23317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9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Douglas Francis</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Executive Chair</w:t>
      </w:r>
    </w:p>
    <w:p>
      <w:pPr>
        <w:spacing w:after="0" w:line="2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Susan Echard, the Interim Chief Financial Officer of WM Technology, Inc., certify, pursuant to 18 U.S.C. Section 1350, as adopted pursuant to Section 906 of the Sarbanes-Oxley Act of 2002, that the Quarterly Report on Form 10-Q of WM Technology, Inc. for the quarterly period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61" w:lineRule="exact"/>
        <w:rPr>
          <w:sz w:val="20"/>
          <w:szCs w:val="20"/>
          <w:color w:val="auto"/>
        </w:rPr>
      </w:pPr>
    </w:p>
    <w:p>
      <w:pPr>
        <w:ind w:left="60"/>
        <w:spacing w:after="0"/>
        <w:tabs>
          <w:tab w:leader="none" w:pos="820" w:val="left"/>
          <w:tab w:leader="none" w:pos="6860" w:val="left"/>
          <w:tab w:leader="none" w:pos="7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68580</wp:posOffset>
            </wp:positionV>
            <wp:extent cx="234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1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Susan Echard</w:t>
      </w:r>
    </w:p>
    <w:p>
      <w:pPr>
        <w:spacing w:after="0" w:line="10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10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lvl w:ilvl="1">
      <w:lvlJc w:val="left"/>
      <w:lvlText w:val="◦"/>
      <w:numFmt w:val="bullet"/>
      <w:start w:val="1"/>
    </w:lvl>
  </w:abstractNum>
  <w:abstractNum w:abstractNumId="6">
    <w:nsid w:val="436C6125"/>
    <w:multiLevelType w:val="hybridMultilevel"/>
    <w:lvl w:ilvl="0">
      <w:lvlJc w:val="left"/>
      <w:lvlText w:val="1"/>
      <w:numFmt w:val="bullet"/>
      <w:start w:val="1"/>
    </w:lvl>
  </w:abstractNum>
  <w:abstractNum w:abstractNumId="7">
    <w:nsid w:val="628C895D"/>
    <w:multiLevelType w:val="hybridMultilevel"/>
    <w:lvl w:ilvl="0">
      <w:lvlJc w:val="left"/>
      <w:lvlText w:val="2"/>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8"/>
    </w:lvl>
  </w:abstractNum>
  <w:abstractNum w:abstractNumId="11">
    <w:nsid w:val="2D1D5AE9"/>
    <w:multiLevelType w:val="hybridMultilevel"/>
    <w:lvl w:ilvl="0">
      <w:lvlJc w:val="left"/>
      <w:lvlText w:val="%1."/>
      <w:numFmt w:val="decimal"/>
      <w:start w:val="9"/>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1."/>
      <w:numFmt w:val="decimal"/>
      <w:start w:val="11"/>
    </w:lvl>
  </w:abstractNum>
  <w:abstractNum w:abstractNumId="14">
    <w:nsid w:val="8EDBDAB"/>
    <w:multiLevelType w:val="hybridMultilevel"/>
    <w:lvl w:ilvl="0">
      <w:lvlJc w:val="left"/>
      <w:lvlText w:val="%1."/>
      <w:numFmt w:val="decimal"/>
      <w:start w:val="12"/>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85" Type="http://schemas.openxmlformats.org/officeDocument/2006/relationships/hyperlink" Target="https://www.sec.gov/Archives/edgar/data/0001779474/000114036121021785/brhc10025756_ex3-1.htm" TargetMode="External"/><Relationship Id="rId86" Type="http://schemas.openxmlformats.org/officeDocument/2006/relationships/hyperlink" Target="https://www.sec.gov/Archives/edgar/data/0001779474/000114036121021785/brhc1002575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2024-08-08T16:01:56Z</dcterms:created>
  <dcterms:modified xsi:type="dcterms:W3CDTF">2024-08-08T16:01:56Z</dcterms:modified>
</cp:coreProperties>
</file>