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April 2, 2024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 2024, WM Technology, Inc. (the “Company”) received a notice (the “Notice”) from the Listing Qualifications Department (the “Staff”) of the Nasdaq Stock Market (“Nasdaq”), which indicated that, as a result of the Company’s delay in filing its Annual Report on Form 10-K for the year ended December 31, 2023 (the “Annual Report”), the Company was not in compliance with Nasdaq Listing Rule 5250(c)(1) (the “Rule”), which requires Nasdaq-listed companies to timely file all required periodic financial reports with the U.S. Securities and Exchange Commission (the “SEC”).</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Notice states that the Company has 60 calendar days from the date of the Notice, or until June 3, 2024, to submit a plan (the "Plan"), to regain compliance with the Rule. If Nasdaq accepts the Company’s plan to regain compliance, then Nasdaq may grant the Company up to 180 calendar days from the prescribed due date of its Annual Report, or until September 30, 2024, to file its Annual Report to regain compliance. The Company will file the Form 10-K as soon as practicable and anticipates that the Form 10-K will be filed prior to the date on which the Company is required to submit the Plan, however, if the Form 10-K is not filed by such date, the Company will instead submit the Plan. The Notice has no immediate effect on the listing of the Company’s securities on Nasdaq.</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work diligently to complete its Annual Report and plans to file its Annual Report as promptly as possible to regain compliance with the Rule.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2024, the Company issued a press release in accordance with Nasdaq Listing Rule 5810(b) announcing that the Company had received the Notice. A copy of the press release is attached hereto as Exhibit 99.1.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this Item 7.01 and Exhibit 99.1 attached hereto, is being furnished and shall not be deemed “filed” for purposes of Section 18 of the Securities Exchange Act of 1934, as amended (the “Exchange Act”), or otherwise subject to the liabilities of such section. The information in this Item 7.01 and Exhibit 99.1 attached hereto, shall not be incorporated by reference into any filing under the Securities Act of 1933, as amended, or the Exchange Act, except as expressly set forth by specific reference in such a filing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on December 29, 2023, the Company received a letter from the Staff notifying the Company that it had failed to comply with the $1.00 per share minimum bid price requirement of Nasdaq Listing Rule 5450(a)(1). On April 8, 2024, the Company received a letter from the Staff notifying the Company that the Staff had determined that for 10 consecutive business days, from March 22, 2024 to April 5, 2024, the minimum closing bid price for the Company’s Class A common stock was at least $1.00 per share. Accordingly, the Staff has determined that the Company has regained compliance with Listing Rule 5450(a)(1) and it has indicated that the matter is now closed. There can be no assurance, however, that the Company will be able to maintain compliance with Listing Rule 5450(a)(1)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ability to complete the filing of the Form 10-K within a specific time period and to regain compliance with Nasdaq listing standards, Nasdaq granting the Company any relief to regain compliance, and whether the Company can ultimately meet applicable Nasdaq requirements for any such relief.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(the “SEC”), including the risk factors described under the heading “Risk Factors” in the Company’s annual report on Form 10-K for the year ended December 31, 2022 filed with the SEC on March 16, 2023,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left"/>
        <w:rPr/>
      </w:pPr>
      <w:r>
        <w:rPr>
          <w:rFonts w:ascii="Times New Roman;sans-serif" w:hAnsi="Times New Roman;sans-serif"/>
          <w:b/>
          <w:color w:val="000000"/>
          <w:sz w:val="20"/>
        </w:rPr>
        <w:t xml:space="preserve">(d) Exhibits. </w:t>
      </w:r>
      <w:r>
        <w:rPr>
          <w:rFonts w:ascii="Times New Roman;sans-serif" w:hAnsi="Times New Roman;sans-serif"/>
          <w:b w:val="false"/>
          <w:color w:val="000000"/>
          <w:sz w:val="20"/>
        </w:rPr>
        <w:t>The following exhibits are filed with this Current Report on Form 8-K: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407"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1927"/>
        <w:gridCol w:w="1927"/>
        <w:gridCol w:w="2745"/>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wmtechnologyincdelinquency.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wmtechnologyincdelinquency.htm">
              <w:r>
                <w:rPr>
                  <w:rStyle w:val="InternetLink"/>
                  <w:rFonts w:ascii="Times New Roman;sans-serif" w:hAnsi="Times New Roman;sans-serif"/>
                  <w:b w:val="false"/>
                  <w:color w:val="0000FF"/>
                  <w:sz w:val="20"/>
                  <w:u w:val="single"/>
                </w:rPr>
                <w:t>Press Release dated April 08, 2024</w:t>
              </w:r>
            </w:hyperlink>
          </w:p>
        </w:tc>
      </w:tr>
      <w:tr>
        <w:trPr/>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569" w:type="dxa"/>
        <w:jc w:val="left"/>
        <w:tblInd w:w="0" w:type="dxa"/>
        <w:tblLayout w:type="fixed"/>
        <w:tblCellMar>
          <w:top w:w="28" w:type="dxa"/>
          <w:left w:w="28" w:type="dxa"/>
          <w:bottom w:w="28" w:type="dxa"/>
          <w:right w:w="28" w:type="dxa"/>
        </w:tblCellMar>
      </w:tblPr>
      <w:tblGrid>
        <w:gridCol w:w="331"/>
        <w:gridCol w:w="290"/>
        <w:gridCol w:w="290"/>
        <w:gridCol w:w="290"/>
        <w:gridCol w:w="290"/>
        <w:gridCol w:w="290"/>
        <w:gridCol w:w="383"/>
        <w:gridCol w:w="383"/>
        <w:gridCol w:w="383"/>
        <w:gridCol w:w="771"/>
        <w:gridCol w:w="771"/>
        <w:gridCol w:w="109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78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8, 2024</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Echard</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Echard</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120" w:after="60"/>
        <w:jc w:val="center"/>
        <w:rPr/>
      </w:pPr>
      <w:r>
        <w:rPr/>
        <w:drawing>
          <wp:inline distT="0" distB="0" distL="0" distR="0">
            <wp:extent cx="2381250" cy="7429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lineRule="auto" w:line="288" w:before="120" w:after="60"/>
        <w:jc w:val="center"/>
        <w:rPr>
          <w:rFonts w:ascii="Times New Roman;sans-serif" w:hAnsi="Times New Roman;sans-serif"/>
          <w:b/>
          <w:color w:val="000000"/>
          <w:sz w:val="28"/>
        </w:rPr>
      </w:pPr>
      <w:r>
        <w:rPr>
          <w:rFonts w:ascii="Times New Roman;sans-serif" w:hAnsi="Times New Roman;sans-serif"/>
          <w:b/>
          <w:color w:val="000000"/>
          <w:sz w:val="28"/>
        </w:rPr>
        <w:t>WM Technology, Inc. Announces Notification of Delinquency with Nasdaq</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IRVINE, Calif.--(BUSINESS WIRE)—April 8, 2024-- WM Technology, Inc. (“WM Technology” or the “Company”) (Nasdaq: MAPS), announced it received an expected delinquency notification letter from Nasdaq’s Listing Qualifications Department on April 2, 2024 which indicated that the Company was not in compliance with Nasdaq Listing Rule 5250(c)(1) as a result of the Company’s failure to timely file its Annual Report on Form 10-K for the year ended December 31, 2023 (“Annual Report”). The Nasdaq listing rules require listed companies to timely file all required periodic financial reports with the Securities and Exchange Commission (the "SEC"). This notification has no immediate effect on the listing of the Company’s securities on Nasdaq.</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As described in the Company’s Form 12b-25 Notification of Late Filing filed on March 18, 2024, and subsequent Form 8-K filed on April 1, 2024, the delay in filing the Company’s Annual Report is due to a recent change in the Company’s executive finance leadership and corresponding delay in the preparation of the Company’s financial statements to be included in the Annual Report and the Company’s need to complete additional financial-closing procedures associated with one or more material weaknesses in internal control over financial reporting.</w: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Nasdaq informed the Company that it must submit a plan to regain compliance (the “Plan”) within 60 calendar days, or by June 3, 2024, to address how it intends to regain compliance with the Nasdaq listing rules. If accepted, Nasdaq can grant an exception of up to 180 calendar days from the original due date of the Annual Report, or until September 30, 2024, to regain compliance. The Company will file the Form 10-K as soon as practicable and anticipates that the Form 10-K will be filed prior to the date on which the Company is required to submit the Plan, however, if the Form 10-K is not filed by such date, the Company will instead submit the Plan.</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continue to work diligently to complete and file the Annual Report as soon as practicable and will take the necessary steps to regain compliance with the Nasdaq listing rules as soon as possible.</w:t>
      </w:r>
    </w:p>
    <w:p>
      <w:pPr>
        <w:pStyle w:val="TextBody"/>
        <w:bidi w:val="0"/>
        <w:spacing w:lineRule="auto" w:line="288" w:before="120" w:after="120"/>
        <w:jc w:val="both"/>
        <w:rPr>
          <w:rFonts w:ascii="Times New Roman;sans-serif" w:hAnsi="Times New Roman;sans-serif"/>
          <w:b/>
          <w:color w:val="000000"/>
          <w:sz w:val="24"/>
        </w:rPr>
      </w:pPr>
      <w:r>
        <w:rPr>
          <w:rFonts w:ascii="Times New Roman;sans-serif" w:hAnsi="Times New Roman;sans-serif"/>
          <w:b/>
          <w:color w:val="000000"/>
          <w:sz w:val="24"/>
        </w:rPr>
        <w:t>About WM Technology</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committed to advocating for full U.S. legalization, industry-wide social equity, and continued education about the plant through key partnerships and cannabis subject matter experts.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Headquartered in Irvine, California, WM Technology supports remote and hybrid work for eligible employees. Visit us at www.weedmaps.com.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This press release includes “forward-looking statements” regarding our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Company’s ability to complete the filing of the Form 10-K within a specific time period and to regain compliance with Nasdaq listing standards, Nasdaq granting the Company any relief to regain compliance, and whether the Company can ultimately meet applicable Nasdaq requirements for any such relief. 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(the “SEC”), including the risk factors described under the heading “Risk Factors” in the Company’s annual report on Form 10-K for the year ended December 31, 2022 filed with the SEC on March 16, 2023, and other documents subsequently filed with the SEC. The forward-looking statements in this press release are based upon information available to the Company as of the date of this press release,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pStyle w:val="TextBody"/>
        <w:bidi w:val="0"/>
        <w:spacing w:before="120" w:after="120"/>
        <w:jc w:val="left"/>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left"/>
        <w:rPr>
          <w:rFonts w:ascii="Times New Roman;sans-serif" w:hAnsi="Times New Roman;sans-serif"/>
          <w:b/>
          <w:color w:val="000000"/>
          <w:sz w:val="24"/>
        </w:rPr>
      </w:pPr>
      <w:r>
        <w:rPr>
          <w:rFonts w:ascii="Times New Roman;sans-serif" w:hAnsi="Times New Roman;sans-serif"/>
          <w:b/>
          <w:color w:val="000000"/>
          <w:sz w:val="24"/>
        </w:rPr>
        <w:t>Investor Relations:</w:t>
      </w:r>
    </w:p>
    <w:p>
      <w:pPr>
        <w:pStyle w:val="TextBody"/>
        <w:bidi w:val="0"/>
        <w:spacing w:lineRule="auto" w:line="288" w:before="120" w:after="120"/>
        <w:jc w:val="left"/>
        <w:rPr>
          <w:rFonts w:ascii="Times New Roman;sans-serif" w:hAnsi="Times New Roman;sans-serif"/>
          <w:b w:val="false"/>
          <w:color w:val="0000FF"/>
          <w:sz w:val="24"/>
        </w:rPr>
      </w:pPr>
      <w:r>
        <w:rPr>
          <w:rFonts w:ascii="Times New Roman;sans-serif" w:hAnsi="Times New Roman;sans-serif"/>
          <w:b w:val="false"/>
          <w:color w:val="0000FF"/>
          <w:sz w:val="24"/>
        </w:rPr>
        <w:t>investors@weedmaps.com</w:t>
      </w:r>
    </w:p>
    <w:p>
      <w:pPr>
        <w:pStyle w:val="TextBody"/>
        <w:bidi w:val="0"/>
        <w:spacing w:lineRule="auto" w:line="288" w:before="120" w:after="120"/>
        <w:jc w:val="left"/>
        <w:rPr>
          <w:rFonts w:ascii="Times New Roman;sans-serif" w:hAnsi="Times New Roman;sans-serif"/>
          <w:b/>
          <w:color w:val="000000"/>
          <w:sz w:val="24"/>
        </w:rPr>
      </w:pPr>
      <w:r>
        <w:rPr>
          <w:rFonts w:ascii="Times New Roman;sans-serif" w:hAnsi="Times New Roman;sans-serif"/>
          <w:b/>
          <w:color w:val="000000"/>
          <w:sz w:val="24"/>
        </w:rPr>
        <w:t>Media Contract:</w:t>
      </w:r>
    </w:p>
    <w:p>
      <w:pPr>
        <w:pStyle w:val="TextBody"/>
        <w:bidi w:val="0"/>
        <w:spacing w:lineRule="auto" w:line="288" w:before="120" w:after="120"/>
        <w:jc w:val="left"/>
        <w:rPr>
          <w:rFonts w:ascii="Times New Roman;sans-serif" w:hAnsi="Times New Roman;sans-serif"/>
          <w:b w:val="false"/>
          <w:color w:val="0000FF"/>
          <w:sz w:val="24"/>
        </w:rPr>
      </w:pPr>
      <w:r>
        <w:rPr>
          <w:rFonts w:ascii="Times New Roman;sans-serif" w:hAnsi="Times New Roman;sans-serif"/>
          <w:b w:val="false"/>
          <w:color w:val="0000FF"/>
          <w:sz w:val="24"/>
        </w:rPr>
        <w:t>press@weedmaps.com</w:t>
      </w:r>
    </w:p>
    <w:p>
      <w:pPr>
        <w:pStyle w:val="TextBody"/>
        <w:bidi w:val="0"/>
        <w:spacing w:lineRule="auto" w:line="28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Source: WM Technology, Inc.</w:t>
      </w:r>
    </w:p>
    <w:p>
      <w:pPr>
        <w:pStyle w:val="TextBody"/>
        <w:bidi w:val="0"/>
        <w:spacing w:before="120" w:after="60"/>
        <w:ind w:left="0" w:right="0" w:firstLine="15"/>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2277</Words>
  <Characters>12403</Characters>
  <CharactersWithSpaces>14601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