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(Mark One)</w:t>
      </w:r>
    </w:p>
    <w:p>
      <w:pPr>
        <w:spacing w:after="0" w:line="14" w:lineRule="exact"/>
        <w:rPr>
          <w:sz w:val="24"/>
          <w:szCs w:val="24"/>
          <w:color w:val="auto"/>
        </w:rPr>
      </w:pPr>
    </w:p>
    <w:p>
      <w:pPr>
        <w:jc w:val="center"/>
        <w:ind w:left="3340" w:right="100" w:hanging="3239"/>
        <w:spacing w:after="0" w:line="443" w:lineRule="auto"/>
        <w:tabs>
          <w:tab w:leader="none" w:pos="335" w:val="left"/>
        </w:tabs>
        <w:numPr>
          <w:ilvl w:val="1"/>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 September 30, 2019</w:t>
      </w:r>
    </w:p>
    <w:p>
      <w:pPr>
        <w:spacing w:after="0" w:line="36" w:lineRule="exact"/>
        <w:rPr>
          <w:rFonts w:ascii="MS PGothic" w:cs="MS PGothic" w:eastAsia="MS PGothic" w:hAnsi="MS PGothic"/>
          <w:sz w:val="22"/>
          <w:szCs w:val="22"/>
          <w:color w:val="auto"/>
        </w:rPr>
      </w:pPr>
    </w:p>
    <w:p>
      <w:pPr>
        <w:ind w:left="340" w:hanging="247"/>
        <w:spacing w:after="0"/>
        <w:tabs>
          <w:tab w:leader="none" w:pos="3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45" w:lineRule="exact"/>
        <w:rPr>
          <w:sz w:val="24"/>
          <w:szCs w:val="24"/>
          <w:color w:val="auto"/>
        </w:rPr>
      </w:pPr>
    </w:p>
    <w:p>
      <w:pPr>
        <w:jc w:val="center"/>
        <w:spacing w:after="0"/>
        <w:tabs>
          <w:tab w:leader="none" w:pos="9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No. 001-39021</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Cayman Islands</w:t>
            </w: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rPr>
              <w:t>N/A</w:t>
            </w:r>
          </w:p>
        </w:tc>
      </w:tr>
      <w:tr>
        <w:trPr>
          <w:trHeight w:val="230"/>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1114 6th Ave, 41st Floor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905-4923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45" w:lineRule="exact"/>
        <w:rPr>
          <w:sz w:val="24"/>
          <w:szCs w:val="24"/>
          <w:color w:val="auto"/>
        </w:rPr>
      </w:pPr>
    </w:p>
    <w:p>
      <w:pPr>
        <w:ind w:left="66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4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Title of each class</w:t>
            </w:r>
          </w:p>
        </w:tc>
        <w:tc>
          <w:tcPr>
            <w:tcW w:w="2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4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ordinary shares, par value $0.0001 per share</w:t>
            </w:r>
          </w:p>
        </w:tc>
        <w:tc>
          <w:tcPr>
            <w:tcW w:w="260" w:type="dxa"/>
            <w:vAlign w:val="bottom"/>
          </w:tcPr>
          <w:p>
            <w:pPr>
              <w:spacing w:after="0"/>
              <w:rPr>
                <w:sz w:val="17"/>
                <w:szCs w:val="17"/>
                <w:color w:val="auto"/>
              </w:rPr>
            </w:pPr>
          </w:p>
        </w:tc>
        <w:tc>
          <w:tcPr>
            <w:tcW w:w="2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SSPK</w:t>
            </w:r>
          </w:p>
        </w:tc>
        <w:tc>
          <w:tcPr>
            <w:tcW w:w="240" w:type="dxa"/>
            <w:vAlign w:val="bottom"/>
          </w:tcPr>
          <w:p>
            <w:pPr>
              <w:spacing w:after="0"/>
              <w:rPr>
                <w:sz w:val="17"/>
                <w:szCs w:val="17"/>
                <w:color w:val="auto"/>
              </w:rPr>
            </w:pPr>
          </w:p>
        </w:tc>
        <w:tc>
          <w:tcPr>
            <w:tcW w:w="4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Stock Market LLC</w:t>
            </w:r>
          </w:p>
        </w:tc>
      </w:tr>
      <w:tr>
        <w:trPr>
          <w:trHeight w:val="216"/>
        </w:trPr>
        <w:tc>
          <w:tcPr>
            <w:tcW w:w="44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Redeemable warrants, each whole warrant exercisable for</w:t>
            </w:r>
          </w:p>
        </w:tc>
        <w:tc>
          <w:tcPr>
            <w:tcW w:w="27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SSPKW</w:t>
            </w: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6"/>
        </w:trPr>
        <w:tc>
          <w:tcPr>
            <w:tcW w:w="44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one Class A ordinary share at an exercise price of $11.50</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6"/>
        </w:trPr>
        <w:tc>
          <w:tcPr>
            <w:tcW w:w="44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Units, each consisting of one Class A ordinary share and</w:t>
            </w:r>
          </w:p>
        </w:tc>
        <w:tc>
          <w:tcPr>
            <w:tcW w:w="27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SSPKU</w:t>
            </w: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44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one-half of one redeemable warrant</w:t>
            </w: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spacing w:after="0" w:line="222"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ind w:right="20" w:firstLine="648"/>
        <w:spacing w:after="0" w:line="258"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35" w:right="239" w:bottom="0" w:gutter="0" w:footer="0" w:header="0"/>
        </w:sectPr>
      </w:pP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0" w:lineRule="exact"/>
        <w:rPr>
          <w:sz w:val="24"/>
          <w:szCs w:val="24"/>
          <w:color w:val="auto"/>
        </w:rPr>
      </w:pPr>
    </w:p>
    <w:p>
      <w:pPr>
        <w:sectPr>
          <w:pgSz w:w="11900" w:h="16838" w:orient="portrait"/>
          <w:cols w:equalWidth="0" w:num="4">
            <w:col w:w="160" w:space="200"/>
            <w:col w:w="4640" w:space="720"/>
            <w:col w:w="160" w:space="180"/>
            <w:col w:w="5360"/>
          </w:cols>
          <w:pgMar w:left="240" w:top="535" w:right="239" w:bottom="0" w:gutter="0" w:footer="0" w:header="0"/>
          <w:type w:val="continuous"/>
        </w:sectPr>
      </w:pPr>
    </w:p>
    <w:p>
      <w:pPr>
        <w:spacing w:after="0" w:line="54"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163" w:lineRule="exact"/>
        <w:rPr>
          <w:sz w:val="24"/>
          <w:szCs w:val="24"/>
          <w:color w:val="auto"/>
        </w:rPr>
      </w:pPr>
    </w:p>
    <w:p>
      <w:pPr>
        <w:ind w:left="660"/>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w:t>
      </w:r>
    </w:p>
    <w:p>
      <w:pPr>
        <w:spacing w:after="0" w:line="88"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ectPr>
          <w:pgSz w:w="11900" w:h="16838" w:orient="portrait"/>
          <w:cols w:equalWidth="0" w:num="1">
            <w:col w:w="11420"/>
          </w:cols>
          <w:pgMar w:left="240" w:top="535" w:right="239" w:bottom="0" w:gutter="0" w:footer="0" w:header="0"/>
          <w:type w:val="continuous"/>
        </w:sectPr>
      </w:pPr>
    </w:p>
    <w:bookmarkStart w:id="1" w:name="page2"/>
    <w:bookmarkEnd w:id="1"/>
    <w:p>
      <w:pPr>
        <w:ind w:firstLine="648"/>
        <w:spacing w:after="0" w:line="251" w:lineRule="auto"/>
        <w:rPr>
          <w:sz w:val="20"/>
          <w:szCs w:val="20"/>
          <w:color w:val="auto"/>
        </w:rPr>
      </w:pPr>
      <w:r>
        <w:rPr>
          <w:rFonts w:ascii="Arial" w:cs="Arial" w:eastAsia="Arial" w:hAnsi="Arial"/>
          <w:sz w:val="22"/>
          <w:szCs w:val="22"/>
          <w:color w:val="auto"/>
        </w:rPr>
        <w:t>As of November 13, 2019, there were 25,000,000 Class A ordinary shares, $0.0001 par value per share, and 6,250,000 Class B ordinary shares,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2" w:lineRule="exact"/>
        <w:rPr>
          <w:sz w:val="20"/>
          <w:szCs w:val="20"/>
          <w:color w:val="auto"/>
        </w:rPr>
      </w:pPr>
    </w:p>
    <w:p>
      <w:pPr>
        <w:ind w:left="1076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6668770</wp:posOffset>
            </wp:positionH>
            <wp:positionV relativeFrom="paragraph">
              <wp:posOffset>17145</wp:posOffset>
            </wp:positionV>
            <wp:extent cx="5829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19"/>
          </w:tcPr>
          <w:p>
            <w:pPr>
              <w:spacing w:after="0"/>
              <w:rPr>
                <w:sz w:val="20"/>
                <w:szCs w:val="20"/>
                <w:color w:val="auto"/>
              </w:rPr>
            </w:pPr>
            <w:r>
              <w:rPr>
                <w:rFonts w:ascii="Arial" w:cs="Arial" w:eastAsia="Arial" w:hAnsi="Arial"/>
                <w:sz w:val="18"/>
                <w:szCs w:val="18"/>
                <w:color w:val="auto"/>
              </w:rPr>
              <w:t>Financial Statements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 as of September 30, 2019 (unaudited)</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9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Operations for the Three Months Ended September 30, 2019 and for the Period from June 7, 2019</w:t>
              </w:r>
            </w:hyperlink>
          </w:p>
        </w:tc>
        <w:tc>
          <w:tcPr>
            <w:tcW w:w="500" w:type="dxa"/>
            <w:vAlign w:val="bottom"/>
            <w:tcBorders>
              <w:bottom w:val="single" w:sz="8" w:color="CCEEFF"/>
            </w:tcBorders>
            <w:gridSpan w:val="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40" w:type="dxa"/>
            <w:vAlign w:val="bottom"/>
            <w:gridSpan w:val="19"/>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(Inception) Through September 30, 2019 (unaudited)</w:t>
              </w:r>
            </w:hyperlink>
          </w:p>
        </w:tc>
        <w:tc>
          <w:tcPr>
            <w:tcW w:w="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91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 of Changes in Shareholders’ Equity for the Three Months Ended September 30, 2019 and for the Period</w:t>
              </w:r>
            </w:hyperlink>
          </w:p>
        </w:tc>
        <w:tc>
          <w:tcPr>
            <w:tcW w:w="3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40" w:type="dxa"/>
            <w:vAlign w:val="bottom"/>
            <w:gridSpan w:val="19"/>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from June 7, 2019 (Inception) Through September 30, 2019 (unaudited)</w:t>
              </w:r>
            </w:hyperlink>
          </w:p>
        </w:tc>
        <w:tc>
          <w:tcPr>
            <w:tcW w:w="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7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Statement of Cash Flows for the Period from June 7, 2019 (Inception) Through September 30, 2019 (unaudited)</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 (unaudited)</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9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 and Procedures</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500" w:type="dxa"/>
            <w:vAlign w:val="bottom"/>
            <w:gridSpan w:val="21"/>
          </w:tcPr>
          <w:p>
            <w:pPr>
              <w:spacing w:after="0"/>
              <w:rPr>
                <w:sz w:val="20"/>
                <w:szCs w:val="20"/>
                <w:color w:val="auto"/>
              </w:rPr>
            </w:pPr>
            <w:r>
              <w:rPr>
                <w:rFonts w:ascii="Arial" w:cs="Arial" w:eastAsia="Arial" w:hAnsi="Arial"/>
                <w:sz w:val="18"/>
                <w:szCs w:val="18"/>
                <w:b w:val="1"/>
                <w:bCs w:val="1"/>
                <w:color w:val="auto"/>
              </w:rPr>
              <w:t>PART II – 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9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9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9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9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9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8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SIGNATURES</w:t>
              </w:r>
            </w:hyperlink>
          </w:p>
        </w:tc>
        <w:tc>
          <w:tcPr>
            <w:tcW w:w="9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24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160" w:type="dxa"/>
            <w:vAlign w:val="bottom"/>
          </w:tcPr>
          <w:p>
            <w:pPr>
              <w:jc w:val="center"/>
              <w:ind w:left="1147"/>
              <w:spacing w:after="0"/>
              <w:rPr>
                <w:sz w:val="20"/>
                <w:szCs w:val="20"/>
                <w:color w:val="auto"/>
              </w:rPr>
            </w:pPr>
            <w:r>
              <w:rPr>
                <w:rFonts w:ascii="Arial" w:cs="Arial" w:eastAsia="Arial" w:hAnsi="Arial"/>
                <w:sz w:val="22"/>
                <w:szCs w:val="22"/>
                <w:b w:val="1"/>
                <w:bCs w:val="1"/>
                <w:color w:val="auto"/>
                <w:w w:val="98"/>
              </w:rPr>
              <w:t>SILVER SPIKE ACQUISITION CORP.</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tcPr>
          <w:p>
            <w:pPr>
              <w:jc w:val="center"/>
              <w:ind w:left="1147"/>
              <w:spacing w:after="0" w:line="243" w:lineRule="exact"/>
              <w:rPr>
                <w:sz w:val="20"/>
                <w:szCs w:val="20"/>
                <w:color w:val="auto"/>
              </w:rPr>
            </w:pPr>
            <w:r>
              <w:rPr>
                <w:rFonts w:ascii="Arial" w:cs="Arial" w:eastAsia="Arial" w:hAnsi="Arial"/>
                <w:sz w:val="22"/>
                <w:szCs w:val="22"/>
                <w:b w:val="1"/>
                <w:bCs w:val="1"/>
                <w:color w:val="auto"/>
                <w:w w:val="97"/>
              </w:rPr>
              <w:t>CONDENSED BALANCE SHEET</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tcPr>
          <w:p>
            <w:pPr>
              <w:jc w:val="center"/>
              <w:ind w:left="1127"/>
              <w:spacing w:after="0" w:line="243" w:lineRule="exact"/>
              <w:rPr>
                <w:sz w:val="20"/>
                <w:szCs w:val="20"/>
                <w:color w:val="auto"/>
              </w:rPr>
            </w:pPr>
            <w:r>
              <w:rPr>
                <w:rFonts w:ascii="Arial" w:cs="Arial" w:eastAsia="Arial" w:hAnsi="Arial"/>
                <w:sz w:val="22"/>
                <w:szCs w:val="22"/>
                <w:b w:val="1"/>
                <w:bCs w:val="1"/>
                <w:color w:val="auto"/>
                <w:w w:val="93"/>
              </w:rPr>
              <w:t>SEPTEMBER 30, 2019</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160" w:type="dxa"/>
            <w:vAlign w:val="bottom"/>
          </w:tcPr>
          <w:p>
            <w:pPr>
              <w:jc w:val="center"/>
              <w:ind w:left="1147"/>
              <w:spacing w:after="0"/>
              <w:rPr>
                <w:sz w:val="20"/>
                <w:szCs w:val="20"/>
                <w:color w:val="auto"/>
              </w:rPr>
            </w:pPr>
            <w:r>
              <w:rPr>
                <w:rFonts w:ascii="Arial" w:cs="Arial" w:eastAsia="Arial" w:hAnsi="Arial"/>
                <w:sz w:val="22"/>
                <w:szCs w:val="22"/>
                <w:b w:val="1"/>
                <w:bCs w:val="1"/>
                <w:color w:val="auto"/>
                <w:w w:val="91"/>
              </w:rPr>
              <w:t>(Unaudited)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250,686,743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251,986,158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8,826,397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 23,750,733 shares at redemption value</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238,159,760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Class A ordinary shares, $0.0001 par value; 200,000,000 shares authorized; 1,249,267 shares issued and outstanding (excluding</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23,750,733 shares subject to possible redemption)</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Class B ordinary shares, $0.0001 par value; 20,000,000 shares authorized; 6,250,000 shares issued and outstanding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251,986,158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from June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2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(133,620)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(138,620)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income:</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Unrealized gain on marketable securities held in Trust Account</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66,074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0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686,743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2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553,123</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548,123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4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Weighted average shares outstanding, basic and diluted </w:t>
            </w:r>
            <w:r>
              <w:rPr>
                <w:rFonts w:ascii="Arial" w:cs="Arial" w:eastAsia="Arial" w:hAnsi="Arial"/>
                <w:sz w:val="25"/>
                <w:szCs w:val="25"/>
                <w:color w:val="auto"/>
                <w:vertAlign w:val="superscript"/>
              </w:rPr>
              <w:t>(1)</w:t>
            </w:r>
          </w:p>
        </w:tc>
        <w:tc>
          <w:tcPr>
            <w:tcW w:w="2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6,910,082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6,792,210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4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Basic and diluted net loss per ordinary share </w:t>
            </w:r>
            <w:r>
              <w:rPr>
                <w:rFonts w:ascii="Arial" w:cs="Arial" w:eastAsia="Arial" w:hAnsi="Arial"/>
                <w:sz w:val="25"/>
                <w:szCs w:val="25"/>
                <w:b w:val="1"/>
                <w:bCs w:val="1"/>
                <w:color w:val="auto"/>
                <w:vertAlign w:val="superscript"/>
              </w:rPr>
              <w:t>(2)</w:t>
            </w:r>
          </w:p>
        </w:tc>
        <w:tc>
          <w:tcPr>
            <w:tcW w:w="2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Excludes an aggregate of 23,750,733 shares subject to possible redemption.</w:t>
      </w:r>
    </w:p>
    <w:p>
      <w:pPr>
        <w:spacing w:after="0" w:line="23" w:lineRule="exact"/>
        <w:rPr>
          <w:rFonts w:ascii="Arial" w:cs="Arial" w:eastAsia="Arial" w:hAnsi="Arial"/>
          <w:sz w:val="18"/>
          <w:szCs w:val="18"/>
          <w:color w:val="auto"/>
        </w:rPr>
      </w:pPr>
    </w:p>
    <w:p>
      <w:pPr>
        <w:ind w:left="340" w:right="60" w:hanging="332"/>
        <w:spacing w:after="0" w:line="32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loss per ordinary share – basic and diluted excludes income attributable to ordinary shares subject to possible redemption of $652,406 for each of the three months ended September 30, 2019 and for the period from June 7, 2019 (inception) through September 30, 2019, respectively (see Note 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 OF CHANGES IN SHAREHOLDER’S EQUITY</w:t>
      </w:r>
    </w:p>
    <w:p>
      <w:pPr>
        <w:jc w:val="center"/>
        <w:spacing w:after="0" w:line="230" w:lineRule="auto"/>
        <w:rPr>
          <w:sz w:val="20"/>
          <w:szCs w:val="20"/>
          <w:color w:val="auto"/>
        </w:rPr>
      </w:pPr>
      <w:r>
        <w:rPr>
          <w:rFonts w:ascii="Arial" w:cs="Arial" w:eastAsia="Arial" w:hAnsi="Arial"/>
          <w:sz w:val="22"/>
          <w:szCs w:val="22"/>
          <w:b w:val="1"/>
          <w:bCs w:val="1"/>
          <w:color w:val="auto"/>
        </w:rPr>
        <w:t>FOR THE THREE MONTHS ENDED SEPTEMBER 30, 2019 AND</w:t>
      </w:r>
    </w:p>
    <w:p>
      <w:pPr>
        <w:jc w:val="center"/>
        <w:spacing w:after="0" w:line="231" w:lineRule="auto"/>
        <w:rPr>
          <w:sz w:val="20"/>
          <w:szCs w:val="20"/>
          <w:color w:val="auto"/>
        </w:rPr>
      </w:pPr>
      <w:r>
        <w:rPr>
          <w:rFonts w:ascii="Arial" w:cs="Arial" w:eastAsia="Arial" w:hAnsi="Arial"/>
          <w:sz w:val="22"/>
          <w:szCs w:val="22"/>
          <w:b w:val="1"/>
          <w:bCs w:val="1"/>
          <w:color w:val="auto"/>
        </w:rPr>
        <w:t>FOR THE PERIOD FROM JUNE 7, 2019 (INCEPTION) THROUGH SEPTEMBER 30, 2019</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gridSpan w:val="5"/>
            <w:vMerge w:val="restart"/>
          </w:tcPr>
          <w:p>
            <w:pPr>
              <w:jc w:val="right"/>
              <w:ind w:right="960"/>
              <w:spacing w:after="0"/>
              <w:rPr>
                <w:sz w:val="20"/>
                <w:szCs w:val="20"/>
                <w:color w:val="auto"/>
              </w:rPr>
            </w:pPr>
            <w:r>
              <w:rPr>
                <w:rFonts w:ascii="Arial" w:cs="Arial" w:eastAsia="Arial" w:hAnsi="Arial"/>
                <w:sz w:val="18"/>
                <w:szCs w:val="18"/>
                <w:b w:val="1"/>
                <w:bCs w:val="1"/>
                <w:color w:val="auto"/>
              </w:rPr>
              <w:t>Class A</w:t>
            </w:r>
          </w:p>
        </w:tc>
        <w:tc>
          <w:tcPr>
            <w:tcW w:w="2140" w:type="dxa"/>
            <w:vAlign w:val="bottom"/>
            <w:gridSpan w:val="5"/>
            <w:vMerge w:val="restart"/>
          </w:tcPr>
          <w:p>
            <w:pPr>
              <w:jc w:val="right"/>
              <w:ind w:right="860"/>
              <w:spacing w:after="0"/>
              <w:rPr>
                <w:sz w:val="20"/>
                <w:szCs w:val="20"/>
                <w:color w:val="auto"/>
              </w:rPr>
            </w:pPr>
            <w:r>
              <w:rPr>
                <w:rFonts w:ascii="Arial" w:cs="Arial" w:eastAsia="Arial" w:hAnsi="Arial"/>
                <w:sz w:val="18"/>
                <w:szCs w:val="18"/>
                <w:b w:val="1"/>
                <w:bCs w:val="1"/>
                <w:color w:val="auto"/>
              </w:rPr>
              <w:t>Class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Retained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300" w:type="dxa"/>
            <w:vAlign w:val="bottom"/>
            <w:gridSpan w:val="5"/>
            <w:vMerge w:val="continue"/>
          </w:tcPr>
          <w:p>
            <w:pPr>
              <w:spacing w:after="0"/>
              <w:rPr>
                <w:sz w:val="16"/>
                <w:szCs w:val="16"/>
                <w:color w:val="auto"/>
              </w:rPr>
            </w:pPr>
          </w:p>
        </w:tc>
        <w:tc>
          <w:tcPr>
            <w:tcW w:w="214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Ordinary Shares</w:t>
            </w:r>
          </w:p>
        </w:tc>
        <w:tc>
          <w:tcPr>
            <w:tcW w:w="21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Ordinary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Paid</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in Capital</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7, 2019 (inception)</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Class B ordinary shares to</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Sponsor</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24,281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Balance – June 30, 2019 (unaudited)</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7,187,500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24,281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25,000,000 Units, net of</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underwriting discounts and offering</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235,584,138</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235,586,638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7,000,000 Private Placement</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7,000,000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of 937,500 Class B ordinary</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(937,500)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(23,750,733)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(238,157,385)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(238,159,760)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553,123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September 30, 2019</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(unaudited)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1,249,267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6,250,000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4,451,128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548,123</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 OF CASH FLOWS</w:t>
      </w:r>
    </w:p>
    <w:p>
      <w:pPr>
        <w:jc w:val="center"/>
        <w:spacing w:after="0"/>
        <w:rPr>
          <w:sz w:val="20"/>
          <w:szCs w:val="20"/>
          <w:color w:val="auto"/>
        </w:rPr>
      </w:pPr>
      <w:r>
        <w:rPr>
          <w:rFonts w:ascii="Arial" w:cs="Arial" w:eastAsia="Arial" w:hAnsi="Arial"/>
          <w:sz w:val="21"/>
          <w:szCs w:val="21"/>
          <w:b w:val="1"/>
          <w:bCs w:val="1"/>
          <w:color w:val="auto"/>
        </w:rPr>
        <w:t>FOR THE PERIOD FROM JUNE 7, 2019 (INCEPTION) THROUGH SEPTEMBER 30, 2019</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right="3957" w:hanging="161"/>
        <w:spacing w:after="0" w:line="250" w:lineRule="auto"/>
        <w:rPr>
          <w:sz w:val="20"/>
          <w:szCs w:val="20"/>
          <w:color w:val="auto"/>
        </w:rPr>
      </w:pPr>
      <w:r>
        <w:rPr>
          <w:rFonts w:ascii="Arial" w:cs="Arial" w:eastAsia="Arial" w:hAnsi="Arial"/>
          <w:sz w:val="18"/>
          <w:szCs w:val="18"/>
          <w:color w:val="auto"/>
        </w:rPr>
        <w:t>Adjustments to reconcile net income to net cash used in operating activities: Interest earned on marketable securities held in Trust Account Unrealized gain on marketable securities held in Trust Account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sale of Private Placement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543" w:hanging="543"/>
        <w:spacing w:after="0"/>
        <w:tabs>
          <w:tab w:leader="none" w:pos="543" w:val="left"/>
        </w:tabs>
        <w:numPr>
          <w:ilvl w:val="0"/>
          <w:numId w:val="3"/>
        </w:numPr>
        <w:rPr>
          <w:rFonts w:ascii="Arial" w:cs="Arial" w:eastAsia="Arial" w:hAnsi="Arial"/>
          <w:sz w:val="18"/>
          <w:szCs w:val="18"/>
          <w:color w:val="auto"/>
        </w:rPr>
      </w:pPr>
      <w:r>
        <w:rPr>
          <w:rFonts w:ascii="Arial" w:cs="Arial" w:eastAsia="Arial" w:hAnsi="Arial"/>
          <w:sz w:val="18"/>
          <w:szCs w:val="18"/>
          <w:color w:val="auto"/>
        </w:rPr>
        <w:t>548,123</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(620,669)</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(66,074)</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(312,137)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76,397</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(374,360)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00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(250,000,000)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00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245,000,000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7,000,000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237,470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(237,470)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(638,362)</w:t>
      </w:r>
    </w:p>
    <w:p>
      <w:pPr>
        <w:spacing w:after="0" w:line="18" w:lineRule="exact"/>
        <w:rPr>
          <w:sz w:val="20"/>
          <w:szCs w:val="20"/>
          <w:color w:val="auto"/>
        </w:rPr>
      </w:pPr>
    </w:p>
    <w:p>
      <w:pPr>
        <w:ind w:left="243"/>
        <w:spacing w:after="0"/>
        <w:rPr>
          <w:sz w:val="20"/>
          <w:szCs w:val="20"/>
          <w:color w:val="auto"/>
        </w:rPr>
      </w:pPr>
      <w:r>
        <w:rPr>
          <w:rFonts w:ascii="Arial" w:cs="Arial" w:eastAsia="Arial" w:hAnsi="Arial"/>
          <w:sz w:val="17"/>
          <w:szCs w:val="17"/>
          <w:b w:val="1"/>
          <w:bCs w:val="1"/>
          <w:color w:val="auto"/>
        </w:rPr>
        <w:t>251,361,638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200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44"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987,278</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18" w:lineRule="exact"/>
        <w:rPr>
          <w:sz w:val="20"/>
          <w:szCs w:val="20"/>
          <w:color w:val="auto"/>
        </w:rPr>
      </w:pPr>
    </w:p>
    <w:p>
      <w:pPr>
        <w:ind w:left="543" w:hanging="543"/>
        <w:spacing w:after="0"/>
        <w:tabs>
          <w:tab w:leader="none" w:pos="54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987,278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0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200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523" w:lineRule="exact"/>
        <w:rPr>
          <w:sz w:val="20"/>
          <w:szCs w:val="20"/>
          <w:color w:val="auto"/>
        </w:rPr>
      </w:pPr>
    </w:p>
    <w:p>
      <w:pPr>
        <w:sectPr>
          <w:pgSz w:w="11900" w:h="16838" w:orient="portrait"/>
          <w:cols w:equalWidth="0" w:num="2">
            <w:col w:w="9457" w:space="720"/>
            <w:col w:w="1243"/>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classification of ordinary shares subject to possible redemption</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237,606,630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101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underwriting fee</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Offering costs paid directly by Sponsor from proceeds from issuance of ordinary shares</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DESCRIPTION OF ORGANIZATION AND BUSINESS OPERATIONS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of September 30, 2019, the Company had not commenced any operations. All activity for the period from June 7, 2019 (inception) through September 30, 2019 relates to the Company's formation, the initial public offering (“Initial Public Offering”), which is described below, and, after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Transaction costs amounted to $14,413,362, consisting of $5,000,000 of underwriting fees, $8,750,000 of deferred underwriting fees and $663,362 of other offering costs. In addition, $1,774,430 of cash was held outside of the Trust Account upon closing of the Initial Public Offering and was available for working capital purposes.</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w:t>
      </w:r>
    </w:p>
    <w:p>
      <w:pPr>
        <w:sectPr>
          <w:pgSz w:w="11900" w:h="16838" w:orient="portrait"/>
          <w:cols w:equalWidth="0" w:num="1">
            <w:col w:w="11420"/>
          </w:cols>
          <w:pgMar w:left="240" w:top="121" w:right="239" w:bottom="0" w:gutter="0" w:footer="0" w:header="0"/>
        </w:sectPr>
      </w:pPr>
    </w:p>
    <w:bookmarkStart w:id="8" w:name="page9"/>
    <w:bookmarkEnd w:id="8"/>
    <w:p>
      <w:pPr>
        <w:spacing w:after="0" w:line="251" w:lineRule="auto"/>
        <w:rPr>
          <w:sz w:val="20"/>
          <w:szCs w:val="20"/>
          <w:color w:val="auto"/>
        </w:rPr>
      </w:pPr>
      <w:r>
        <w:rPr>
          <w:rFonts w:ascii="Arial" w:cs="Arial" w:eastAsia="Arial" w:hAnsi="Arial"/>
          <w:sz w:val="22"/>
          <w:szCs w:val="22"/>
          <w:color w:val="auto"/>
        </w:rPr>
        <w:t>underwriters (as discussed in Note 7). There will be no redemption rights upon the completion of a Business Combination with respect to the Company’s warrants.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ind w:left="4640"/>
        <w:spacing w:after="0" w:line="230" w:lineRule="auto"/>
        <w:rPr>
          <w:sz w:val="20"/>
          <w:szCs w:val="20"/>
          <w:color w:val="auto"/>
        </w:rPr>
      </w:pPr>
      <w:r>
        <w:rPr>
          <w:rFonts w:ascii="Arial" w:cs="Arial" w:eastAsia="Arial" w:hAnsi="Arial"/>
          <w:sz w:val="22"/>
          <w:szCs w:val="22"/>
          <w:b w:val="1"/>
          <w:bCs w:val="1"/>
          <w:color w:val="auto"/>
        </w:rPr>
        <w:t>SEPTEMBER 30, 2019</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200" w:lineRule="exact"/>
        <w:rPr>
          <w:sz w:val="20"/>
          <w:szCs w:val="20"/>
          <w:color w:val="auto"/>
        </w:rPr>
      </w:pPr>
    </w:p>
    <w:p>
      <w:pPr>
        <w:spacing w:after="0" w:line="23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stockholders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will have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w:t>
      </w:r>
    </w:p>
    <w:p>
      <w:pPr>
        <w:spacing w:after="0" w:line="2" w:lineRule="exact"/>
        <w:rPr>
          <w:sz w:val="20"/>
          <w:szCs w:val="20"/>
          <w:color w:val="auto"/>
        </w:rPr>
      </w:pPr>
    </w:p>
    <w:p>
      <w:pPr>
        <w:jc w:val="both"/>
        <w:ind w:firstLine="8"/>
        <w:spacing w:after="0" w:line="273"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w:t>
      </w:r>
    </w:p>
    <w:p>
      <w:pPr>
        <w:sectPr>
          <w:pgSz w:w="11900" w:h="16838" w:orient="portrait"/>
          <w:cols w:equalWidth="0" w:num="1">
            <w:col w:w="11420"/>
          </w:cols>
          <w:pgMar w:left="240" w:top="121" w:right="239" w:bottom="0" w:gutter="0" w:footer="0" w:header="0"/>
        </w:sectPr>
      </w:pPr>
    </w:p>
    <w:bookmarkStart w:id="10" w:name="page11"/>
    <w:bookmarkEnd w:id="10"/>
    <w:p>
      <w:pPr>
        <w:spacing w:after="0" w:line="251" w:lineRule="auto"/>
        <w:rPr>
          <w:sz w:val="20"/>
          <w:szCs w:val="20"/>
          <w:color w:val="auto"/>
        </w:rPr>
      </w:pPr>
      <w:r>
        <w:rPr>
          <w:rFonts w:ascii="Arial" w:cs="Arial" w:eastAsia="Arial" w:hAnsi="Arial"/>
          <w:sz w:val="22"/>
          <w:szCs w:val="22"/>
          <w:color w:val="auto"/>
        </w:rPr>
        <w:t>prospective target businesses or other entities with which the Company does business, execute agreements with the Company waiving any right, title, interest or claim of any kind in or to monies held in the Trust Account.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ind w:left="4640"/>
        <w:spacing w:after="0" w:line="230" w:lineRule="auto"/>
        <w:rPr>
          <w:sz w:val="20"/>
          <w:szCs w:val="20"/>
          <w:color w:val="auto"/>
        </w:rPr>
      </w:pPr>
      <w:r>
        <w:rPr>
          <w:rFonts w:ascii="Arial" w:cs="Arial" w:eastAsia="Arial" w:hAnsi="Arial"/>
          <w:sz w:val="22"/>
          <w:szCs w:val="22"/>
          <w:b w:val="1"/>
          <w:bCs w:val="1"/>
          <w:color w:val="auto"/>
        </w:rPr>
        <w:t>SEPTEMBER 30, 2019</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accompanying unaudited condensed financial statements should be read in conjunction with the Company’s prospectus for its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Initial Public Offering as filed with the SEC on August 9, 2019, as well as the Company’s Current Report on Form 8-K, as filed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the SEC on August 16, 2019. The interim results for the three months ended September and for the period from June 7, 2019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(inception) through September 30, 2019 are not necessarily indicative of the results to be expected for the period from June 7, 2019</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(inception) through December 31, 2019 or for any future periods.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preparation of the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 considers all short-term investments with an original maturity of three months or less when purchased to be cash equivalents. The Company did not have any cash equivalents as of September 30, 2019.</w:t>
      </w:r>
    </w:p>
    <w:p>
      <w:pPr>
        <w:sectPr>
          <w:pgSz w:w="11900" w:h="16838" w:orient="portrait"/>
          <w:cols w:equalWidth="0" w:num="1">
            <w:col w:w="11420"/>
          </w:cols>
          <w:pgMar w:left="240" w:top="121" w:right="239" w:bottom="21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21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ind w:left="4640"/>
        <w:spacing w:after="0" w:line="230" w:lineRule="auto"/>
        <w:rPr>
          <w:sz w:val="20"/>
          <w:szCs w:val="20"/>
          <w:color w:val="auto"/>
        </w:rPr>
      </w:pPr>
      <w:r>
        <w:rPr>
          <w:rFonts w:ascii="Arial" w:cs="Arial" w:eastAsia="Arial" w:hAnsi="Arial"/>
          <w:sz w:val="22"/>
          <w:szCs w:val="22"/>
          <w:b w:val="1"/>
          <w:bCs w:val="1"/>
          <w:color w:val="auto"/>
        </w:rPr>
        <w:t>SEPTEMBER 30, 2019</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Marketable securities held in Trust Account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September 30, 2019, the assets held in the Trust Account were substantially held in U.S. Treasury Bills.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ordinary shares subject to possible redemption</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condensed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loss per ordinary share</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loss per ordinary share is computed by dividing net loss by the weighted average number of ordinary shares outstanding for the period. The Company applies the two-class method in calculating earnings per share. Ordinary shares subject to possible redemption at September 30, 2019, which are not currently redeemable and are not redeemable at fair value, have been excluded from the calculation of basic net loss per ordinary share since such shares, if redeemed, only participate in their pro rata share of the Trust Account earnings. The Company has not considered the effect of warrants sold in the Initial Public Offering and the private placement to purchase 19,500,000 ordinary shares in the calculation of diluted loss per share, since the exercise of the warrants into ordinary shares is contingent upon the occurrence of future events. As a result, diluted net loss per ordinary share is the same as basic net loss per ordinary share for the periods presented.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net loss per ordinary share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Company’s net income is adjusted for the portion of income that is attributable to ordinary shares subject to possible redemption, as these shares only participate in the earnings of the Trust Account and not the income or losses of the Company. Accordingly, basic and diluted loss per ordinary share is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June 7,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Less: Income attributable to ordinary shares subject to possible redemption</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(652,406)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(652,406)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6,910,082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6,792,210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1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ectPr>
          <w:pgSz w:w="11900" w:h="16838" w:orient="portrait"/>
          <w:cols w:equalWidth="0" w:num="1">
            <w:col w:w="11420"/>
          </w:cols>
          <w:pgMar w:left="240" w:top="122" w:right="239" w:bottom="858"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858"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ind w:left="4640"/>
        <w:spacing w:after="0" w:line="230" w:lineRule="auto"/>
        <w:rPr>
          <w:sz w:val="20"/>
          <w:szCs w:val="20"/>
          <w:color w:val="auto"/>
        </w:rPr>
      </w:pPr>
      <w:r>
        <w:rPr>
          <w:rFonts w:ascii="Arial" w:cs="Arial" w:eastAsia="Arial" w:hAnsi="Arial"/>
          <w:sz w:val="22"/>
          <w:szCs w:val="22"/>
          <w:b w:val="1"/>
          <w:bCs w:val="1"/>
          <w:color w:val="auto"/>
        </w:rPr>
        <w:t>SEPTEMBER 30, 2019</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Concentration of credit risk</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of financial instruments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fair value of the Company’s assets and liabilities, which qualify as financial instruments under ASC 820, “Fair Value Measurements and Disclosures,” approximates the carrying amounts represented in the accompanying condensed financial statements, primarily due to their short-term nature.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Management does not believe that any recently issued, but not yet effective, accounting pronouncements, if currently adopted, would have a material effect on the accompanying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INITIAL PUBLIC OFFERING</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PRIVATE PLACEMENT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RELATED PARTY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 Shares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ectPr>
          <w:pgSz w:w="11900" w:h="16838" w:orient="portrait"/>
          <w:cols w:equalWidth="0" w:num="1">
            <w:col w:w="11420"/>
          </w:cols>
          <w:pgMar w:left="240" w:top="122" w:right="239" w:bottom="2" w:gutter="0" w:footer="0" w:header="0"/>
        </w:sectPr>
      </w:pPr>
    </w:p>
    <w:bookmarkStart w:id="14" w:name="page15"/>
    <w:bookmarkEnd w:id="14"/>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67310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ind w:left="4640"/>
        <w:spacing w:after="0" w:line="230" w:lineRule="auto"/>
        <w:rPr>
          <w:sz w:val="20"/>
          <w:szCs w:val="20"/>
          <w:color w:val="auto"/>
        </w:rPr>
      </w:pPr>
      <w:r>
        <w:rPr>
          <w:rFonts w:ascii="Arial" w:cs="Arial" w:eastAsia="Arial" w:hAnsi="Arial"/>
          <w:sz w:val="22"/>
          <w:szCs w:val="22"/>
          <w:b w:val="1"/>
          <w:bCs w:val="1"/>
          <w:color w:val="auto"/>
        </w:rPr>
        <w:t>SEPTEMBER 30, 2019</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The Sponsor has agreed, subject to limited exceptions, not to transfer, assign or sell any of its Founder Shares until the earlier of:</w:t>
      </w:r>
    </w:p>
    <w:p>
      <w:pPr>
        <w:spacing w:after="0" w:line="43" w:lineRule="exact"/>
        <w:rPr>
          <w:sz w:val="20"/>
          <w:szCs w:val="20"/>
          <w:color w:val="auto"/>
        </w:rPr>
      </w:pPr>
    </w:p>
    <w:p>
      <w:pPr>
        <w:jc w:val="both"/>
        <w:ind w:firstLine="8"/>
        <w:spacing w:after="0" w:line="275" w:lineRule="auto"/>
        <w:tabs>
          <w:tab w:leader="none" w:pos="356" w:val="left"/>
        </w:tabs>
        <w:numPr>
          <w:ilvl w:val="0"/>
          <w:numId w:val="6"/>
        </w:numPr>
        <w:rPr>
          <w:rFonts w:ascii="Arial" w:cs="Arial" w:eastAsia="Arial" w:hAnsi="Arial"/>
          <w:sz w:val="19"/>
          <w:szCs w:val="19"/>
          <w:color w:val="auto"/>
        </w:rPr>
      </w:pPr>
      <w:r>
        <w:rPr>
          <w:rFonts w:ascii="Arial" w:cs="Arial" w:eastAsia="Arial" w:hAnsi="Arial"/>
          <w:sz w:val="19"/>
          <w:szCs w:val="19"/>
          <w:color w:val="auto"/>
        </w:rPr>
        <w:t>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Promissory Note – Related Party</w:t>
      </w:r>
    </w:p>
    <w:p>
      <w:pPr>
        <w:spacing w:after="0" w:line="239"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On June 10, 2019, the Company issued an unsecured promissory note to the Sponsor, pursuant to which the Company borrowed an aggregate principal amount of $237,470. The note was non-interest bearing and payable on the earlier of (i) January 31, 2020 and</w:t>
      </w:r>
    </w:p>
    <w:p>
      <w:pPr>
        <w:spacing w:after="0" w:line="2" w:lineRule="exact"/>
        <w:rPr>
          <w:sz w:val="20"/>
          <w:szCs w:val="20"/>
          <w:color w:val="auto"/>
        </w:rPr>
      </w:pPr>
    </w:p>
    <w:p>
      <w:pPr>
        <w:ind w:firstLine="8"/>
        <w:spacing w:after="0" w:line="237" w:lineRule="auto"/>
        <w:tabs>
          <w:tab w:leader="none" w:pos="327"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completion of the Initial Public Offering. The note was repaid in full upon the consummation of the Initial Public Offering on August 12,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Administrative Services Agreement</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three months ended September 30, 2019 and for the period from June 7, 2019 (inception) through September 30, 2019, the Company incurred $32,903 in fees for these services, of which such fees are included in accrued expenses in the accompanying condensed balance sheet.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Loans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COMMITMENTS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Underwriting Agreement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ectPr>
          <w:pgSz w:w="11900" w:h="16838" w:orient="portrait"/>
          <w:cols w:equalWidth="0" w:num="1">
            <w:col w:w="11420"/>
          </w:cols>
          <w:pgMar w:left="240" w:top="122" w:right="239" w:bottom="43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43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SHAREHOLDERS’ EQUITY</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b w:val="1"/>
          <w:bCs w:val="1"/>
          <w:i w:val="1"/>
          <w:iCs w:val="1"/>
          <w:color w:val="auto"/>
        </w:rPr>
        <w:t xml:space="preserve">Preferred Shares </w:t>
      </w:r>
      <w:r>
        <w:rPr>
          <w:rFonts w:ascii="Arial" w:cs="Arial" w:eastAsia="Arial" w:hAnsi="Arial"/>
          <w:sz w:val="19"/>
          <w:szCs w:val="19"/>
          <w:color w:val="auto"/>
        </w:rPr>
        <w:t>— The Company is authorized to issue 1,000,000 preference shares with a par value of $0.0001. The Company's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September 30, 2019, there were no preference shares issued or outstanding.</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 xml:space="preserve">Class A Ordinary Shares </w:t>
      </w:r>
      <w:r>
        <w:rPr>
          <w:rFonts w:ascii="Arial" w:cs="Arial" w:eastAsia="Arial" w:hAnsi="Arial"/>
          <w:sz w:val="22"/>
          <w:szCs w:val="22"/>
          <w:color w:val="auto"/>
        </w:rPr>
        <w:t>— The Company is authorized to issue 200,000,000 Class A ordinary shares, with a par value of $0.0001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 share. Holders of Class A ordinary shares are entitled to one vote for each share. At September 30, 2019, there were 1,249,267 shares of Class A ordinary shares issued or outstanding, excluding 23,750,733 Class A ordinary shares subject to possible redemption.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 xml:space="preserve">Class B Ordinary Shares </w:t>
      </w:r>
      <w:r>
        <w:rPr>
          <w:rFonts w:ascii="Arial" w:cs="Arial" w:eastAsia="Arial" w:hAnsi="Arial"/>
          <w:sz w:val="22"/>
          <w:szCs w:val="22"/>
          <w:color w:val="auto"/>
        </w:rPr>
        <w:t>— The Company is authorized to issue 20,000,000 Class B ordinary shares, with a par value of $0.0001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 share. Holders of the Class B ordinary shares are entitled to one vote for each share. At September 30, 2019, there were 6,250,000 Class B ordinary shares issued and outstanding.</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200" w:lineRule="exact"/>
        <w:rPr>
          <w:sz w:val="20"/>
          <w:szCs w:val="20"/>
          <w:color w:val="auto"/>
        </w:rPr>
      </w:pP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i w:val="1"/>
          <w:iCs w:val="1"/>
          <w:color w:val="auto"/>
        </w:rPr>
        <w:t xml:space="preserve">Warrants </w:t>
      </w:r>
      <w:r>
        <w:rPr>
          <w:rFonts w:ascii="Arial" w:cs="Arial" w:eastAsia="Arial" w:hAnsi="Arial"/>
          <w:sz w:val="21"/>
          <w:szCs w:val="21"/>
          <w:color w:val="auto"/>
        </w:rPr>
        <w:t>— Public Warrants may only be exercised for a whole number of shares. No fractional shares will be issued upon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ectPr>
          <w:pgSz w:w="11900" w:h="16838" w:orient="portrait"/>
          <w:cols w:equalWidth="0" w:num="1">
            <w:col w:w="11420"/>
          </w:cols>
          <w:pgMar w:left="240" w:top="122" w:right="239" w:bottom="187"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87"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ind w:left="4640"/>
        <w:spacing w:after="0" w:line="230" w:lineRule="auto"/>
        <w:rPr>
          <w:sz w:val="20"/>
          <w:szCs w:val="20"/>
          <w:color w:val="auto"/>
        </w:rPr>
      </w:pPr>
      <w:r>
        <w:rPr>
          <w:rFonts w:ascii="Arial" w:cs="Arial" w:eastAsia="Arial" w:hAnsi="Arial"/>
          <w:sz w:val="22"/>
          <w:szCs w:val="22"/>
          <w:b w:val="1"/>
          <w:bCs w:val="1"/>
          <w:color w:val="auto"/>
        </w:rPr>
        <w:t>SEPTEMBER 30, 2019</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Once the Public Warrants become exercisable, the Company may redeem the Public Warrants for redemption:</w:t>
      </w:r>
    </w:p>
    <w:p>
      <w:pPr>
        <w:spacing w:after="0" w:line="24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9" w:lineRule="exact"/>
        <w:rPr>
          <w:rFonts w:ascii="Arial" w:cs="Arial" w:eastAsia="Arial" w:hAnsi="Arial"/>
          <w:sz w:val="18"/>
          <w:szCs w:val="18"/>
          <w:color w:val="auto"/>
        </w:rPr>
      </w:pPr>
    </w:p>
    <w:p>
      <w:pPr>
        <w:ind w:left="660" w:right="48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ind w:left="4640"/>
        <w:spacing w:after="0" w:line="230" w:lineRule="auto"/>
        <w:rPr>
          <w:sz w:val="20"/>
          <w:szCs w:val="20"/>
          <w:color w:val="auto"/>
        </w:rPr>
      </w:pPr>
      <w:r>
        <w:rPr>
          <w:rFonts w:ascii="Arial" w:cs="Arial" w:eastAsia="Arial" w:hAnsi="Arial"/>
          <w:sz w:val="22"/>
          <w:szCs w:val="22"/>
          <w:b w:val="1"/>
          <w:bCs w:val="1"/>
          <w:color w:val="auto"/>
        </w:rPr>
        <w:t>SEPTEMBER 30, 2019</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2" w:lineRule="exact"/>
        <w:rPr>
          <w:sz w:val="20"/>
          <w:szCs w:val="20"/>
          <w:color w:val="auto"/>
        </w:rPr>
      </w:pPr>
    </w:p>
    <w:p>
      <w:pPr>
        <w:ind w:left="1620" w:right="280" w:hanging="971"/>
        <w:spacing w:after="0" w:line="342"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1" w:lineRule="exact"/>
        <w:rPr>
          <w:sz w:val="20"/>
          <w:szCs w:val="20"/>
          <w:color w:val="auto"/>
        </w:rPr>
      </w:pPr>
    </w:p>
    <w:p>
      <w:pPr>
        <w:ind w:left="1620" w:right="260" w:hanging="971"/>
        <w:spacing w:after="0" w:line="277"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presents information about the Company’s assets that are measured at fair value on a recurring basis at September 30, 2019, and indicates the fair value hierarchy of the valuation inputs the Company utilized to determine such fair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5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8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250,686,743</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SUBSEQUENT EVENTS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References in this report (the “Quarterly Report”) to “we,” “us” or the “Company” refer to Silver Spike Acquisition Corp. References to our “management” or our “management team” refer to our officers and directors, and references to the “Sponsor” refer to Silver Spike Sponsor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Quarterly Report includes “forward-looking statements” within the meaning of Section 27A of the Securities Act of 1933, as amended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a blank check company incorporated in the Cayman Islands on June 7, 2019 formed for the purpose of effecting a merger, amalgamation, share exchange, asset acquisition, share purchase, reorganization or similar Business Combination with one or more businesses. We intend to effectuate our Business Combination using cash derived from the proceeds of the Initial Public Offering, our shares, debt or a combination of cash, shares and debt.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issuance of additional ordinary shares in a Business Combination:</w:t>
      </w:r>
    </w:p>
    <w:p>
      <w:pPr>
        <w:spacing w:after="0" w:line="240" w:lineRule="exact"/>
        <w:rPr>
          <w:sz w:val="20"/>
          <w:szCs w:val="20"/>
          <w:color w:val="auto"/>
        </w:rPr>
      </w:pPr>
    </w:p>
    <w:p>
      <w:pPr>
        <w:ind w:left="660" w:hanging="328"/>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of the Class B ordinary shares resulted in the issuance of Class A ordinary shares on a greater than one-to-one basis upon conversion of the Class B ordinary shares;</w:t>
      </w:r>
    </w:p>
    <w:p>
      <w:pPr>
        <w:ind w:left="660" w:right="5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ind w:left="66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p>
      <w:pPr>
        <w:ind w:left="660" w:right="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 and/or warrants.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Similarly, if we issue debt securities, it could result in:</w:t>
      </w:r>
    </w:p>
    <w:p>
      <w:pPr>
        <w:spacing w:after="0" w:line="24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46" w:lineRule="exact"/>
        <w:rPr>
          <w:rFonts w:ascii="Arial" w:cs="Arial" w:eastAsia="Arial" w:hAnsi="Arial"/>
          <w:sz w:val="16"/>
          <w:szCs w:val="16"/>
          <w:color w:val="auto"/>
        </w:rPr>
      </w:pPr>
    </w:p>
    <w:p>
      <w:pPr>
        <w:ind w:left="660" w:right="74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ectPr>
          <w:pgSz w:w="11900" w:h="16838" w:orient="portrait"/>
          <w:cols w:equalWidth="0" w:num="1">
            <w:col w:w="11420"/>
          </w:cols>
          <w:pgMar w:left="240" w:top="121"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90"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We expect to continue to incur significant costs in the pursuit of our acquisition plans. We cannot assure you that our plans to complete a Business Combination will be successful.</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have neither engaged in any operations nor generated any revenues to date. Our only activities from inception through September 30, 2019 were organizational activities, those necessary to prepare for the Initial Public Offering, described below, and, after the Initial Public Offering, identifying a target company for a Business Combination.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three months ended September 30, 2019 and for the period from June 7, 2019 (inception) through September 30, 2019, we had net income of $553,123 and $548,123, respectively, which consists of interest income on marketable securities held in the Trust Account of $620,669 and an unrealized gain on marketable securities held in the Trust Account of $66,074, offset by operating and formation costs of $133,620 and $138,620,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August 12, 2019, we consummated the Initial Public Offering of 25,000,000 Units, at a price of $10.00 per Unit, generating gross proceeds of $250,000,000. Simultaneously with the closing of the Initial Public Offering, we consummated the sale of 7,000,000 Private Placement Warrants to the Sponsor at a price of $1.00 per warrant, generating gross proceeds of $7,000,000.</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Following the Initial Public Offering and the sale of the Private Placement Warrants, a total of $250,000,000 was placed in the Trust Account. We incurred $14,413,362 in transaction costs, including $5,000,000 of underwriting fees, $8,750,000 of deferred underwriting fees and $663,362 of other offering costs.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period from June 7, 2019 (inception) through September 30, 2019, cash used in operating activities was $374,360. Net income of $548,123 was offset by interest earned on marketable securities held in the Trust Account of $620,669, an unrealized gain on marketable securities of $66,074 and changes in operating assets and liabilities, which used of $235,740 of cash from operating activities.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As of September 30, 2019, we had cash and marketable securities held in the Trust Account of $250,686,743. We intend to use substantially all of the funds held in the Trust Account, including any amounts representing interest earned on the Trust Account (which interest shall be net of taxes payable and excluding deferred underwriting commissions)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September 30, 2019, we had cash of $987,278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ectPr>
          <w:pgSz w:w="11900" w:h="16838" w:orient="portrait"/>
          <w:cols w:equalWidth="0" w:num="1">
            <w:col w:w="11420"/>
          </w:cols>
          <w:pgMar w:left="240" w:top="121" w:right="239" w:bottom="241"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241"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financing arrangements</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have no obligations, assets or liabilities, which would be considered off-balance sheet arrangements as of September 30, 2019.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do not have any long-term debt, capital lease obligations, operating lease obligations or long-term liabilities, other than an agreement to pay the Sponsor a monthly fee of $20,000 for office space, and administrative and support services, provided to the Company. We began incurring these fees on August 7, 2019 and will continue to incur these fees monthly until the earlier of the completion of a Business Combination and the Company’s liquidation.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Ordinary shares subject to redemption</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account for our ordinary shares subject to possible conversion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equity section of our condensed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loss per ordinary share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apply the two-class method in calculating earnings per share. Ordinary shares subject to possible redemption which are not currently redeemable and are not redeemable at fair value, have been excluded from the calculation of basic net loss per ordinary share since such shares, if redeemed, only participate in their pro rata share of the Trust Account earnings. Our net income is adjusted for the portion of income that is attributable to ordinary shares subject to redemption, as these shares only participate in the earnings of the Trust Account and not our income or losses.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accounting pronouncements</w:t>
      </w:r>
    </w:p>
    <w:p>
      <w:pPr>
        <w:spacing w:after="0" w:line="23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our condensed financial statements.</w:t>
      </w:r>
    </w:p>
    <w:p>
      <w:pPr>
        <w:spacing w:after="0" w:line="2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September 30, 2019,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required by Rules 13a-15 and 15d-15 under the Exchange Act, our Chief Executive Officer and Chief Financial Officer carried out an evaluation of the effectiveness of the design and operation of our disclosure controls and procedures as of September 30, 2019. Based upon their evaluation, our Chief Executive Officer and Chief Financial Officer concluded that our disclosure controls and procedures (as defined in Rules 13a-15 (e) and 15d-15 (e) under the Exchange Act) were effective.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Internal Control Over Financial Reporting</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Factors that could cause our actual results to differ materially from those in this Quarterly Report are any of the risks described in our final prospectus for our Initial Public Offering filed with the SEC on August 9, 2019.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final prospectus for our Initial Public Offering filed with the SEC on August 9, 2019, except we may disclose changes to such factors or disclose additional factors from time to time in our future filings with the SEC.</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On August 12, 2019, we consummated our Initial Public Offering of 25,000,000 Units, at a price of $10.00 per Unit, generating total gross proceeds of $250,000,000. Credit Suisse acted as the sole book-running manager and I-Bankers Securities, Inc as the Co-Manager. The securities sold in the offering were registered under the Securities Act on registration statements on Form S-1 (No. </w:t>
      </w:r>
      <w:r>
        <w:rPr>
          <w:rFonts w:ascii="Arial" w:cs="Arial" w:eastAsia="Arial" w:hAnsi="Arial"/>
          <w:sz w:val="19"/>
          <w:szCs w:val="19"/>
          <w:u w:val="single" w:color="auto"/>
          <w:color w:val="auto"/>
        </w:rPr>
        <w:t>333-232734)</w:t>
      </w:r>
      <w:r>
        <w:rPr>
          <w:rFonts w:ascii="Arial" w:cs="Arial" w:eastAsia="Arial" w:hAnsi="Arial"/>
          <w:sz w:val="19"/>
          <w:szCs w:val="19"/>
          <w:color w:val="auto"/>
        </w:rPr>
        <w:t>. The SEC declared the registration statements effective on August 7, 2019.</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Simultaneously with the consummation of the Initial Public Offering, we consummated a private placement of 7,000,000 Private Placement Warrants to our Sponsor at a price of $1.00 per Private Placement Warrant, generating total proceeds of $7,000,000. Such securities were issued pursuant to the exemption from registration contained in Section 4(a)(2) of the Securities Act.</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Private Placement Warrants are identical to the warrants underlying the Units sold in the Initial Public Offering except that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Of the gross proceeds received from the Initial Public Offering, $250,000,000 was placed in the Trust Account.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paid a total of $5,000,000 in underwriting discounts and commissions and $663,362 for other offering costs and expenses related to the Initial Public Offering. In addition, the underwriters agreed to defer $8,750,000 in underwriting discounts and commissions.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For a description of the use of the proceeds generated in our Initial Public Offering, see Part I, Item 2 of this Form 10-Q.</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filed as part of, or incorporated by reference into, this Quarterly Report on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w w:val="96"/>
              </w:rPr>
              <w:t>No.</w:t>
            </w:r>
          </w:p>
        </w:tc>
        <w:tc>
          <w:tcPr>
            <w:tcW w:w="10240" w:type="dxa"/>
            <w:vAlign w:val="bottom"/>
          </w:tcPr>
          <w:p>
            <w:pPr>
              <w:ind w:left="4260"/>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680" w:type="dxa"/>
            <w:vAlign w:val="bottom"/>
            <w:tcBorders>
              <w:top w:val="single" w:sz="8" w:color="auto"/>
            </w:tcBorders>
            <w:gridSpan w:val="6"/>
            <w:shd w:val="clear" w:color="auto" w:fill="CCEEFF"/>
          </w:tcPr>
          <w:p>
            <w:pPr>
              <w:jc w:val="center"/>
              <w:ind w:left="270"/>
              <w:spacing w:after="0" w:line="176" w:lineRule="exact"/>
              <w:rPr>
                <w:rFonts w:ascii="Arial" w:cs="Arial" w:eastAsia="Arial" w:hAnsi="Arial"/>
                <w:sz w:val="18"/>
                <w:szCs w:val="18"/>
                <w:color w:val="0000EE"/>
                <w:w w:val="95"/>
              </w:rPr>
            </w:pPr>
            <w:hyperlink r:id="rId53">
              <w:r>
                <w:rPr>
                  <w:rFonts w:ascii="Arial" w:cs="Arial" w:eastAsia="Arial" w:hAnsi="Arial"/>
                  <w:sz w:val="18"/>
                  <w:szCs w:val="18"/>
                  <w:color w:val="0000EE"/>
                  <w:w w:val="95"/>
                </w:rPr>
                <w:t>1.</w:t>
              </w:r>
              <w:r>
                <w:rPr>
                  <w:rFonts w:ascii="Arial" w:cs="Arial" w:eastAsia="Arial" w:hAnsi="Arial"/>
                  <w:sz w:val="18"/>
                  <w:szCs w:val="18"/>
                  <w:u w:val="single" w:color="auto"/>
                  <w:color w:val="0000EE"/>
                  <w:w w:val="95"/>
                </w:rPr>
                <w:t>1</w:t>
              </w:r>
            </w:hyperlink>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2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Underwriting Agreement, dated August 7, 2019, between the Company and Credit Suisse Securities (USA) LLC, as representative of the</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several underwriters (1)</w:t>
            </w:r>
          </w:p>
        </w:tc>
      </w:tr>
      <w:tr>
        <w:trPr>
          <w:trHeight w:val="176"/>
        </w:trPr>
        <w:tc>
          <w:tcPr>
            <w:tcW w:w="680" w:type="dxa"/>
            <w:vAlign w:val="bottom"/>
            <w:gridSpan w:val="6"/>
          </w:tcPr>
          <w:p>
            <w:pPr>
              <w:jc w:val="center"/>
              <w:ind w:left="270"/>
              <w:spacing w:after="0" w:line="176" w:lineRule="exact"/>
              <w:rPr>
                <w:rFonts w:ascii="Arial" w:cs="Arial" w:eastAsia="Arial" w:hAnsi="Arial"/>
                <w:sz w:val="18"/>
                <w:szCs w:val="18"/>
                <w:color w:val="0000EE"/>
                <w:w w:val="95"/>
              </w:rPr>
            </w:pPr>
            <w:hyperlink r:id="rId54">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tcPr>
          <w:p>
            <w:pPr>
              <w:spacing w:after="0" w:line="176" w:lineRule="exact"/>
              <w:rPr>
                <w:sz w:val="20"/>
                <w:szCs w:val="20"/>
                <w:color w:val="auto"/>
              </w:rPr>
            </w:pPr>
            <w:r>
              <w:rPr>
                <w:rFonts w:ascii="Arial" w:cs="Arial" w:eastAsia="Arial" w:hAnsi="Arial"/>
                <w:sz w:val="18"/>
                <w:szCs w:val="18"/>
                <w:color w:val="auto"/>
                <w:w w:val="93"/>
              </w:rPr>
              <w:t>Warrant Agreement, dated August 7, 2019, between the Company and Continental Stock Transfer &amp; Trust Company, as warrant agent (1)</w:t>
            </w: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gridSpan w:val="3"/>
            <w:shd w:val="clear" w:color="auto" w:fill="CCEEFF"/>
          </w:tcPr>
          <w:p>
            <w:pPr>
              <w:spacing w:after="0"/>
              <w:rPr>
                <w:sz w:val="17"/>
                <w:szCs w:val="17"/>
                <w:color w:val="auto"/>
              </w:rPr>
            </w:pPr>
          </w:p>
        </w:tc>
        <w:tc>
          <w:tcPr>
            <w:tcW w:w="32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 Letter Agreement, dated August 7, 2019, among the Company and its officers and directors and Silver Spike Sponsor, LLC (1)</w:t>
            </w:r>
          </w:p>
        </w:tc>
      </w:tr>
      <w:tr>
        <w:trPr>
          <w:trHeight w:val="176"/>
        </w:trPr>
        <w:tc>
          <w:tcPr>
            <w:tcW w:w="720" w:type="dxa"/>
            <w:vAlign w:val="bottom"/>
            <w:gridSpan w:val="7"/>
          </w:tcPr>
          <w:p>
            <w:pPr>
              <w:jc w:val="center"/>
              <w:ind w:left="230"/>
              <w:spacing w:after="0" w:line="17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tcPr>
          <w:p>
            <w:pPr>
              <w:spacing w:after="0" w:line="176" w:lineRule="exact"/>
              <w:rPr>
                <w:sz w:val="20"/>
                <w:szCs w:val="20"/>
                <w:color w:val="auto"/>
              </w:rPr>
            </w:pPr>
            <w:r>
              <w:rPr>
                <w:rFonts w:ascii="Arial" w:cs="Arial" w:eastAsia="Arial" w:hAnsi="Arial"/>
                <w:sz w:val="18"/>
                <w:szCs w:val="18"/>
                <w:color w:val="auto"/>
                <w:w w:val="91"/>
              </w:rPr>
              <w:t>Investment Management Trust Agreement, dated August 7, 2019, between the Company and Continental Stock Transfer &amp; Trust Company,</w:t>
            </w:r>
          </w:p>
        </w:tc>
      </w:tr>
      <w:tr>
        <w:trPr>
          <w:trHeight w:val="237"/>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as trustee (1)</w:t>
            </w:r>
          </w:p>
        </w:tc>
      </w:tr>
      <w:tr>
        <w:trPr>
          <w:trHeight w:val="196"/>
        </w:trPr>
        <w:tc>
          <w:tcPr>
            <w:tcW w:w="360" w:type="dxa"/>
            <w:vAlign w:val="bottom"/>
            <w:tcBorders>
              <w:bottom w:val="single" w:sz="8" w:color="CCEEFF"/>
            </w:tcBorders>
            <w:gridSpan w:val="3"/>
            <w:shd w:val="clear" w:color="auto" w:fill="CCEEFF"/>
          </w:tcPr>
          <w:p>
            <w:pPr>
              <w:spacing w:after="0"/>
              <w:rPr>
                <w:sz w:val="17"/>
                <w:szCs w:val="17"/>
                <w:color w:val="auto"/>
              </w:rPr>
            </w:pPr>
          </w:p>
        </w:tc>
        <w:tc>
          <w:tcPr>
            <w:tcW w:w="32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Registration Rights Agreement, dated August 7, 2019, between the Company and certain security holders (1)</w:t>
            </w:r>
          </w:p>
        </w:tc>
      </w:tr>
      <w:tr>
        <w:trPr>
          <w:trHeight w:val="176"/>
        </w:trPr>
        <w:tc>
          <w:tcPr>
            <w:tcW w:w="720" w:type="dxa"/>
            <w:vAlign w:val="bottom"/>
            <w:gridSpan w:val="7"/>
          </w:tcPr>
          <w:p>
            <w:pPr>
              <w:jc w:val="center"/>
              <w:ind w:left="230"/>
              <w:spacing w:after="0" w:line="17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tcPr>
          <w:p>
            <w:pPr>
              <w:spacing w:after="0" w:line="176" w:lineRule="exact"/>
              <w:rPr>
                <w:sz w:val="20"/>
                <w:szCs w:val="20"/>
                <w:color w:val="auto"/>
              </w:rPr>
            </w:pPr>
            <w:r>
              <w:rPr>
                <w:rFonts w:ascii="Arial" w:cs="Arial" w:eastAsia="Arial" w:hAnsi="Arial"/>
                <w:sz w:val="18"/>
                <w:szCs w:val="18"/>
                <w:color w:val="auto"/>
              </w:rPr>
              <w:t>Administrative Services Agreement, dated August 7, 2019, between the Company and Silver Spike Sponsor, LLC (1)</w:t>
            </w: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gridSpan w:val="3"/>
            <w:shd w:val="clear" w:color="auto" w:fill="CCEEFF"/>
          </w:tcPr>
          <w:p>
            <w:pPr>
              <w:spacing w:after="0"/>
              <w:rPr>
                <w:sz w:val="17"/>
                <w:szCs w:val="17"/>
                <w:color w:val="auto"/>
              </w:rPr>
            </w:pPr>
          </w:p>
        </w:tc>
        <w:tc>
          <w:tcPr>
            <w:tcW w:w="32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Sponsor Warrants Purchase Agreement, dated January 7, 2019, between the Company and Silver Spike Sponsor, LLC (1)</w:t>
            </w:r>
          </w:p>
        </w:tc>
      </w:tr>
      <w:tr>
        <w:trPr>
          <w:trHeight w:val="176"/>
        </w:trPr>
        <w:tc>
          <w:tcPr>
            <w:tcW w:w="720" w:type="dxa"/>
            <w:vAlign w:val="bottom"/>
            <w:gridSpan w:val="7"/>
          </w:tcPr>
          <w:p>
            <w:pPr>
              <w:jc w:val="center"/>
              <w:ind w:left="230"/>
              <w:spacing w:after="0" w:line="17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tcPr>
          <w:p>
            <w:pPr>
              <w:spacing w:after="0" w:line="176" w:lineRule="exact"/>
              <w:rPr>
                <w:sz w:val="20"/>
                <w:szCs w:val="20"/>
                <w:color w:val="auto"/>
              </w:rPr>
            </w:pPr>
            <w:r>
              <w:rPr>
                <w:rFonts w:ascii="Arial" w:cs="Arial" w:eastAsia="Arial" w:hAnsi="Arial"/>
                <w:sz w:val="18"/>
                <w:szCs w:val="18"/>
                <w:color w:val="auto"/>
              </w:rPr>
              <w:t>Indemnity Agreement, dated August 7, 2019, between the Company and Scott Gordon (1)</w:t>
            </w: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gridSpan w:val="3"/>
            <w:shd w:val="clear" w:color="auto" w:fill="CCEEFF"/>
          </w:tcPr>
          <w:p>
            <w:pPr>
              <w:spacing w:after="0"/>
              <w:rPr>
                <w:sz w:val="17"/>
                <w:szCs w:val="17"/>
                <w:color w:val="auto"/>
              </w:rPr>
            </w:pPr>
          </w:p>
        </w:tc>
        <w:tc>
          <w:tcPr>
            <w:tcW w:w="32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Indemnity Agreement, dated August 7, 2019, between the Company and William Healy (1)</w:t>
            </w:r>
          </w:p>
        </w:tc>
      </w:tr>
      <w:tr>
        <w:trPr>
          <w:trHeight w:val="176"/>
        </w:trPr>
        <w:tc>
          <w:tcPr>
            <w:tcW w:w="720" w:type="dxa"/>
            <w:vAlign w:val="bottom"/>
            <w:gridSpan w:val="7"/>
          </w:tcPr>
          <w:p>
            <w:pPr>
              <w:jc w:val="center"/>
              <w:ind w:left="230"/>
              <w:spacing w:after="0" w:line="17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tcPr>
          <w:p>
            <w:pPr>
              <w:spacing w:after="0" w:line="176" w:lineRule="exact"/>
              <w:rPr>
                <w:sz w:val="20"/>
                <w:szCs w:val="20"/>
                <w:color w:val="auto"/>
              </w:rPr>
            </w:pPr>
            <w:r>
              <w:rPr>
                <w:rFonts w:ascii="Arial" w:cs="Arial" w:eastAsia="Arial" w:hAnsi="Arial"/>
                <w:sz w:val="18"/>
                <w:szCs w:val="18"/>
                <w:color w:val="auto"/>
              </w:rPr>
              <w:t>Indemnity Agreement, dated August 7, 2019, between the Company and Gregory Gentile (1)</w:t>
            </w: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gridSpan w:val="3"/>
            <w:shd w:val="clear" w:color="auto" w:fill="CCEEFF"/>
          </w:tcPr>
          <w:p>
            <w:pPr>
              <w:spacing w:after="0"/>
              <w:rPr>
                <w:sz w:val="17"/>
                <w:szCs w:val="17"/>
                <w:color w:val="auto"/>
              </w:rPr>
            </w:pPr>
          </w:p>
        </w:tc>
        <w:tc>
          <w:tcPr>
            <w:tcW w:w="32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9</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Indemnity Agreement, dated August 7, 2019, between the Company and Mohammed Grimeh (1)</w:t>
            </w:r>
          </w:p>
        </w:tc>
      </w:tr>
      <w:tr>
        <w:trPr>
          <w:trHeight w:val="176"/>
        </w:trPr>
        <w:tc>
          <w:tcPr>
            <w:tcW w:w="760" w:type="dxa"/>
            <w:vAlign w:val="bottom"/>
            <w:gridSpan w:val="8"/>
          </w:tcPr>
          <w:p>
            <w:pPr>
              <w:jc w:val="center"/>
              <w:ind w:left="190"/>
              <w:spacing w:after="0" w:line="176" w:lineRule="exact"/>
              <w:rPr>
                <w:rFonts w:ascii="Arial" w:cs="Arial" w:eastAsia="Arial" w:hAnsi="Arial"/>
                <w:sz w:val="18"/>
                <w:szCs w:val="18"/>
                <w:color w:val="0000EE"/>
                <w:w w:val="88"/>
              </w:rPr>
            </w:pPr>
            <w:hyperlink r:id="rId6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tcPr>
          <w:p>
            <w:pPr>
              <w:spacing w:after="0" w:line="176" w:lineRule="exact"/>
              <w:rPr>
                <w:sz w:val="20"/>
                <w:szCs w:val="20"/>
                <w:color w:val="auto"/>
              </w:rPr>
            </w:pPr>
            <w:r>
              <w:rPr>
                <w:rFonts w:ascii="Arial" w:cs="Arial" w:eastAsia="Arial" w:hAnsi="Arial"/>
                <w:sz w:val="18"/>
                <w:szCs w:val="18"/>
                <w:color w:val="auto"/>
              </w:rPr>
              <w:t>Indemnity Agreement, dated August 7, 2019, between the Company and Orrin Devinsky (1)</w:t>
            </w: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tcBorders>
            <w:gridSpan w:val="2"/>
            <w:shd w:val="clear" w:color="auto" w:fill="CCEEFF"/>
          </w:tcPr>
          <w:p>
            <w:pPr>
              <w:spacing w:after="0"/>
              <w:rPr>
                <w:sz w:val="17"/>
                <w:szCs w:val="17"/>
                <w:color w:val="auto"/>
              </w:rPr>
            </w:pPr>
          </w:p>
        </w:tc>
        <w:tc>
          <w:tcPr>
            <w:tcW w:w="400" w:type="dxa"/>
            <w:vAlign w:val="bottom"/>
            <w:tcBorders>
              <w:bottom w:val="single" w:sz="8" w:color="0000EE"/>
            </w:tcBorders>
            <w:gridSpan w:val="5"/>
            <w:shd w:val="clear" w:color="auto" w:fill="CCEEFF"/>
          </w:tcPr>
          <w:p>
            <w:pPr>
              <w:jc w:val="center"/>
              <w:spacing w:after="0" w:line="17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Indemnity Agreement, dated August 7, 2019, between the Company and Richard M. Goldman (1)</w:t>
            </w:r>
          </w:p>
        </w:tc>
      </w:tr>
      <w:tr>
        <w:trPr>
          <w:trHeight w:val="176"/>
        </w:trPr>
        <w:tc>
          <w:tcPr>
            <w:tcW w:w="760" w:type="dxa"/>
            <w:vAlign w:val="bottom"/>
            <w:gridSpan w:val="8"/>
          </w:tcPr>
          <w:p>
            <w:pPr>
              <w:jc w:val="center"/>
              <w:ind w:left="190"/>
              <w:spacing w:after="0" w:line="176"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tcPr>
          <w:p>
            <w:pPr>
              <w:spacing w:after="0" w:line="176" w:lineRule="exact"/>
              <w:rPr>
                <w:sz w:val="20"/>
                <w:szCs w:val="20"/>
                <w:color w:val="auto"/>
              </w:rPr>
            </w:pPr>
            <w:r>
              <w:rPr>
                <w:rFonts w:ascii="Arial" w:cs="Arial" w:eastAsia="Arial" w:hAnsi="Arial"/>
                <w:sz w:val="18"/>
                <w:szCs w:val="18"/>
                <w:color w:val="auto"/>
              </w:rPr>
              <w:t>Indemnity Agreement, dated August 7, 2019, between the Company and Kenneth H. Landis (1)</w:t>
            </w: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r>
      <w:tr>
        <w:trPr>
          <w:trHeight w:val="176"/>
        </w:trPr>
        <w:tc>
          <w:tcPr>
            <w:tcW w:w="760" w:type="dxa"/>
            <w:vAlign w:val="bottom"/>
            <w:gridSpan w:val="8"/>
            <w:shd w:val="clear" w:color="auto" w:fill="CCEEFF"/>
          </w:tcPr>
          <w:p>
            <w:pPr>
              <w:jc w:val="center"/>
              <w:ind w:left="190"/>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Certification of Principal Executive Officer Pursuant to Securities Exchange Act Rules 13a-14(a) and 15(d)-14(a), as adopted Pursuant to</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176"/>
        </w:trPr>
        <w:tc>
          <w:tcPr>
            <w:tcW w:w="760" w:type="dxa"/>
            <w:vAlign w:val="bottom"/>
            <w:gridSpan w:val="8"/>
          </w:tcPr>
          <w:p>
            <w:pPr>
              <w:jc w:val="center"/>
              <w:ind w:left="190"/>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tcPr>
          <w:p>
            <w:pPr>
              <w:spacing w:after="0" w:line="176" w:lineRule="exact"/>
              <w:rPr>
                <w:sz w:val="20"/>
                <w:szCs w:val="20"/>
                <w:color w:val="auto"/>
              </w:rPr>
            </w:pPr>
            <w:r>
              <w:rPr>
                <w:rFonts w:ascii="Arial" w:cs="Arial" w:eastAsia="Arial" w:hAnsi="Arial"/>
                <w:sz w:val="18"/>
                <w:szCs w:val="18"/>
                <w:color w:val="auto"/>
                <w:w w:val="94"/>
              </w:rPr>
              <w:t>Certification of Principal Financial Officer Pursuant to Securities Exchange Act Rules 13a-14(a) and 15(d)-14(a), as adopted Pursuant to</w:t>
            </w:r>
          </w:p>
        </w:tc>
      </w:tr>
      <w:tr>
        <w:trPr>
          <w:trHeight w:val="237"/>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176"/>
        </w:trPr>
        <w:tc>
          <w:tcPr>
            <w:tcW w:w="1040" w:type="dxa"/>
            <w:vAlign w:val="bottom"/>
            <w:gridSpan w:val="9"/>
            <w:shd w:val="clear" w:color="auto" w:fill="CCEEFF"/>
          </w:tcPr>
          <w:p>
            <w:pPr>
              <w:jc w:val="center"/>
              <w:spacing w:after="0" w:line="176" w:lineRule="exact"/>
              <w:rPr>
                <w:sz w:val="20"/>
                <w:szCs w:val="20"/>
                <w:color w:val="auto"/>
              </w:rPr>
            </w:pPr>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p>
        </w:tc>
        <w:tc>
          <w:tcPr>
            <w:tcW w:w="140" w:type="dxa"/>
            <w:vAlign w:val="bottom"/>
            <w:shd w:val="clear" w:color="auto" w:fill="CCEEFF"/>
          </w:tcPr>
          <w:p>
            <w:pPr>
              <w:spacing w:after="0"/>
              <w:rPr>
                <w:sz w:val="15"/>
                <w:szCs w:val="15"/>
                <w:color w:val="auto"/>
              </w:rPr>
            </w:pPr>
          </w:p>
        </w:tc>
        <w:tc>
          <w:tcPr>
            <w:tcW w:w="10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Principal Executive Officer Pursuant to 18 U.S.C. Section 1350, as adopted Pursuant to Section 906 of the Sarbanes-Oxley</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Act of 2002</w:t>
            </w:r>
          </w:p>
        </w:tc>
      </w:tr>
      <w:tr>
        <w:trPr>
          <w:trHeight w:val="176"/>
        </w:trPr>
        <w:tc>
          <w:tcPr>
            <w:tcW w:w="1040" w:type="dxa"/>
            <w:vAlign w:val="bottom"/>
            <w:gridSpan w:val="9"/>
          </w:tcPr>
          <w:p>
            <w:pPr>
              <w:jc w:val="center"/>
              <w:spacing w:after="0" w:line="176" w:lineRule="exact"/>
              <w:rPr>
                <w:sz w:val="20"/>
                <w:szCs w:val="20"/>
                <w:color w:val="auto"/>
              </w:rPr>
            </w:pPr>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p>
        </w:tc>
        <w:tc>
          <w:tcPr>
            <w:tcW w:w="140" w:type="dxa"/>
            <w:vAlign w:val="bottom"/>
          </w:tcPr>
          <w:p>
            <w:pPr>
              <w:spacing w:after="0"/>
              <w:rPr>
                <w:sz w:val="15"/>
                <w:szCs w:val="15"/>
                <w:color w:val="auto"/>
              </w:rPr>
            </w:pPr>
          </w:p>
        </w:tc>
        <w:tc>
          <w:tcPr>
            <w:tcW w:w="10240" w:type="dxa"/>
            <w:vAlign w:val="bottom"/>
          </w:tcPr>
          <w:p>
            <w:pPr>
              <w:spacing w:after="0" w:line="176" w:lineRule="exact"/>
              <w:rPr>
                <w:sz w:val="20"/>
                <w:szCs w:val="20"/>
                <w:color w:val="auto"/>
              </w:rPr>
            </w:pPr>
            <w:r>
              <w:rPr>
                <w:rFonts w:ascii="Arial" w:cs="Arial" w:eastAsia="Arial" w:hAnsi="Arial"/>
                <w:sz w:val="18"/>
                <w:szCs w:val="18"/>
                <w:color w:val="auto"/>
                <w:w w:val="93"/>
              </w:rPr>
              <w:t>Certification of Principal Financial Officer Pursuant to 18 U.S.C. Section 1350, as adopted Pursuant to Section 906 of the Sarbanes-Oxley</w:t>
            </w:r>
          </w:p>
        </w:tc>
      </w:tr>
      <w:tr>
        <w:trPr>
          <w:trHeight w:val="237"/>
        </w:trPr>
        <w:tc>
          <w:tcPr>
            <w:tcW w:w="28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Act of 2002</w:t>
            </w:r>
          </w:p>
        </w:tc>
      </w:tr>
      <w:tr>
        <w:trPr>
          <w:trHeight w:val="216"/>
        </w:trPr>
        <w:tc>
          <w:tcPr>
            <w:tcW w:w="1180" w:type="dxa"/>
            <w:vAlign w:val="bottom"/>
            <w:gridSpan w:val="10"/>
            <w:shd w:val="clear" w:color="auto" w:fill="CCEEFF"/>
          </w:tcPr>
          <w:p>
            <w:pPr>
              <w:jc w:val="center"/>
              <w:ind w:right="140"/>
              <w:spacing w:after="0"/>
              <w:rPr>
                <w:sz w:val="20"/>
                <w:szCs w:val="20"/>
                <w:color w:val="auto"/>
              </w:rPr>
            </w:pPr>
            <w:r>
              <w:rPr>
                <w:rFonts w:ascii="Arial" w:cs="Arial" w:eastAsia="Arial" w:hAnsi="Arial"/>
                <w:sz w:val="18"/>
                <w:szCs w:val="18"/>
                <w:color w:val="auto"/>
                <w:w w:val="94"/>
              </w:rPr>
              <w:t>101.INS*</w:t>
            </w: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80" w:type="dxa"/>
            <w:vAlign w:val="bottom"/>
            <w:gridSpan w:val="10"/>
          </w:tcPr>
          <w:p>
            <w:pPr>
              <w:jc w:val="center"/>
              <w:ind w:right="140"/>
              <w:spacing w:after="0"/>
              <w:rPr>
                <w:sz w:val="20"/>
                <w:szCs w:val="20"/>
                <w:color w:val="auto"/>
              </w:rPr>
            </w:pPr>
            <w:r>
              <w:rPr>
                <w:rFonts w:ascii="Arial" w:cs="Arial" w:eastAsia="Arial" w:hAnsi="Arial"/>
                <w:sz w:val="18"/>
                <w:szCs w:val="18"/>
                <w:color w:val="auto"/>
                <w:w w:val="98"/>
              </w:rPr>
              <w:t>101.CAL*</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80" w:type="dxa"/>
            <w:vAlign w:val="bottom"/>
            <w:gridSpan w:val="10"/>
            <w:shd w:val="clear" w:color="auto" w:fill="CCEEFF"/>
          </w:tcPr>
          <w:p>
            <w:pPr>
              <w:jc w:val="center"/>
              <w:ind w:right="140"/>
              <w:spacing w:after="0"/>
              <w:rPr>
                <w:sz w:val="20"/>
                <w:szCs w:val="20"/>
                <w:color w:val="auto"/>
              </w:rPr>
            </w:pPr>
            <w:r>
              <w:rPr>
                <w:rFonts w:ascii="Arial" w:cs="Arial" w:eastAsia="Arial" w:hAnsi="Arial"/>
                <w:sz w:val="18"/>
                <w:szCs w:val="18"/>
                <w:color w:val="auto"/>
                <w:w w:val="94"/>
              </w:rPr>
              <w:t>101.SCH*</w:t>
            </w: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80" w:type="dxa"/>
            <w:vAlign w:val="bottom"/>
            <w:gridSpan w:val="10"/>
          </w:tcPr>
          <w:p>
            <w:pPr>
              <w:jc w:val="center"/>
              <w:ind w:right="140"/>
              <w:spacing w:after="0"/>
              <w:rPr>
                <w:sz w:val="20"/>
                <w:szCs w:val="20"/>
                <w:color w:val="auto"/>
              </w:rPr>
            </w:pPr>
            <w:r>
              <w:rPr>
                <w:rFonts w:ascii="Arial" w:cs="Arial" w:eastAsia="Arial" w:hAnsi="Arial"/>
                <w:sz w:val="18"/>
                <w:szCs w:val="18"/>
                <w:color w:val="auto"/>
                <w:w w:val="97"/>
              </w:rPr>
              <w:t>101.DEF*</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80" w:type="dxa"/>
            <w:vAlign w:val="bottom"/>
            <w:gridSpan w:val="10"/>
            <w:shd w:val="clear" w:color="auto" w:fill="CCEEFF"/>
          </w:tcPr>
          <w:p>
            <w:pPr>
              <w:jc w:val="center"/>
              <w:ind w:right="140"/>
              <w:spacing w:after="0"/>
              <w:rPr>
                <w:sz w:val="20"/>
                <w:szCs w:val="20"/>
                <w:color w:val="auto"/>
              </w:rPr>
            </w:pPr>
            <w:r>
              <w:rPr>
                <w:rFonts w:ascii="Arial" w:cs="Arial" w:eastAsia="Arial" w:hAnsi="Arial"/>
                <w:sz w:val="18"/>
                <w:szCs w:val="18"/>
                <w:color w:val="auto"/>
                <w:w w:val="99"/>
              </w:rPr>
              <w:t>101.LAB*</w:t>
            </w: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80" w:type="dxa"/>
            <w:vAlign w:val="bottom"/>
            <w:gridSpan w:val="10"/>
          </w:tcPr>
          <w:p>
            <w:pPr>
              <w:jc w:val="center"/>
              <w:ind w:right="140"/>
              <w:spacing w:after="0"/>
              <w:rPr>
                <w:sz w:val="20"/>
                <w:szCs w:val="20"/>
                <w:color w:val="auto"/>
              </w:rPr>
            </w:pPr>
            <w:r>
              <w:rPr>
                <w:rFonts w:ascii="Arial" w:cs="Arial" w:eastAsia="Arial" w:hAnsi="Arial"/>
                <w:sz w:val="18"/>
                <w:szCs w:val="18"/>
                <w:color w:val="auto"/>
                <w:w w:val="91"/>
              </w:rPr>
              <w:t>101.PRE*</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4" w:lineRule="exact"/>
        <w:rPr>
          <w:sz w:val="20"/>
          <w:szCs w:val="20"/>
          <w:color w:val="auto"/>
        </w:rPr>
      </w:pPr>
    </w:p>
    <w:p>
      <w:pPr>
        <w:ind w:right="10000" w:firstLine="8"/>
        <w:spacing w:after="0" w:line="342" w:lineRule="auto"/>
        <w:tabs>
          <w:tab w:leader="none" w:pos="3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  Previously filed as an exhibit to our Current Report on Form 8-K filed on August 12, 2019 and incorporated by reference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Securities Exchange Act of 1934, the registrant has duly caused this report to be signed on its behalf by the undersigned, thereunto duly authorized.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13, 2019</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Gordon</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201" w:lineRule="exact"/>
              <w:rPr>
                <w:sz w:val="20"/>
                <w:szCs w:val="20"/>
                <w:color w:val="auto"/>
              </w:rPr>
            </w:pPr>
            <w:r>
              <w:rPr>
                <w:rFonts w:ascii="Arial" w:cs="Arial" w:eastAsia="Arial" w:hAnsi="Arial"/>
                <w:sz w:val="18"/>
                <w:szCs w:val="18"/>
                <w:color w:val="auto"/>
              </w:rPr>
              <w:t>Scott Gordon</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68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Gentile</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201" w:lineRule="exact"/>
              <w:rPr>
                <w:sz w:val="20"/>
                <w:szCs w:val="20"/>
                <w:color w:val="auto"/>
              </w:rPr>
            </w:pPr>
            <w:r>
              <w:rPr>
                <w:rFonts w:ascii="Arial" w:cs="Arial" w:eastAsia="Arial" w:hAnsi="Arial"/>
                <w:sz w:val="18"/>
                <w:szCs w:val="18"/>
                <w:color w:val="auto"/>
              </w:rPr>
              <w:t>Gregory Gentile</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ectPr>
          <w:pgSz w:w="11900" w:h="16838" w:orient="portrait"/>
          <w:cols w:equalWidth="0" w:num="2">
            <w:col w:w="6120" w:space="720"/>
            <w:col w:w="4580"/>
          </w:cols>
          <w:pgMar w:left="240" w:top="121" w:right="239" w:bottom="1440" w:gutter="0" w:footer="0" w:header="0"/>
          <w:type w:val="continuous"/>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Scott Gordon, certify that:</w:t>
      </w:r>
    </w:p>
    <w:p>
      <w:pPr>
        <w:spacing w:after="0" w:line="24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Silver Spike Acquisition Corp.;</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4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220" w:hanging="324"/>
        <w:spacing w:after="0" w:line="264" w:lineRule="auto"/>
        <w:tabs>
          <w:tab w:leader="none" w:pos="9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283"/>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324"/>
        <w:spacing w:after="0" w:line="277" w:lineRule="auto"/>
        <w:rPr>
          <w:rFonts w:ascii="Arial" w:cs="Arial" w:eastAsia="Arial" w:hAnsi="Arial"/>
          <w:sz w:val="17"/>
          <w:szCs w:val="17"/>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sz w:val="20"/>
          <w:szCs w:val="20"/>
          <w:color w:val="auto"/>
        </w:rPr>
      </w:pPr>
    </w:p>
    <w:p>
      <w:pPr>
        <w:ind w:left="980" w:right="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7"/>
          <w:szCs w:val="17"/>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Gregory Gentile, certify that:</w:t>
      </w:r>
    </w:p>
    <w:p>
      <w:pPr>
        <w:spacing w:after="0" w:line="24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Silver Spike Acquisition Corp.;</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4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324"/>
        <w:spacing w:after="0" w:line="277" w:lineRule="auto"/>
        <w:rPr>
          <w:rFonts w:ascii="Arial" w:cs="Arial" w:eastAsia="Arial" w:hAnsi="Arial"/>
          <w:sz w:val="17"/>
          <w:szCs w:val="17"/>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sz w:val="20"/>
          <w:szCs w:val="20"/>
          <w:color w:val="auto"/>
        </w:rPr>
      </w:pPr>
    </w:p>
    <w:p>
      <w:pPr>
        <w:ind w:left="980" w:right="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7"/>
          <w:szCs w:val="17"/>
          <w:color w:val="auto"/>
        </w:rPr>
        <w:t>By: /s/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Gregory Gentile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Quarterly Report of Silver Spike Acquisition Corp. (the “Company”) on Form 10-Q for the quarterly period ended September 30, 2019, as filed with the Securities and Exchange Commission (the “Report”), I, Scott Gordon, Chief Executive Officer of the Company, certify, pursuant to 18 U.S.C. §1350, as added by §906 of the Sarbanes-Oxley Act of 2002, that:</w:t>
      </w:r>
    </w:p>
    <w:p>
      <w:pPr>
        <w:spacing w:after="0" w:line="168"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7"/>
          <w:szCs w:val="17"/>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Quarterly Report of Silver Spike Acquisition Corp. (the “Company”) on Form 10-Q for the quarterly period ended September 30, 2019, as filed with the Securities and Exchange Commission (the “Report”), I, Gregory Gentile, Chief Financial Officer of the Company, certify, pursuant to 18 U.S.C. §1350, as added by §906 of the Sarbanes-Oxley Act of 2002, that:</w:t>
      </w:r>
    </w:p>
    <w:p>
      <w:pPr>
        <w:spacing w:after="0" w:line="168"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7"/>
          <w:szCs w:val="17"/>
          <w:color w:val="auto"/>
        </w:rPr>
        <w:t>By: /s/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Gregory Gentile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upperLetter"/>
      <w:start w:val="1"/>
    </w:lvl>
  </w:abstractNum>
  <w:abstractNum w:abstractNumId="6">
    <w:nsid w:val="140E0F76"/>
    <w:multiLevelType w:val="hybridMultilevel"/>
    <w:lvl w:ilvl="0">
      <w:lvlJc w:val="left"/>
      <w:lvlText w:val="(%1)"/>
      <w:numFmt w:val="lowerRoman"/>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53" Type="http://schemas.openxmlformats.org/officeDocument/2006/relationships/hyperlink" Target="http://www.sec.gov/Archives/edgar/data/1779474/000095010319010751/dp111173_ex0101.htm" TargetMode="External"/><Relationship Id="rId54" Type="http://schemas.openxmlformats.org/officeDocument/2006/relationships/hyperlink" Target="http://www.sec.gov/Archives/edgar/data/1779474/000095010319010751/dp111173_ex0401.htm" TargetMode="External"/><Relationship Id="rId55" Type="http://schemas.openxmlformats.org/officeDocument/2006/relationships/hyperlink" Target="http://www.sec.gov/Archives/edgar/data/1779474/000095010319010751/dp111173_ex1001.htm" TargetMode="External"/><Relationship Id="rId56" Type="http://schemas.openxmlformats.org/officeDocument/2006/relationships/hyperlink" Target="http://www.sec.gov/Archives/edgar/data/1779474/000095010319010751/dp111173_ex1002.htm" TargetMode="External"/><Relationship Id="rId57" Type="http://schemas.openxmlformats.org/officeDocument/2006/relationships/hyperlink" Target="http://www.sec.gov/Archives/edgar/data/1779474/000095010319010751/dp111173_ex1003.htm" TargetMode="External"/><Relationship Id="rId58" Type="http://schemas.openxmlformats.org/officeDocument/2006/relationships/hyperlink" Target="http://www.sec.gov/Archives/edgar/data/1779474/000095010319010751/dp111173_ex1004.htm" TargetMode="External"/><Relationship Id="rId59" Type="http://schemas.openxmlformats.org/officeDocument/2006/relationships/hyperlink" Target="http://www.sec.gov/Archives/edgar/data/1779474/000095010319010751/dp111173_ex1005.htm" TargetMode="External"/><Relationship Id="rId60" Type="http://schemas.openxmlformats.org/officeDocument/2006/relationships/hyperlink" Target="http://www.sec.gov/Archives/edgar/data/1779474/000095010319010751/dp111173_ex1006.htm" TargetMode="External"/><Relationship Id="rId61" Type="http://schemas.openxmlformats.org/officeDocument/2006/relationships/hyperlink" Target="http://www.sec.gov/Archives/edgar/data/1779474/000095010319010751/dp111173_ex1007.htm" TargetMode="External"/><Relationship Id="rId62" Type="http://schemas.openxmlformats.org/officeDocument/2006/relationships/hyperlink" Target="http://www.sec.gov/Archives/edgar/data/1779474/000095010319010751/dp111173_ex1008.htm" TargetMode="External"/><Relationship Id="rId63" Type="http://schemas.openxmlformats.org/officeDocument/2006/relationships/hyperlink" Target="http://www.sec.gov/Archives/edgar/data/1779474/000095010319010751/dp111173_ex1009.htm" TargetMode="External"/><Relationship Id="rId64" Type="http://schemas.openxmlformats.org/officeDocument/2006/relationships/hyperlink" Target="http://www.sec.gov/Archives/edgar/data/1779474/000095010319010751/dp111173_ex1010.htm" TargetMode="External"/><Relationship Id="rId65" Type="http://schemas.openxmlformats.org/officeDocument/2006/relationships/hyperlink" Target="http://www.sec.gov/Archives/edgar/data/1779474/000095010319010751/dp111173_ex1011.htm" TargetMode="External"/><Relationship Id="rId66" Type="http://schemas.openxmlformats.org/officeDocument/2006/relationships/hyperlink" Target="http://www.sec.gov/Archives/edgar/data/1779474/000095010319010751/dp111173_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2019-11-28T07:43:21Z</dcterms:created>
  <dcterms:modified xsi:type="dcterms:W3CDTF">2019-11-28T07:43:21Z</dcterms:modified>
</cp:coreProperties>
</file>