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Lee Arden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IRVINE</w:t>
            </w: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92618</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02/21/2023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22,290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1.346</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473,326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sold the number of shares of common stock necessary to cover applicable tax withholding obligations realized upon the vesting of restricted stock units, as well as any related brokerage commission fees.</w:t>
      </w:r>
    </w:p>
    <w:p>
      <w:pPr>
        <w:spacing w:after="0" w:line="15" w:lineRule="exact"/>
        <w:rPr>
          <w:rFonts w:ascii="Arial" w:cs="Arial" w:eastAsia="Arial" w:hAnsi="Arial"/>
          <w:sz w:val="13"/>
          <w:szCs w:val="13"/>
          <w:color w:val="008000"/>
        </w:rPr>
      </w:pPr>
    </w:p>
    <w:p>
      <w:pPr>
        <w:ind w:left="40" w:right="2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Price reported is a weighted-average sales price. The shares were sold at prices ranging from $1.13 to $1.15. The Reporting Person will provide upon request to the SEC, the Issuer or security holder of the Issuer, full information regarding the number of shares sold at each separate price.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Arden Lee, by /s/ Ron A.</w:t>
            </w:r>
          </w:p>
        </w:tc>
        <w:tc>
          <w:tcPr>
            <w:tcW w:w="3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02/23/2023</w:t>
            </w:r>
          </w:p>
        </w:tc>
        <w:tc>
          <w:tcPr>
            <w:tcW w:w="0" w:type="dxa"/>
            <w:vAlign w:val="bottom"/>
          </w:tcPr>
          <w:p>
            <w:pPr>
              <w:spacing w:after="0"/>
              <w:rPr>
                <w:sz w:val="1"/>
                <w:szCs w:val="1"/>
                <w:color w:val="auto"/>
              </w:rPr>
            </w:pPr>
          </w:p>
        </w:tc>
      </w:tr>
      <w:tr>
        <w:trPr>
          <w:trHeight w:val="87"/>
        </w:trPr>
        <w:tc>
          <w:tcPr>
            <w:tcW w:w="184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4"/>
              </w:rPr>
              <w:t>Metzger, Attorney-in-Fact</w:t>
            </w:r>
          </w:p>
        </w:tc>
        <w:tc>
          <w:tcPr>
            <w:tcW w:w="2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40" w:type="dxa"/>
            <w:vAlign w:val="bottom"/>
            <w:tcBorders>
              <w:bottom w:val="single" w:sz="8" w:color="auto"/>
            </w:tcBorders>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402"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2023-02-23T18:08:10Z</dcterms:created>
  <dcterms:modified xsi:type="dcterms:W3CDTF">2023-02-23T18:08:10Z</dcterms:modified>
</cp:coreProperties>
</file>