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166370</wp:posOffset>
            </wp:positionV>
            <wp:extent cx="617220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226060</wp:posOffset>
            </wp:positionV>
            <wp:extent cx="617220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2540000</wp:posOffset>
            </wp:positionH>
            <wp:positionV relativeFrom="paragraph">
              <wp:posOffset>160655</wp:posOffset>
            </wp:positionV>
            <wp:extent cx="109728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2540000</wp:posOffset>
            </wp:positionH>
            <wp:positionV relativeFrom="paragraph">
              <wp:posOffset>177800</wp:posOffset>
            </wp:positionV>
            <wp:extent cx="109728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Registrant  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     Filed by a Party other than the Registrant  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§240.14a-12</w:t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WM Technology, Inc.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the appropriate box):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 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1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 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1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222250</wp:posOffset>
            </wp:positionV>
            <wp:extent cx="61722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281940</wp:posOffset>
            </wp:positionV>
            <wp:extent cx="617220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410845</wp:posOffset>
            </wp:positionV>
            <wp:extent cx="617220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379"/>
          </w:cols>
          <w:pgMar w:left="1080" w:top="52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88900</wp:posOffset>
            </wp:positionV>
            <wp:extent cx="6172200" cy="76123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7612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88900</wp:posOffset>
            </wp:positionV>
            <wp:extent cx="6172200" cy="812673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126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2025-04-29T15:36:18Z</dcterms:created>
  <dcterms:modified xsi:type="dcterms:W3CDTF">2025-04-29T15:36:18Z</dcterms:modified>
</cp:coreProperties>
</file>