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246380</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001-39021</w:t>
            </w: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98-1605615</w:t>
            </w:r>
          </w:p>
        </w:tc>
        <w:tc>
          <w:tcPr>
            <w:tcW w:w="1620" w:type="dxa"/>
            <w:vAlign w:val="bottom"/>
          </w:tcPr>
          <w:p>
            <w:pPr>
              <w:spacing w:after="0"/>
              <w:rPr>
                <w:sz w:val="20"/>
                <w:szCs w:val="20"/>
                <w:color w:val="auto"/>
              </w:rPr>
            </w:pPr>
          </w:p>
        </w:tc>
      </w:tr>
      <w:tr>
        <w:trPr>
          <w:trHeight w:val="27"/>
        </w:trPr>
        <w:tc>
          <w:tcPr>
            <w:tcW w:w="16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22"/>
        </w:trPr>
        <w:tc>
          <w:tcPr>
            <w:tcW w:w="1620" w:type="dxa"/>
            <w:vAlign w:val="bottom"/>
          </w:tcPr>
          <w:p>
            <w:pPr>
              <w:spacing w:after="0"/>
              <w:rPr>
                <w:sz w:val="19"/>
                <w:szCs w:val="19"/>
                <w:color w:val="auto"/>
              </w:rPr>
            </w:pPr>
          </w:p>
        </w:tc>
        <w:tc>
          <w:tcPr>
            <w:tcW w:w="28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(State or Other Jurisdiction of</w:t>
            </w:r>
          </w:p>
        </w:tc>
        <w:tc>
          <w:tcPr>
            <w:tcW w:w="2600" w:type="dxa"/>
            <w:vAlign w:val="bottom"/>
            <w:gridSpan w:val="4"/>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w:t>
            </w:r>
          </w:p>
        </w:tc>
        <w:tc>
          <w:tcPr>
            <w:tcW w:w="1620" w:type="dxa"/>
            <w:vAlign w:val="bottom"/>
          </w:tcPr>
          <w:p>
            <w:pPr>
              <w:spacing w:after="0"/>
              <w:rPr>
                <w:sz w:val="19"/>
                <w:szCs w:val="19"/>
                <w:color w:val="auto"/>
              </w:rPr>
            </w:pPr>
          </w:p>
        </w:tc>
      </w:tr>
      <w:tr>
        <w:trPr>
          <w:trHeight w:val="230"/>
        </w:trPr>
        <w:tc>
          <w:tcPr>
            <w:tcW w:w="1620" w:type="dxa"/>
            <w:vAlign w:val="bottom"/>
          </w:tcPr>
          <w:p>
            <w:pPr>
              <w:spacing w:after="0"/>
              <w:rPr>
                <w:sz w:val="20"/>
                <w:szCs w:val="20"/>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No.)</w:t>
            </w:r>
          </w:p>
        </w:tc>
        <w:tc>
          <w:tcPr>
            <w:tcW w:w="1620" w:type="dxa"/>
            <w:vAlign w:val="bottom"/>
          </w:tcPr>
          <w:p>
            <w:pPr>
              <w:spacing w:after="0"/>
              <w:rPr>
                <w:sz w:val="20"/>
                <w:szCs w:val="20"/>
                <w:color w:val="auto"/>
              </w:rPr>
            </w:pPr>
          </w:p>
        </w:tc>
      </w:tr>
      <w:tr>
        <w:trPr>
          <w:trHeight w:val="603"/>
        </w:trPr>
        <w:tc>
          <w:tcPr>
            <w:tcW w:w="1620" w:type="dxa"/>
            <w:vAlign w:val="bottom"/>
          </w:tcPr>
          <w:p>
            <w:pPr>
              <w:spacing w:after="0"/>
              <w:rPr>
                <w:sz w:val="24"/>
                <w:szCs w:val="24"/>
                <w:color w:val="auto"/>
              </w:rPr>
            </w:pPr>
          </w:p>
        </w:tc>
        <w:tc>
          <w:tcPr>
            <w:tcW w:w="28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41 Discovery</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28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6"/>
              </w:rPr>
              <w:t>Irvine, California</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right"/>
              <w:ind w:right="810"/>
              <w:spacing w:after="0"/>
              <w:rPr>
                <w:sz w:val="20"/>
                <w:szCs w:val="20"/>
                <w:color w:val="auto"/>
              </w:rPr>
            </w:pPr>
            <w:r>
              <w:rPr>
                <w:rFonts w:ascii="Arial" w:cs="Arial" w:eastAsia="Arial" w:hAnsi="Arial"/>
                <w:sz w:val="18"/>
                <w:szCs w:val="18"/>
                <w:b w:val="1"/>
                <w:bCs w:val="1"/>
                <w:color w:val="auto"/>
              </w:rPr>
              <w:t>92618</w:t>
            </w:r>
          </w:p>
        </w:tc>
        <w:tc>
          <w:tcPr>
            <w:tcW w:w="1620" w:type="dxa"/>
            <w:vAlign w:val="bottom"/>
          </w:tcPr>
          <w:p>
            <w:pPr>
              <w:spacing w:after="0"/>
              <w:rPr>
                <w:sz w:val="20"/>
                <w:szCs w:val="20"/>
                <w:color w:val="auto"/>
              </w:rPr>
            </w:pPr>
          </w:p>
        </w:tc>
      </w:tr>
      <w:tr>
        <w:trPr>
          <w:trHeight w:val="27"/>
        </w:trPr>
        <w:tc>
          <w:tcPr>
            <w:tcW w:w="45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ind w:left="150"/>
              <w:spacing w:after="0"/>
              <w:rPr>
                <w:sz w:val="20"/>
                <w:szCs w:val="20"/>
                <w:color w:val="auto"/>
              </w:rPr>
            </w:pPr>
            <w:r>
              <w:rPr>
                <w:rFonts w:ascii="Arial" w:cs="Arial" w:eastAsia="Arial" w:hAnsi="Arial"/>
                <w:sz w:val="18"/>
                <w:szCs w:val="18"/>
                <w:color w:val="auto"/>
                <w:w w:val="94"/>
              </w:rPr>
              <w:t>(Zip Code)</w:t>
            </w:r>
          </w:p>
        </w:tc>
        <w:tc>
          <w:tcPr>
            <w:tcW w:w="1620" w:type="dxa"/>
            <w:vAlign w:val="bottom"/>
          </w:tcPr>
          <w:p>
            <w:pPr>
              <w:spacing w:after="0"/>
              <w:rPr>
                <w:sz w:val="20"/>
                <w:szCs w:val="20"/>
                <w:color w:val="auto"/>
              </w:rPr>
            </w:pPr>
          </w:p>
        </w:tc>
      </w:tr>
    </w:tbl>
    <w:p>
      <w:pPr>
        <w:spacing w:after="0" w:line="21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60" w:right="2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513"/>
        </w:trPr>
        <w:tc>
          <w:tcPr>
            <w:tcW w:w="4380" w:type="dxa"/>
            <w:vAlign w:val="bottom"/>
            <w:gridSpan w:val="2"/>
          </w:tcPr>
          <w:p>
            <w:pPr>
              <w:ind w:left="1480"/>
              <w:spacing w:after="0"/>
              <w:rPr>
                <w:sz w:val="20"/>
                <w:szCs w:val="20"/>
                <w:color w:val="auto"/>
              </w:rPr>
            </w:pPr>
            <w:r>
              <w:rPr>
                <w:rFonts w:ascii="Arial" w:cs="Arial" w:eastAsia="Arial" w:hAnsi="Arial"/>
                <w:sz w:val="18"/>
                <w:szCs w:val="18"/>
                <w:b w:val="1"/>
                <w:bCs w:val="1"/>
                <w:color w:val="auto"/>
              </w:rPr>
              <w:t>Title of each class</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4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36"/>
        </w:trPr>
        <w:tc>
          <w:tcPr>
            <w:tcW w:w="4380" w:type="dxa"/>
            <w:vAlign w:val="bottom"/>
            <w:gridSpan w:val="2"/>
          </w:tcPr>
          <w:p>
            <w:pPr>
              <w:ind w:left="240"/>
              <w:spacing w:after="0"/>
              <w:rPr>
                <w:sz w:val="20"/>
                <w:szCs w:val="20"/>
                <w:color w:val="auto"/>
              </w:rPr>
            </w:pPr>
            <w:r>
              <w:rPr>
                <w:rFonts w:ascii="Arial" w:cs="Arial" w:eastAsia="Arial" w:hAnsi="Arial"/>
                <w:sz w:val="18"/>
                <w:szCs w:val="18"/>
                <w:color w:val="auto"/>
                <w:w w:val="96"/>
              </w:rPr>
              <w:t>Class A Common Stock, $0.0001 par value per share</w:t>
            </w:r>
          </w:p>
        </w:tc>
        <w:tc>
          <w:tcPr>
            <w:tcW w:w="26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MAPS</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310"/>
        </w:trPr>
        <w:tc>
          <w:tcPr>
            <w:tcW w:w="4380" w:type="dxa"/>
            <w:vAlign w:val="bottom"/>
            <w:gridSpan w:val="2"/>
          </w:tcPr>
          <w:p>
            <w:pPr>
              <w:ind w:left="20"/>
              <w:spacing w:after="0"/>
              <w:rPr>
                <w:sz w:val="20"/>
                <w:szCs w:val="20"/>
                <w:color w:val="auto"/>
              </w:rPr>
            </w:pPr>
            <w:r>
              <w:rPr>
                <w:rFonts w:ascii="Arial" w:cs="Arial" w:eastAsia="Arial" w:hAnsi="Arial"/>
                <w:sz w:val="18"/>
                <w:szCs w:val="18"/>
                <w:color w:val="auto"/>
                <w:w w:val="93"/>
              </w:rPr>
              <w:t>Warrants, each whole warrant exercisable for one share of</w:t>
            </w: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w w:val="93"/>
              </w:rPr>
              <w:t>Class A Common Stock at an exercise price of $11.50 per</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MAPSW</w:t>
            </w: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share</w:t>
            </w: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r>
    </w:tbl>
    <w:p>
      <w:pPr>
        <w:spacing w:after="0" w:line="200" w:lineRule="exact"/>
        <w:rPr>
          <w:sz w:val="24"/>
          <w:szCs w:val="24"/>
          <w:color w:val="auto"/>
        </w:rPr>
      </w:pPr>
    </w:p>
    <w:p>
      <w:pPr>
        <w:spacing w:after="0" w:line="285" w:lineRule="exact"/>
        <w:rPr>
          <w:sz w:val="24"/>
          <w:szCs w:val="24"/>
          <w:color w:val="auto"/>
        </w:rPr>
      </w:pPr>
    </w:p>
    <w:p>
      <w:pPr>
        <w:ind w:left="260" w:right="2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left="260"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008" w:gutter="0" w:footer="0" w:header="0"/>
        </w:sectPr>
      </w:pPr>
    </w:p>
    <w:bookmarkStart w:id="1" w:name="page2"/>
    <w:bookmarkEnd w:id="1"/>
    <w:p>
      <w:pPr>
        <w:ind w:right="260"/>
        <w:spacing w:after="0" w:line="25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94"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On December 11, 2021, the Compensation Committee of the Board of Directors of WM Technology, Inc. (the “Company”) approved the Company’s Severance and Change in Control Plan (the “Plan”). The Company’s named executive officers, including Chris Beals and Justin Dean, are eligible to participate in the Plan.</w:t>
      </w:r>
    </w:p>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Pursuant to the Plan, in the event of a participant’s termination of employment by the Company without “cause” (other than as a result of death or “disability”) or by the participant for “good reason,” in either case, during the period commencing three months prior to and ending 12 months following the closing of a “change in control” (as such terms are defined in the Plan) (such period, the “Change in Control Period”), the participant will be entitled to:</w:t>
      </w:r>
    </w:p>
    <w:p>
      <w:pPr>
        <w:spacing w:after="0" w:line="175" w:lineRule="exact"/>
        <w:rPr>
          <w:sz w:val="20"/>
          <w:szCs w:val="20"/>
          <w:color w:val="auto"/>
        </w:rPr>
      </w:pPr>
    </w:p>
    <w:p>
      <w:pPr>
        <w:ind w:left="660" w:right="200" w:hanging="328"/>
        <w:spacing w:after="0" w:line="22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212529"/>
        </w:rPr>
        <w:t>a lump sum cash payment equal to a number of months of the participant’s then-current base salary (18 months for Mr. Beals and 12 months for Mr. Dean);</w:t>
      </w:r>
    </w:p>
    <w:p>
      <w:pPr>
        <w:ind w:left="660" w:right="100" w:hanging="328"/>
        <w:spacing w:after="0" w:line="21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212529"/>
        </w:rPr>
        <w:t>a lump sum cash payment equal to a percentage of the participant’s target incentive bonus for the year in which the termination occurs (150% for Mr. Beals and 100% for Mr. Dean);</w:t>
      </w:r>
    </w:p>
    <w:p>
      <w:pPr>
        <w:ind w:left="660" w:hanging="328"/>
        <w:spacing w:after="0" w:line="23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212529"/>
        </w:rPr>
        <w:t>payment of group health insurance premiums for a specified period (up to 18 months for Mr. Beals and up to 12 months for Mr. Dean); and</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212529"/>
        </w:rPr>
        <w:t>full vesting acceleration of all outstanding equity awards (with any performance-based vesting awards deemed achieved at target level).</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212529"/>
        </w:rPr>
        <w:t>In addition, pursuant to the Plan, in the event of a participant’s termination of employment by the Company without cause or, in the case of Mr.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12529"/>
        </w:rPr>
        <w:t>Beals, by the participant for good reason, outside a Change in Control Period, the participant will be entitled to:</w:t>
      </w:r>
    </w:p>
    <w:p>
      <w:pPr>
        <w:spacing w:after="0" w:line="209" w:lineRule="exact"/>
        <w:rPr>
          <w:sz w:val="20"/>
          <w:szCs w:val="20"/>
          <w:color w:val="auto"/>
        </w:rPr>
      </w:pPr>
    </w:p>
    <w:p>
      <w:pPr>
        <w:ind w:left="660" w:right="140" w:hanging="328"/>
        <w:spacing w:after="0" w:line="22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continued payment of the participant’s then-current base salary for a number of months (12 months for Mr. Beals and nine months for Mr. Dean) (such period, the “Severance Period”);</w:t>
      </w:r>
    </w:p>
    <w:p>
      <w:pPr>
        <w:ind w:left="660" w:right="14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212529"/>
        </w:rPr>
        <w:t>a percentage of the participant’s target incentive bonus for the year in which the termination occurs (100% for Mr. Beals and 75% for Mr. Dean), with such amount paid made in equal installments over the Severance Period; and</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212529"/>
        </w:rPr>
        <w:t>payment of group health insurance premiums for a specified period (up to 12 months for Mr. Beals and up to nine months for Mr. Dean).</w:t>
      </w:r>
    </w:p>
    <w:p>
      <w:pPr>
        <w:spacing w:after="0" w:line="2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All payments and benefits under the Plan are subject to the participant’s timely execution of an effective release of claims against the Company.</w:t>
      </w:r>
    </w:p>
    <w:p>
      <w:pPr>
        <w:spacing w:after="0" w:line="248"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foregoing description of the Plan does not purport to be complete and is qualified in its entirety by reference to the Plan, a copy of which is attached hereto and filed herewith as Exhibit 99.1.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302" w:lineRule="exact"/>
        <w:rPr>
          <w:sz w:val="20"/>
          <w:szCs w:val="20"/>
          <w:color w:val="auto"/>
        </w:rPr>
      </w:pPr>
    </w:p>
    <w:p>
      <w:pPr>
        <w:ind w:left="160"/>
        <w:spacing w:after="0"/>
        <w:tabs>
          <w:tab w:leader="none" w:pos="496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240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WM Technology, Inc. Severance and Change in Control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2021</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WM Technology, Inc.</w:t>
      </w:r>
    </w:p>
    <w:p>
      <w:pPr>
        <w:jc w:val="center"/>
        <w:spacing w:after="0"/>
        <w:rPr>
          <w:sz w:val="20"/>
          <w:szCs w:val="20"/>
          <w:color w:val="auto"/>
        </w:rPr>
      </w:pPr>
      <w:r>
        <w:rPr>
          <w:rFonts w:ascii="Arial" w:cs="Arial" w:eastAsia="Arial" w:hAnsi="Arial"/>
          <w:sz w:val="20"/>
          <w:szCs w:val="20"/>
          <w:b w:val="1"/>
          <w:bCs w:val="1"/>
          <w:color w:val="auto"/>
        </w:rPr>
        <w:t>Severance and Change in Control Plan</w:t>
      </w:r>
    </w:p>
    <w:p>
      <w:pPr>
        <w:spacing w:after="0" w:line="200" w:lineRule="exact"/>
        <w:rPr>
          <w:sz w:val="20"/>
          <w:szCs w:val="20"/>
          <w:color w:val="auto"/>
        </w:rPr>
      </w:pP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8"/>
          <w:szCs w:val="18"/>
          <w:b w:val="1"/>
          <w:bCs w:val="1"/>
          <w:color w:val="auto"/>
        </w:rPr>
        <w:t>Introduction.</w:t>
      </w:r>
    </w:p>
    <w:p>
      <w:pPr>
        <w:spacing w:after="0" w:line="181"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The WM Technology, Inc. Severance and Change in Control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is hereby established by the Board of Directors of WM Technology,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effective upon the Effective Date (as defined below). The purpose of the Plan is to provide for the payment of severance and/or Change in Control (as defined below) benefits to eligible employees of the Company Group (as defined below). This Plan document also is the Summary Plan Description for the Plan.</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 purposes of the Plan, the following terms are defined as follows:</w:t>
      </w:r>
    </w:p>
    <w:p>
      <w:pPr>
        <w:spacing w:after="0" w:line="175" w:lineRule="exact"/>
        <w:rPr>
          <w:sz w:val="20"/>
          <w:szCs w:val="20"/>
          <w:color w:val="auto"/>
        </w:rPr>
      </w:pPr>
    </w:p>
    <w:p>
      <w:pPr>
        <w:jc w:val="both"/>
        <w:ind w:firstLine="1304"/>
        <w:spacing w:after="0" w:line="218" w:lineRule="auto"/>
        <w:tabs>
          <w:tab w:leader="none" w:pos="1932"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at the time of determination, any “parent” or “subsidiary” of the Company as such terms are defined in Rule 405 promulgated under the Securities Act. The Board of Directors of the Company may determine the time or times at which “parent” or “subsidiary” status is determined within the foregoing definition.</w:t>
      </w:r>
    </w:p>
    <w:p>
      <w:pPr>
        <w:spacing w:after="0" w:line="156" w:lineRule="exact"/>
        <w:rPr>
          <w:rFonts w:ascii="Arial" w:cs="Arial" w:eastAsia="Arial" w:hAnsi="Arial"/>
          <w:sz w:val="20"/>
          <w:szCs w:val="20"/>
          <w:b w:val="1"/>
          <w:bCs w:val="1"/>
          <w:color w:val="auto"/>
        </w:rPr>
      </w:pPr>
    </w:p>
    <w:p>
      <w:pPr>
        <w:jc w:val="both"/>
        <w:ind w:firstLine="1304"/>
        <w:spacing w:after="0" w:line="218" w:lineRule="auto"/>
        <w:tabs>
          <w:tab w:leader="none" w:pos="1943"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56" w:lineRule="exact"/>
        <w:rPr>
          <w:rFonts w:ascii="Arial" w:cs="Arial" w:eastAsia="Arial" w:hAnsi="Arial"/>
          <w:sz w:val="20"/>
          <w:szCs w:val="20"/>
          <w:b w:val="1"/>
          <w:bCs w:val="1"/>
          <w:color w:val="auto"/>
        </w:rPr>
      </w:pPr>
    </w:p>
    <w:p>
      <w:pPr>
        <w:jc w:val="both"/>
        <w:ind w:firstLine="1304"/>
        <w:spacing w:after="0" w:line="236" w:lineRule="auto"/>
        <w:tabs>
          <w:tab w:leader="none" w:pos="193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with respect to a particular employee, the meaning ascribed to such term in any written employment agreement, offer letter or similar agreement between such employee and the Company Group defining such term, and, in the absence of such agreement, means with respect to such employee, the term “Cause” as defined in the Equity Plan. The determination whether a termination is for Cause shall be made by the Plan Administrator in its sole and exclusive judgment and discretion.</w:t>
      </w:r>
    </w:p>
    <w:p>
      <w:pPr>
        <w:spacing w:after="0" w:line="157" w:lineRule="exact"/>
        <w:rPr>
          <w:rFonts w:ascii="Arial" w:cs="Arial" w:eastAsia="Arial" w:hAnsi="Arial"/>
          <w:sz w:val="18"/>
          <w:szCs w:val="18"/>
          <w:b w:val="1"/>
          <w:bCs w:val="1"/>
          <w:color w:val="auto"/>
        </w:rPr>
      </w:pPr>
    </w:p>
    <w:p>
      <w:pPr>
        <w:ind w:left="1960" w:hanging="656"/>
        <w:spacing w:after="0"/>
        <w:tabs>
          <w:tab w:leader="none" w:pos="19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has the meaning ascribed to such term in the Equity Plan.</w:t>
      </w:r>
    </w:p>
    <w:p>
      <w:pPr>
        <w:spacing w:after="0" w:line="175" w:lineRule="exact"/>
        <w:rPr>
          <w:rFonts w:ascii="Arial" w:cs="Arial" w:eastAsia="Arial" w:hAnsi="Arial"/>
          <w:sz w:val="20"/>
          <w:szCs w:val="20"/>
          <w:b w:val="1"/>
          <w:bCs w:val="1"/>
          <w:color w:val="auto"/>
        </w:rPr>
      </w:pPr>
    </w:p>
    <w:p>
      <w:pPr>
        <w:ind w:firstLine="1304"/>
        <w:spacing w:after="0" w:line="229" w:lineRule="auto"/>
        <w:tabs>
          <w:tab w:leader="none" w:pos="1934"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Period</w:t>
      </w:r>
      <w:r>
        <w:rPr>
          <w:rFonts w:ascii="Arial" w:cs="Arial" w:eastAsia="Arial" w:hAnsi="Arial"/>
          <w:sz w:val="20"/>
          <w:szCs w:val="20"/>
          <w:color w:val="auto"/>
        </w:rPr>
        <w:t>” means the period commencing three months prior to the Closing of a Change in Control and ending 12 months following the Closing of a Change in Control.</w:t>
      </w:r>
    </w:p>
    <w:p>
      <w:pPr>
        <w:spacing w:after="0" w:line="155" w:lineRule="exact"/>
        <w:rPr>
          <w:rFonts w:ascii="Arial" w:cs="Arial" w:eastAsia="Arial" w:hAnsi="Arial"/>
          <w:sz w:val="20"/>
          <w:szCs w:val="20"/>
          <w:b w:val="1"/>
          <w:bCs w:val="1"/>
          <w:color w:val="auto"/>
        </w:rPr>
      </w:pPr>
    </w:p>
    <w:p>
      <w:pPr>
        <w:jc w:val="both"/>
        <w:ind w:firstLine="1304"/>
        <w:spacing w:after="0" w:line="218" w:lineRule="auto"/>
        <w:tabs>
          <w:tab w:leader="none" w:pos="1939"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w:t>
      </w:r>
      <w:r>
        <w:rPr>
          <w:rFonts w:ascii="Arial" w:cs="Arial" w:eastAsia="Arial" w:hAnsi="Arial"/>
          <w:sz w:val="20"/>
          <w:szCs w:val="20"/>
          <w:color w:val="auto"/>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spacing w:after="0" w:line="154" w:lineRule="exact"/>
        <w:rPr>
          <w:rFonts w:ascii="Arial" w:cs="Arial" w:eastAsia="Arial" w:hAnsi="Arial"/>
          <w:sz w:val="20"/>
          <w:szCs w:val="20"/>
          <w:b w:val="1"/>
          <w:bCs w:val="1"/>
          <w:color w:val="auto"/>
        </w:rPr>
      </w:pPr>
    </w:p>
    <w:p>
      <w:pPr>
        <w:ind w:left="1940" w:hanging="636"/>
        <w:spacing w:after="0"/>
        <w:tabs>
          <w:tab w:leader="none" w:pos="19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w:t>
      </w:r>
    </w:p>
    <w:p>
      <w:pPr>
        <w:spacing w:after="0"/>
        <w:rPr>
          <w:rFonts w:ascii="Arial" w:cs="Arial" w:eastAsia="Arial" w:hAnsi="Arial"/>
          <w:sz w:val="18"/>
          <w:szCs w:val="18"/>
          <w:b w:val="1"/>
          <w:bCs w:val="1"/>
          <w:color w:val="auto"/>
        </w:rPr>
      </w:pPr>
      <w:r>
        <w:rPr>
          <w:rFonts w:ascii="Arial" w:cs="Arial" w:eastAsia="Arial" w:hAnsi="Arial"/>
          <w:sz w:val="20"/>
          <w:szCs w:val="20"/>
          <w:color w:val="auto"/>
        </w:rPr>
        <w:t>thereunder.</w:t>
      </w:r>
    </w:p>
    <w:p>
      <w:pPr>
        <w:spacing w:after="0" w:line="145" w:lineRule="exact"/>
        <w:rPr>
          <w:rFonts w:ascii="Arial" w:cs="Arial" w:eastAsia="Arial" w:hAnsi="Arial"/>
          <w:sz w:val="18"/>
          <w:szCs w:val="18"/>
          <w:b w:val="1"/>
          <w:bCs w:val="1"/>
          <w:color w:val="auto"/>
        </w:rPr>
      </w:pPr>
    </w:p>
    <w:p>
      <w:pPr>
        <w:ind w:left="1960" w:hanging="656"/>
        <w:spacing w:after="0"/>
        <w:tabs>
          <w:tab w:leader="none" w:pos="1960" w:val="left"/>
        </w:tabs>
        <w:numPr>
          <w:ilvl w:val="0"/>
          <w:numId w:val="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the Board of Directors or the Compensation Committee of the Board of Directors of the</w:t>
      </w:r>
    </w:p>
    <w:p>
      <w:pPr>
        <w:spacing w:after="0"/>
        <w:rPr>
          <w:rFonts w:ascii="Arial" w:cs="Arial" w:eastAsia="Arial" w:hAnsi="Arial"/>
          <w:sz w:val="19"/>
          <w:szCs w:val="19"/>
          <w:b w:val="1"/>
          <w:bCs w:val="1"/>
          <w:color w:val="auto"/>
        </w:rPr>
      </w:pPr>
      <w:r>
        <w:rPr>
          <w:rFonts w:ascii="Arial" w:cs="Arial" w:eastAsia="Arial" w:hAnsi="Arial"/>
          <w:sz w:val="20"/>
          <w:szCs w:val="20"/>
          <w:color w:val="auto"/>
        </w:rPr>
        <w:t>Company.</w:t>
      </w:r>
    </w:p>
    <w:p>
      <w:pPr>
        <w:spacing w:after="0" w:line="157" w:lineRule="exact"/>
        <w:rPr>
          <w:rFonts w:ascii="Arial" w:cs="Arial" w:eastAsia="Arial" w:hAnsi="Arial"/>
          <w:sz w:val="19"/>
          <w:szCs w:val="19"/>
          <w:b w:val="1"/>
          <w:bCs w:val="1"/>
          <w:color w:val="auto"/>
        </w:rPr>
      </w:pPr>
    </w:p>
    <w:p>
      <w:pPr>
        <w:ind w:left="1940" w:hanging="636"/>
        <w:spacing w:after="0"/>
        <w:tabs>
          <w:tab w:leader="none" w:pos="19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WM Technology, Inc. or, following a Change in Control, the surviving entity resulting from such</w:t>
      </w:r>
    </w:p>
    <w:p>
      <w:pPr>
        <w:spacing w:after="0"/>
        <w:rPr>
          <w:rFonts w:ascii="Arial" w:cs="Arial" w:eastAsia="Arial" w:hAnsi="Arial"/>
          <w:sz w:val="18"/>
          <w:szCs w:val="18"/>
          <w:b w:val="1"/>
          <w:bCs w:val="1"/>
          <w:color w:val="auto"/>
        </w:rPr>
      </w:pPr>
      <w:r>
        <w:rPr>
          <w:rFonts w:ascii="Arial" w:cs="Arial" w:eastAsia="Arial" w:hAnsi="Arial"/>
          <w:sz w:val="20"/>
          <w:szCs w:val="20"/>
          <w:color w:val="auto"/>
        </w:rPr>
        <w:t>event.</w:t>
      </w:r>
    </w:p>
    <w:p>
      <w:pPr>
        <w:spacing w:after="0" w:line="159" w:lineRule="exact"/>
        <w:rPr>
          <w:rFonts w:ascii="Arial" w:cs="Arial" w:eastAsia="Arial" w:hAnsi="Arial"/>
          <w:sz w:val="18"/>
          <w:szCs w:val="18"/>
          <w:b w:val="1"/>
          <w:bCs w:val="1"/>
          <w:color w:val="auto"/>
        </w:rPr>
      </w:pPr>
    </w:p>
    <w:p>
      <w:pPr>
        <w:ind w:left="1940" w:hanging="636"/>
        <w:spacing w:after="0"/>
        <w:tabs>
          <w:tab w:leader="none" w:pos="19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 Group</w:t>
      </w:r>
      <w:r>
        <w:rPr>
          <w:rFonts w:ascii="Arial" w:cs="Arial" w:eastAsia="Arial" w:hAnsi="Arial"/>
          <w:sz w:val="20"/>
          <w:szCs w:val="20"/>
          <w:color w:val="auto"/>
        </w:rPr>
        <w:t>” means the Company and its Affiliates.</w:t>
      </w:r>
    </w:p>
    <w:p>
      <w:pPr>
        <w:spacing w:after="0" w:line="175" w:lineRule="exact"/>
        <w:rPr>
          <w:rFonts w:ascii="Arial" w:cs="Arial" w:eastAsia="Arial" w:hAnsi="Arial"/>
          <w:sz w:val="20"/>
          <w:szCs w:val="20"/>
          <w:b w:val="1"/>
          <w:bCs w:val="1"/>
          <w:color w:val="auto"/>
        </w:rPr>
      </w:pPr>
    </w:p>
    <w:p>
      <w:pPr>
        <w:ind w:firstLine="1304"/>
        <w:spacing w:after="0" w:line="229" w:lineRule="auto"/>
        <w:tabs>
          <w:tab w:leader="none" w:pos="1943"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means the Company Group’s standard form of Confidential Information, Non-Solicitation and Inventions Assignment Agreement or any similar or successor document.</w:t>
      </w:r>
    </w:p>
    <w:p>
      <w:pPr>
        <w:sectPr>
          <w:pgSz w:w="11900" w:h="16838" w:orient="portrait"/>
          <w:cols w:equalWidth="0" w:num="1">
            <w:col w:w="11240"/>
          </w:cols>
          <w:pgMar w:left="320" w:top="1399" w:right="339" w:bottom="1440" w:gutter="0" w:footer="0" w:header="0"/>
        </w:sectPr>
      </w:pPr>
    </w:p>
    <w:bookmarkStart w:id="4" w:name="page5"/>
    <w:bookmarkEnd w:id="4"/>
    <w:p>
      <w:pPr>
        <w:jc w:val="both"/>
        <w:ind w:firstLine="1304"/>
        <w:spacing w:after="0" w:line="210" w:lineRule="auto"/>
        <w:tabs>
          <w:tab w:leader="none" w:pos="1942"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Termination</w:t>
      </w:r>
      <w:r>
        <w:rPr>
          <w:rFonts w:ascii="Arial" w:cs="Arial" w:eastAsia="Arial" w:hAnsi="Arial"/>
          <w:sz w:val="20"/>
          <w:szCs w:val="20"/>
          <w:color w:val="auto"/>
        </w:rPr>
        <w:t>” means, with respect to an employee, a termination of employment that is due to (1) a termination by the Company Group without Cause (other than as a result of the employee’s death or Disability) or (2) (i) a resignation for Good Reason at any time if the employee is the Company’s Chief Executive Officer and (ii) a resignation for Good Reason during a the Change in Control Period if the employee is not the Company’s Chief Executive Officer, and in either case of (1) or (2), results in such employee’s Separation from Service.</w:t>
      </w:r>
    </w:p>
    <w:p>
      <w:pPr>
        <w:spacing w:after="0" w:line="154" w:lineRule="exact"/>
        <w:rPr>
          <w:rFonts w:ascii="Arial" w:cs="Arial" w:eastAsia="Arial" w:hAnsi="Arial"/>
          <w:sz w:val="20"/>
          <w:szCs w:val="20"/>
          <w:b w:val="1"/>
          <w:bCs w:val="1"/>
          <w:color w:val="auto"/>
        </w:rPr>
      </w:pPr>
    </w:p>
    <w:p>
      <w:pPr>
        <w:jc w:val="both"/>
        <w:ind w:firstLine="1304"/>
        <w:spacing w:after="0" w:line="224" w:lineRule="auto"/>
        <w:tabs>
          <w:tab w:leader="none" w:pos="1944" w:val="left"/>
        </w:tabs>
        <w:numPr>
          <w:ilvl w:val="0"/>
          <w:numId w:val="6"/>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any physical or mental condition which renders an employee incapable of performing the work for which he or she was employed by the Company or similar work offered by the Company Group. The Disability of an employee shall be established if (i) the employee satisfies the requirements for benefits under the Company Group’s long-term disability plan or (ii) if no long-term disability plan, the employee satisfies the requirements for Social Security disability benefits.</w:t>
      </w:r>
    </w:p>
    <w:p>
      <w:pPr>
        <w:spacing w:after="0" w:line="156" w:lineRule="exact"/>
        <w:rPr>
          <w:rFonts w:ascii="Arial" w:cs="Arial" w:eastAsia="Arial" w:hAnsi="Arial"/>
          <w:sz w:val="19"/>
          <w:szCs w:val="19"/>
          <w:b w:val="1"/>
          <w:bCs w:val="1"/>
          <w:color w:val="auto"/>
        </w:rPr>
      </w:pPr>
    </w:p>
    <w:p>
      <w:pPr>
        <w:ind w:left="1960" w:hanging="656"/>
        <w:spacing w:after="0"/>
        <w:tabs>
          <w:tab w:leader="none" w:pos="196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means December 11, 2021.</w:t>
      </w:r>
    </w:p>
    <w:p>
      <w:pPr>
        <w:spacing w:after="0" w:line="175" w:lineRule="exact"/>
        <w:rPr>
          <w:rFonts w:ascii="Arial" w:cs="Arial" w:eastAsia="Arial" w:hAnsi="Arial"/>
          <w:sz w:val="20"/>
          <w:szCs w:val="20"/>
          <w:b w:val="1"/>
          <w:bCs w:val="1"/>
          <w:color w:val="auto"/>
        </w:rPr>
      </w:pPr>
    </w:p>
    <w:p>
      <w:pPr>
        <w:ind w:firstLine="1304"/>
        <w:spacing w:after="0" w:line="229" w:lineRule="auto"/>
        <w:tabs>
          <w:tab w:leader="none" w:pos="1932"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Eligible Employee</w:t>
      </w:r>
      <w:r>
        <w:rPr>
          <w:rFonts w:ascii="Arial" w:cs="Arial" w:eastAsia="Arial" w:hAnsi="Arial"/>
          <w:sz w:val="20"/>
          <w:szCs w:val="20"/>
          <w:color w:val="auto"/>
        </w:rPr>
        <w:t>” means an employee of the Company Group that meets the requirements to be eligible to receive Plan benefits as set forth in Section 2.</w:t>
      </w:r>
    </w:p>
    <w:p>
      <w:pPr>
        <w:spacing w:after="0" w:line="153" w:lineRule="exact"/>
        <w:rPr>
          <w:rFonts w:ascii="Arial" w:cs="Arial" w:eastAsia="Arial" w:hAnsi="Arial"/>
          <w:sz w:val="20"/>
          <w:szCs w:val="20"/>
          <w:b w:val="1"/>
          <w:bCs w:val="1"/>
          <w:color w:val="auto"/>
        </w:rPr>
      </w:pPr>
    </w:p>
    <w:p>
      <w:pPr>
        <w:ind w:left="1960" w:hanging="656"/>
        <w:spacing w:after="0"/>
        <w:tabs>
          <w:tab w:leader="none" w:pos="19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the WM Technology, Inc. 2021 Equity Incentive Plan, as amended from time to time, or any</w:t>
      </w:r>
    </w:p>
    <w:p>
      <w:pPr>
        <w:spacing w:after="0"/>
        <w:rPr>
          <w:rFonts w:ascii="Arial" w:cs="Arial" w:eastAsia="Arial" w:hAnsi="Arial"/>
          <w:sz w:val="18"/>
          <w:szCs w:val="18"/>
          <w:b w:val="1"/>
          <w:bCs w:val="1"/>
          <w:color w:val="auto"/>
        </w:rPr>
      </w:pPr>
      <w:r>
        <w:rPr>
          <w:rFonts w:ascii="Arial" w:cs="Arial" w:eastAsia="Arial" w:hAnsi="Arial"/>
          <w:sz w:val="20"/>
          <w:szCs w:val="20"/>
          <w:color w:val="auto"/>
        </w:rPr>
        <w:t>successor plan thereto.</w:t>
      </w:r>
    </w:p>
    <w:p>
      <w:pPr>
        <w:spacing w:after="0" w:line="159" w:lineRule="exact"/>
        <w:rPr>
          <w:rFonts w:ascii="Arial" w:cs="Arial" w:eastAsia="Arial" w:hAnsi="Arial"/>
          <w:sz w:val="18"/>
          <w:szCs w:val="18"/>
          <w:b w:val="1"/>
          <w:bCs w:val="1"/>
          <w:color w:val="auto"/>
        </w:rPr>
      </w:pPr>
    </w:p>
    <w:p>
      <w:pPr>
        <w:jc w:val="both"/>
        <w:ind w:firstLine="1304"/>
        <w:spacing w:after="0" w:line="213" w:lineRule="auto"/>
        <w:tabs>
          <w:tab w:leader="none" w:pos="1943"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for an employee’s resignation has such meaning, with respect to a particular employee, as is ascribed to such term in any written employment agreement, offer letter or similar agreement between such employee and the Company Group defining such term, and, in the absence of such agreement, means the undertaking of any of the following by the Company Group without the employee’s written consent:</w:t>
      </w:r>
    </w:p>
    <w:p>
      <w:pPr>
        <w:spacing w:after="0" w:line="155" w:lineRule="exact"/>
        <w:rPr>
          <w:rFonts w:ascii="Arial" w:cs="Arial" w:eastAsia="Arial" w:hAnsi="Arial"/>
          <w:sz w:val="20"/>
          <w:szCs w:val="20"/>
          <w:b w:val="1"/>
          <w:bCs w:val="1"/>
          <w:color w:val="auto"/>
        </w:rPr>
      </w:pPr>
    </w:p>
    <w:p>
      <w:pPr>
        <w:jc w:val="both"/>
        <w:ind w:left="80" w:firstLine="1953"/>
        <w:spacing w:after="0" w:line="218" w:lineRule="auto"/>
        <w:tabs>
          <w:tab w:leader="none" w:pos="2579" w:val="left"/>
        </w:tabs>
        <w:numPr>
          <w:ilvl w:val="1"/>
          <w:numId w:val="6"/>
        </w:numPr>
        <w:rPr>
          <w:rFonts w:ascii="Arial" w:cs="Arial" w:eastAsia="Arial" w:hAnsi="Arial"/>
          <w:sz w:val="20"/>
          <w:szCs w:val="20"/>
          <w:b w:val="1"/>
          <w:bCs w:val="1"/>
          <w:color w:val="auto"/>
        </w:rPr>
      </w:pPr>
      <w:r>
        <w:rPr>
          <w:rFonts w:ascii="Arial" w:cs="Arial" w:eastAsia="Arial" w:hAnsi="Arial"/>
          <w:sz w:val="20"/>
          <w:szCs w:val="20"/>
          <w:color w:val="auto"/>
        </w:rPr>
        <w:t>a material reduction in a such employee’s base salary (unless pursuant to a salary reduction program affecting substantially all of the similarly situated employees of the Company Group and that does not adversely affect the employee to a greater extent than other similarly situated employees);</w:t>
      </w:r>
    </w:p>
    <w:p>
      <w:pPr>
        <w:spacing w:after="0" w:line="156" w:lineRule="exact"/>
        <w:rPr>
          <w:rFonts w:ascii="Arial" w:cs="Arial" w:eastAsia="Arial" w:hAnsi="Arial"/>
          <w:sz w:val="20"/>
          <w:szCs w:val="20"/>
          <w:b w:val="1"/>
          <w:bCs w:val="1"/>
          <w:color w:val="auto"/>
        </w:rPr>
      </w:pPr>
    </w:p>
    <w:p>
      <w:pPr>
        <w:ind w:left="2580" w:hanging="547"/>
        <w:spacing w:after="0"/>
        <w:tabs>
          <w:tab w:leader="none" w:pos="2580" w:val="left"/>
        </w:tabs>
        <w:numPr>
          <w:ilvl w:val="1"/>
          <w:numId w:val="6"/>
        </w:numPr>
        <w:rPr>
          <w:rFonts w:ascii="Arial" w:cs="Arial" w:eastAsia="Arial" w:hAnsi="Arial"/>
          <w:sz w:val="20"/>
          <w:szCs w:val="20"/>
          <w:b w:val="1"/>
          <w:bCs w:val="1"/>
          <w:color w:val="auto"/>
        </w:rPr>
      </w:pPr>
      <w:r>
        <w:rPr>
          <w:rFonts w:ascii="Arial" w:cs="Arial" w:eastAsia="Arial" w:hAnsi="Arial"/>
          <w:sz w:val="20"/>
          <w:szCs w:val="20"/>
          <w:color w:val="auto"/>
        </w:rPr>
        <w:t>a material diminution of the employee’s authority, duties or responsibilities;</w:t>
      </w:r>
    </w:p>
    <w:p>
      <w:pPr>
        <w:spacing w:after="0" w:line="175" w:lineRule="exact"/>
        <w:rPr>
          <w:rFonts w:ascii="Arial" w:cs="Arial" w:eastAsia="Arial" w:hAnsi="Arial"/>
          <w:sz w:val="20"/>
          <w:szCs w:val="20"/>
          <w:b w:val="1"/>
          <w:bCs w:val="1"/>
          <w:color w:val="auto"/>
        </w:rPr>
      </w:pPr>
    </w:p>
    <w:p>
      <w:pPr>
        <w:jc w:val="both"/>
        <w:ind w:left="80" w:firstLine="1953"/>
        <w:spacing w:after="0" w:line="217" w:lineRule="auto"/>
        <w:tabs>
          <w:tab w:leader="none" w:pos="2579" w:val="left"/>
        </w:tabs>
        <w:numPr>
          <w:ilvl w:val="1"/>
          <w:numId w:val="6"/>
        </w:numPr>
        <w:rPr>
          <w:rFonts w:ascii="Arial" w:cs="Arial" w:eastAsia="Arial" w:hAnsi="Arial"/>
          <w:sz w:val="19"/>
          <w:szCs w:val="19"/>
          <w:b w:val="1"/>
          <w:bCs w:val="1"/>
          <w:color w:val="auto"/>
        </w:rPr>
      </w:pPr>
      <w:r>
        <w:rPr>
          <w:rFonts w:ascii="Arial" w:cs="Arial" w:eastAsia="Arial" w:hAnsi="Arial"/>
          <w:sz w:val="19"/>
          <w:szCs w:val="19"/>
          <w:color w:val="auto"/>
        </w:rPr>
        <w:t>a relocation of such employee’s principal place of employment with the Company Group (or successor to the Company, if applicable) to a place that increases such employee’s one-way commute by more than 50 miles as compared to such employee’s then-current principal place of employment immediately prior to such relocation (excluding regular travel in the ordinary course of business); provided that (i) if such employee’s principal place of employment is his or her personal residence, this clause (3) shall not apply and (ii) if the employee works remotely during any period in which such employee’s regular principal office location is a Company Group office that is closed, then neither the employee’s relocation to remote work or back to the office from remote work will be considered a relocation of such employee’s principal office location for purposes of this definition; or</w:t>
      </w:r>
    </w:p>
    <w:p>
      <w:pPr>
        <w:spacing w:after="0" w:line="156" w:lineRule="exact"/>
        <w:rPr>
          <w:rFonts w:ascii="Arial" w:cs="Arial" w:eastAsia="Arial" w:hAnsi="Arial"/>
          <w:sz w:val="19"/>
          <w:szCs w:val="19"/>
          <w:b w:val="1"/>
          <w:bCs w:val="1"/>
          <w:color w:val="auto"/>
        </w:rPr>
      </w:pPr>
    </w:p>
    <w:p>
      <w:pPr>
        <w:jc w:val="both"/>
        <w:ind w:left="80" w:firstLine="1953"/>
        <w:spacing w:after="0" w:line="218" w:lineRule="auto"/>
        <w:tabs>
          <w:tab w:leader="none" w:pos="2579" w:val="left"/>
        </w:tabs>
        <w:numPr>
          <w:ilvl w:val="1"/>
          <w:numId w:val="6"/>
        </w:numPr>
        <w:rPr>
          <w:rFonts w:ascii="Arial" w:cs="Arial" w:eastAsia="Arial" w:hAnsi="Arial"/>
          <w:sz w:val="20"/>
          <w:szCs w:val="20"/>
          <w:b w:val="1"/>
          <w:bCs w:val="1"/>
          <w:color w:val="auto"/>
        </w:rPr>
      </w:pPr>
      <w:r>
        <w:rPr>
          <w:rFonts w:ascii="Arial" w:cs="Arial" w:eastAsia="Arial" w:hAnsi="Arial"/>
          <w:sz w:val="20"/>
          <w:szCs w:val="20"/>
          <w:color w:val="auto"/>
        </w:rPr>
        <w:t>a material breach by the Company Group of any provision of this Plan or any other material agreement between such employee and the Company Group concerning the terms and conditions of such employee’s employment with the Company Group.</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Notwithstanding the foregoing, in order for the employee’s resignation to be deemed to have been for Good Reason, the employee must (a) provide written notice to the Company Group of such employee’s intent to resign for Good Reason within 30 days after the first occurrence of the event giving rise to Good Reason, which notice shall describe the event(s) the employee believes give rise to Good Reason; (b) allow the Company Group at least 30 days from receipt of the written notice to cure the event (such period,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and (c) if the event is not reasonably cured within the Cure Period, the employee’s resignation from all positions held with the Company Group is effective not later than 30 days after the expiration of the Cure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5" w:name="page6"/>
    <w:bookmarkEnd w:id="5"/>
    <w:p>
      <w:pPr>
        <w:jc w:val="both"/>
        <w:ind w:firstLine="1304"/>
        <w:spacing w:after="0" w:line="218" w:lineRule="auto"/>
        <w:tabs>
          <w:tab w:leader="none" w:pos="1934"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Participation Agreement</w:t>
      </w:r>
      <w:r>
        <w:rPr>
          <w:rFonts w:ascii="Arial" w:cs="Arial" w:eastAsia="Arial" w:hAnsi="Arial"/>
          <w:sz w:val="20"/>
          <w:szCs w:val="20"/>
          <w:color w:val="auto"/>
        </w:rPr>
        <w:t xml:space="preserve">” means an agreement between an employee and the Company in substantially the form of </w:t>
      </w:r>
      <w:r>
        <w:rPr>
          <w:rFonts w:ascii="Arial" w:cs="Arial" w:eastAsia="Arial" w:hAnsi="Arial"/>
          <w:sz w:val="20"/>
          <w:szCs w:val="20"/>
          <w:b w:val="1"/>
          <w:bCs w:val="1"/>
          <w:color w:val="auto"/>
        </w:rPr>
        <w:t xml:space="preserve">Appendix A </w:t>
      </w:r>
      <w:r>
        <w:rPr>
          <w:rFonts w:ascii="Arial" w:cs="Arial" w:eastAsia="Arial" w:hAnsi="Arial"/>
          <w:sz w:val="20"/>
          <w:szCs w:val="20"/>
          <w:color w:val="auto"/>
        </w:rPr>
        <w:t>attached hereto, and which may include such other terms as the Committee deems necessary or advisable in the administration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Plan.</w:t>
      </w:r>
    </w:p>
    <w:p>
      <w:pPr>
        <w:spacing w:after="0" w:line="154" w:lineRule="exact"/>
        <w:rPr>
          <w:rFonts w:ascii="Arial" w:cs="Arial" w:eastAsia="Arial" w:hAnsi="Arial"/>
          <w:sz w:val="20"/>
          <w:szCs w:val="20"/>
          <w:b w:val="1"/>
          <w:bCs w:val="1"/>
          <w:color w:val="auto"/>
        </w:rPr>
      </w:pPr>
    </w:p>
    <w:p>
      <w:pPr>
        <w:ind w:left="1940" w:hanging="636"/>
        <w:spacing w:after="0"/>
        <w:tabs>
          <w:tab w:leader="none" w:pos="19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Committee prior to the Closing and the Representative upon and following the</w:t>
      </w:r>
    </w:p>
    <w:p>
      <w:pPr>
        <w:spacing w:after="0"/>
        <w:rPr>
          <w:rFonts w:ascii="Arial" w:cs="Arial" w:eastAsia="Arial" w:hAnsi="Arial"/>
          <w:sz w:val="18"/>
          <w:szCs w:val="18"/>
          <w:b w:val="1"/>
          <w:bCs w:val="1"/>
          <w:color w:val="auto"/>
        </w:rPr>
      </w:pPr>
      <w:r>
        <w:rPr>
          <w:rFonts w:ascii="Arial" w:cs="Arial" w:eastAsia="Arial" w:hAnsi="Arial"/>
          <w:sz w:val="20"/>
          <w:szCs w:val="20"/>
          <w:color w:val="auto"/>
        </w:rPr>
        <w:t>Closing, as applicable.</w:t>
      </w:r>
    </w:p>
    <w:p>
      <w:pPr>
        <w:spacing w:after="0" w:line="159" w:lineRule="exact"/>
        <w:rPr>
          <w:rFonts w:ascii="Arial" w:cs="Arial" w:eastAsia="Arial" w:hAnsi="Arial"/>
          <w:sz w:val="18"/>
          <w:szCs w:val="18"/>
          <w:b w:val="1"/>
          <w:bCs w:val="1"/>
          <w:color w:val="auto"/>
        </w:rPr>
      </w:pPr>
    </w:p>
    <w:p>
      <w:pPr>
        <w:jc w:val="both"/>
        <w:ind w:firstLine="1304"/>
        <w:spacing w:after="0" w:line="218" w:lineRule="auto"/>
        <w:tabs>
          <w:tab w:leader="none" w:pos="1939"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Representative</w:t>
      </w:r>
      <w:r>
        <w:rPr>
          <w:rFonts w:ascii="Arial" w:cs="Arial" w:eastAsia="Arial" w:hAnsi="Arial"/>
          <w:sz w:val="20"/>
          <w:szCs w:val="20"/>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9(a).</w:t>
      </w:r>
    </w:p>
    <w:p>
      <w:pPr>
        <w:spacing w:after="0" w:line="156" w:lineRule="exact"/>
        <w:rPr>
          <w:rFonts w:ascii="Arial" w:cs="Arial" w:eastAsia="Arial" w:hAnsi="Arial"/>
          <w:sz w:val="20"/>
          <w:szCs w:val="20"/>
          <w:b w:val="1"/>
          <w:bCs w:val="1"/>
          <w:color w:val="auto"/>
        </w:rPr>
      </w:pPr>
    </w:p>
    <w:p>
      <w:pPr>
        <w:ind w:firstLine="1304"/>
        <w:spacing w:after="0" w:line="229" w:lineRule="auto"/>
        <w:tabs>
          <w:tab w:leader="none" w:pos="1943"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 and the treasury regulations and other guidance thereunder and any state law of similar effect.</w:t>
      </w:r>
    </w:p>
    <w:p>
      <w:pPr>
        <w:spacing w:after="0" w:line="155" w:lineRule="exact"/>
        <w:rPr>
          <w:rFonts w:ascii="Arial" w:cs="Arial" w:eastAsia="Arial" w:hAnsi="Arial"/>
          <w:sz w:val="20"/>
          <w:szCs w:val="20"/>
          <w:b w:val="1"/>
          <w:bCs w:val="1"/>
          <w:color w:val="auto"/>
        </w:rPr>
      </w:pPr>
    </w:p>
    <w:p>
      <w:pPr>
        <w:ind w:firstLine="1304"/>
        <w:spacing w:after="0" w:line="229" w:lineRule="auto"/>
        <w:tabs>
          <w:tab w:leader="none" w:pos="1932"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Separation from Service</w:t>
      </w:r>
      <w:r>
        <w:rPr>
          <w:rFonts w:ascii="Arial" w:cs="Arial" w:eastAsia="Arial" w:hAnsi="Arial"/>
          <w:sz w:val="20"/>
          <w:szCs w:val="20"/>
          <w:color w:val="auto"/>
        </w:rPr>
        <w:t>” means a “separation from service” within the meaning of Treasury Regulations Section 1.409A-1(h), without regard to any alternative definition thereunder.</w:t>
      </w:r>
    </w:p>
    <w:p>
      <w:pPr>
        <w:spacing w:after="0" w:line="155" w:lineRule="exact"/>
        <w:rPr>
          <w:rFonts w:ascii="Arial" w:cs="Arial" w:eastAsia="Arial" w:hAnsi="Arial"/>
          <w:sz w:val="20"/>
          <w:szCs w:val="20"/>
          <w:b w:val="1"/>
          <w:bCs w:val="1"/>
          <w:color w:val="auto"/>
        </w:rPr>
      </w:pPr>
    </w:p>
    <w:p>
      <w:pPr>
        <w:jc w:val="both"/>
        <w:ind w:firstLine="1304"/>
        <w:spacing w:after="0" w:line="229" w:lineRule="auto"/>
        <w:tabs>
          <w:tab w:leader="none" w:pos="19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 means the cash bonus payable to an Eligible Employee pursuant to an annual performance bonus or annual variable compensation plan following completion of the applicable plan year and based on achievement of specified performance goals for the year in which such Covered Termination occurs, as if all the applicable performance goals for such year were attained at a level of 100%. If at the time of the Covered Termination, an Eligible Employee is eligible for a Target Bonus, but no target percentage or target dollar amount is specified for the year in which such Covered Termination occurs, the Target Bonus amount will be the target bonus percentage established for such eligible employee in the preceding year (but adjusted if necessary for your position for the year in which the Covered Termination occurs). The Target Bonus shall not include any bonus paid in installments during the applicable plan year.</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b w:val="1"/>
          <w:bCs w:val="1"/>
          <w:color w:val="auto"/>
        </w:rPr>
        <w:t>Eligibility for Benefits.</w:t>
      </w:r>
    </w:p>
    <w:p>
      <w:pPr>
        <w:spacing w:after="0" w:line="175" w:lineRule="exact"/>
        <w:rPr>
          <w:sz w:val="20"/>
          <w:szCs w:val="20"/>
          <w:color w:val="auto"/>
        </w:rPr>
      </w:pPr>
    </w:p>
    <w:p>
      <w:pPr>
        <w:jc w:val="both"/>
        <w:ind w:firstLine="1304"/>
        <w:spacing w:after="0" w:line="208" w:lineRule="auto"/>
        <w:tabs>
          <w:tab w:leader="none" w:pos="1932"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Eligible Employee</w:t>
      </w:r>
      <w:r>
        <w:rPr>
          <w:rFonts w:ascii="Arial" w:cs="Arial" w:eastAsia="Arial" w:hAnsi="Arial"/>
          <w:sz w:val="20"/>
          <w:szCs w:val="20"/>
          <w:color w:val="auto"/>
        </w:rPr>
        <w:t>. An employee of the Company Group is eligible to participate in the Plan if (i)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 has designated such employee as eligible to participate in the Plan by providing such employee a Participation Agreement; (ii) such employee has signed and returned such Participation Agreement to the Company Group within the time period required therein; and (iii) such employee meets the other Plan eligibility requirements set forth in this Section 2. The determination of whether an employee is an Eligible Employee shall be made by the Plan Administrator, in its sole discretion, and such determination shall be binding and conclusive on all persons.</w:t>
      </w:r>
    </w:p>
    <w:p>
      <w:pPr>
        <w:spacing w:after="0" w:line="154" w:lineRule="exact"/>
        <w:rPr>
          <w:rFonts w:ascii="Arial" w:cs="Arial" w:eastAsia="Arial" w:hAnsi="Arial"/>
          <w:sz w:val="20"/>
          <w:szCs w:val="20"/>
          <w:b w:val="1"/>
          <w:bCs w:val="1"/>
          <w:color w:val="auto"/>
        </w:rPr>
      </w:pPr>
    </w:p>
    <w:p>
      <w:pPr>
        <w:jc w:val="both"/>
        <w:ind w:firstLine="1304"/>
        <w:spacing w:after="0" w:line="226" w:lineRule="auto"/>
        <w:tabs>
          <w:tab w:leader="none" w:pos="1943"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Requirement. </w:t>
      </w:r>
      <w:r>
        <w:rPr>
          <w:rFonts w:ascii="Arial" w:cs="Arial" w:eastAsia="Arial" w:hAnsi="Arial"/>
          <w:sz w:val="19"/>
          <w:szCs w:val="19"/>
          <w:color w:val="auto"/>
        </w:rPr>
        <w:t>Except as otherwise provided in an individual Participation Agreement, in order to be</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to receive benefits under the Plan, the employee also must execute a general waiver and release, in such a form as provided by the Company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within the applicable time period set forth therein, and such Release must become effective in accordance with its terms, which must occur in no event more than 60 days following the date of the applicable Covered Termination.</w:t>
      </w:r>
    </w:p>
    <w:p>
      <w:pPr>
        <w:spacing w:after="0" w:line="149" w:lineRule="exact"/>
        <w:rPr>
          <w:rFonts w:ascii="Arial" w:cs="Arial" w:eastAsia="Arial" w:hAnsi="Arial"/>
          <w:sz w:val="19"/>
          <w:szCs w:val="19"/>
          <w:b w:val="1"/>
          <w:bCs w:val="1"/>
          <w:color w:val="auto"/>
        </w:rPr>
      </w:pPr>
    </w:p>
    <w:p>
      <w:pPr>
        <w:jc w:val="both"/>
        <w:ind w:firstLine="1304"/>
        <w:spacing w:after="0" w:line="206" w:lineRule="auto"/>
        <w:tabs>
          <w:tab w:leader="none" w:pos="1934"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Plan Benefits Provided In Lieu of Any Previous Benefits. </w:t>
      </w:r>
      <w:r>
        <w:rPr>
          <w:rFonts w:ascii="Arial" w:cs="Arial" w:eastAsia="Arial" w:hAnsi="Arial"/>
          <w:sz w:val="20"/>
          <w:szCs w:val="20"/>
          <w:color w:val="auto"/>
        </w:rPr>
        <w:t>Except as otherwise provided in an individual</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Agreement, this Plan shall supersede any change in control or severance benefit plan, policy or practice previously maintained by the Company Group with respect to an Eligible Employee and any change in control or severance benefits in any individually negotiated employment contract or other agreement between the Company Group and an Eligible Employee. Notwithstanding the foregoing, the Eligible Employee’s outstanding equity awards shall remain subject to the terms of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6" w:name="page7"/>
    <w:bookmarkEnd w:id="6"/>
    <w:p>
      <w:pPr>
        <w:ind w:left="-200" w:firstLine="1304"/>
        <w:spacing w:after="0" w:line="249" w:lineRule="auto"/>
        <w:tabs>
          <w:tab w:leader="none" w:pos="1743"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Exceptions to Severance Benefit Entitlement. </w:t>
      </w:r>
      <w:r>
        <w:rPr>
          <w:rFonts w:ascii="Arial" w:cs="Arial" w:eastAsia="Arial" w:hAnsi="Arial"/>
          <w:sz w:val="19"/>
          <w:szCs w:val="19"/>
          <w:color w:val="auto"/>
        </w:rPr>
        <w:t>An employee who otherwise is an Eligible Employee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benefits under the Plan in the following circumstances, as determined by the Plan Administrator in its sole discretion:</w:t>
      </w:r>
    </w:p>
    <w:p>
      <w:pPr>
        <w:spacing w:after="0" w:line="146" w:lineRule="exact"/>
        <w:rPr>
          <w:rFonts w:ascii="Arial" w:cs="Arial" w:eastAsia="Arial" w:hAnsi="Arial"/>
          <w:sz w:val="19"/>
          <w:szCs w:val="19"/>
          <w:b w:val="1"/>
          <w:bCs w:val="1"/>
          <w:color w:val="auto"/>
        </w:rPr>
      </w:pPr>
    </w:p>
    <w:p>
      <w:pPr>
        <w:jc w:val="both"/>
        <w:ind w:left="-120" w:firstLine="1953"/>
        <w:spacing w:after="0" w:line="244" w:lineRule="auto"/>
        <w:tabs>
          <w:tab w:leader="none" w:pos="2379"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The employee is terminated by the Company Group for any reason or voluntarily terminates employment with the Company Group in any manner, and in either case, such termination does not constitute a Covered Termination. Voluntary terminations include, but are not limited to, resignation, retirement or failure to return from a leave of absence on the scheduled date.</w:t>
      </w:r>
    </w:p>
    <w:p>
      <w:pPr>
        <w:spacing w:after="0" w:line="151" w:lineRule="exact"/>
        <w:rPr>
          <w:rFonts w:ascii="Arial" w:cs="Arial" w:eastAsia="Arial" w:hAnsi="Arial"/>
          <w:sz w:val="18"/>
          <w:szCs w:val="18"/>
          <w:b w:val="1"/>
          <w:bCs w:val="1"/>
          <w:color w:val="auto"/>
        </w:rPr>
      </w:pPr>
    </w:p>
    <w:p>
      <w:pPr>
        <w:ind w:left="-120" w:firstLine="1953"/>
        <w:spacing w:after="0" w:line="229" w:lineRule="auto"/>
        <w:tabs>
          <w:tab w:leader="none" w:pos="2379" w:val="left"/>
        </w:tabs>
        <w:numPr>
          <w:ilvl w:val="1"/>
          <w:numId w:val="9"/>
        </w:numPr>
        <w:rPr>
          <w:rFonts w:ascii="Arial" w:cs="Arial" w:eastAsia="Arial" w:hAnsi="Arial"/>
          <w:sz w:val="20"/>
          <w:szCs w:val="20"/>
          <w:b w:val="1"/>
          <w:bCs w:val="1"/>
          <w:color w:val="auto"/>
        </w:rPr>
      </w:pPr>
      <w:r>
        <w:rPr>
          <w:rFonts w:ascii="Arial" w:cs="Arial" w:eastAsia="Arial" w:hAnsi="Arial"/>
          <w:sz w:val="20"/>
          <w:szCs w:val="20"/>
          <w:color w:val="auto"/>
        </w:rPr>
        <w:t>The employee voluntarily terminates employment with the Company Group in order to accept employment with another entity that is wholly or partly owned (directly or indirectly) by the Company Group.</w:t>
      </w:r>
    </w:p>
    <w:p>
      <w:pPr>
        <w:spacing w:after="0" w:line="155" w:lineRule="exact"/>
        <w:rPr>
          <w:rFonts w:ascii="Arial" w:cs="Arial" w:eastAsia="Arial" w:hAnsi="Arial"/>
          <w:sz w:val="20"/>
          <w:szCs w:val="20"/>
          <w:b w:val="1"/>
          <w:bCs w:val="1"/>
          <w:color w:val="auto"/>
        </w:rPr>
      </w:pPr>
    </w:p>
    <w:p>
      <w:pPr>
        <w:jc w:val="both"/>
        <w:ind w:left="-120" w:firstLine="1953"/>
        <w:spacing w:after="0" w:line="244" w:lineRule="auto"/>
        <w:tabs>
          <w:tab w:leader="none" w:pos="2379"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The employee is offered an identical or substantially equivalent or comparable position with the Company Group. For purposes of the foregoing, a “substantially equivalent or comparable position” is one that provides the employee substantially the same level of responsibility and compensation and would not give rise to the employee’s right to a resignation for Good Reason.</w:t>
      </w:r>
    </w:p>
    <w:p>
      <w:pPr>
        <w:spacing w:after="0" w:line="151" w:lineRule="exact"/>
        <w:rPr>
          <w:rFonts w:ascii="Arial" w:cs="Arial" w:eastAsia="Arial" w:hAnsi="Arial"/>
          <w:sz w:val="18"/>
          <w:szCs w:val="18"/>
          <w:b w:val="1"/>
          <w:bCs w:val="1"/>
          <w:color w:val="auto"/>
        </w:rPr>
      </w:pPr>
    </w:p>
    <w:p>
      <w:pPr>
        <w:jc w:val="both"/>
        <w:ind w:left="-120" w:firstLine="1953"/>
        <w:spacing w:after="0" w:line="216" w:lineRule="auto"/>
        <w:tabs>
          <w:tab w:leader="none" w:pos="2379" w:val="left"/>
        </w:tabs>
        <w:numPr>
          <w:ilvl w:val="1"/>
          <w:numId w:val="9"/>
        </w:numPr>
        <w:rPr>
          <w:rFonts w:ascii="Arial" w:cs="Arial" w:eastAsia="Arial" w:hAnsi="Arial"/>
          <w:sz w:val="19"/>
          <w:szCs w:val="19"/>
          <w:b w:val="1"/>
          <w:bCs w:val="1"/>
          <w:color w:val="auto"/>
        </w:rPr>
      </w:pPr>
      <w:r>
        <w:rPr>
          <w:rFonts w:ascii="Arial" w:cs="Arial" w:eastAsia="Arial" w:hAnsi="Arial"/>
          <w:sz w:val="19"/>
          <w:szCs w:val="19"/>
          <w:color w:val="auto"/>
        </w:rPr>
        <w:t>The employee is offered immediate reemployment by a successor to the Company or an Affiliate or by a purchaser of the Company’s assets, as the case may be, following a Change in Control and the terms of such reemployment would not give rise to the employee’s right to a resignation for Good Reason. For purposes of the foregoing, “immediate 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154" w:lineRule="exact"/>
        <w:rPr>
          <w:rFonts w:ascii="Arial" w:cs="Arial" w:eastAsia="Arial" w:hAnsi="Arial"/>
          <w:sz w:val="19"/>
          <w:szCs w:val="19"/>
          <w:b w:val="1"/>
          <w:bCs w:val="1"/>
          <w:color w:val="auto"/>
        </w:rPr>
      </w:pPr>
    </w:p>
    <w:p>
      <w:pPr>
        <w:ind w:left="-120" w:right="20" w:firstLine="1953"/>
        <w:spacing w:after="0" w:line="229" w:lineRule="auto"/>
        <w:tabs>
          <w:tab w:leader="none" w:pos="2379" w:val="left"/>
        </w:tabs>
        <w:numPr>
          <w:ilvl w:val="1"/>
          <w:numId w:val="9"/>
        </w:numPr>
        <w:rPr>
          <w:rFonts w:ascii="Arial" w:cs="Arial" w:eastAsia="Arial" w:hAnsi="Arial"/>
          <w:sz w:val="20"/>
          <w:szCs w:val="20"/>
          <w:b w:val="1"/>
          <w:bCs w:val="1"/>
          <w:color w:val="auto"/>
        </w:rPr>
      </w:pPr>
      <w:r>
        <w:rPr>
          <w:rFonts w:ascii="Arial" w:cs="Arial" w:eastAsia="Arial" w:hAnsi="Arial"/>
          <w:sz w:val="20"/>
          <w:szCs w:val="20"/>
          <w:color w:val="auto"/>
        </w:rPr>
        <w:t>The employee is rehired by the Company Group and recommences employment prior to the date severance benefits under the Plan are scheduled to commence.</w:t>
      </w:r>
    </w:p>
    <w:p>
      <w:pPr>
        <w:spacing w:after="0" w:line="149" w:lineRule="exact"/>
        <w:rPr>
          <w:rFonts w:ascii="Arial" w:cs="Arial" w:eastAsia="Arial" w:hAnsi="Arial"/>
          <w:sz w:val="20"/>
          <w:szCs w:val="20"/>
          <w:b w:val="1"/>
          <w:bCs w:val="1"/>
          <w:color w:val="auto"/>
        </w:rPr>
      </w:pPr>
    </w:p>
    <w:p>
      <w:pPr>
        <w:jc w:val="both"/>
        <w:ind w:left="-200" w:firstLine="1304"/>
        <w:spacing w:after="0" w:line="220" w:lineRule="auto"/>
        <w:tabs>
          <w:tab w:leader="none" w:pos="1734"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Severance Benefits</w:t>
      </w:r>
      <w:r>
        <w:rPr>
          <w:rFonts w:ascii="Arial" w:cs="Arial" w:eastAsia="Arial" w:hAnsi="Arial"/>
          <w:sz w:val="20"/>
          <w:szCs w:val="20"/>
          <w:color w:val="auto"/>
        </w:rPr>
        <w:t>. An Eligible Employee’s right to receive severance benefits under this Plan</w:t>
      </w:r>
      <w:r>
        <w:rPr>
          <w:rFonts w:ascii="Arial" w:cs="Arial" w:eastAsia="Arial" w:hAnsi="Arial"/>
          <w:sz w:val="20"/>
          <w:szCs w:val="20"/>
          <w:b w:val="1"/>
          <w:bCs w:val="1"/>
          <w:color w:val="auto"/>
        </w:rPr>
        <w:t xml:space="preserve"> </w:t>
      </w:r>
      <w:r>
        <w:rPr>
          <w:rFonts w:ascii="Arial" w:cs="Arial" w:eastAsia="Arial" w:hAnsi="Arial"/>
          <w:sz w:val="20"/>
          <w:szCs w:val="20"/>
          <w:color w:val="auto"/>
        </w:rPr>
        <w:t>shall terminate immediately if, at any time prior to or during the period for which the Eligible Employee is receiving severance benefits under the Plan, the Eligible Employee</w:t>
      </w:r>
    </w:p>
    <w:p>
      <w:pPr>
        <w:spacing w:after="0" w:line="156" w:lineRule="exact"/>
        <w:rPr>
          <w:rFonts w:ascii="Arial" w:cs="Arial" w:eastAsia="Arial" w:hAnsi="Arial"/>
          <w:sz w:val="20"/>
          <w:szCs w:val="20"/>
          <w:b w:val="1"/>
          <w:bCs w:val="1"/>
          <w:color w:val="auto"/>
        </w:rPr>
      </w:pPr>
    </w:p>
    <w:p>
      <w:pPr>
        <w:jc w:val="both"/>
        <w:ind w:left="-120" w:firstLine="1953"/>
        <w:spacing w:after="0" w:line="213" w:lineRule="auto"/>
        <w:tabs>
          <w:tab w:leader="none" w:pos="2379" w:val="left"/>
        </w:tabs>
        <w:numPr>
          <w:ilvl w:val="1"/>
          <w:numId w:val="9"/>
        </w:numPr>
        <w:rPr>
          <w:rFonts w:ascii="Arial" w:cs="Arial" w:eastAsia="Arial" w:hAnsi="Arial"/>
          <w:sz w:val="20"/>
          <w:szCs w:val="20"/>
          <w:b w:val="1"/>
          <w:bCs w:val="1"/>
          <w:color w:val="auto"/>
        </w:rPr>
      </w:pPr>
      <w:r>
        <w:rPr>
          <w:rFonts w:ascii="Arial" w:cs="Arial" w:eastAsia="Arial" w:hAnsi="Arial"/>
          <w:sz w:val="20"/>
          <w:szCs w:val="20"/>
          <w:color w:val="auto"/>
        </w:rPr>
        <w:t>willfully breaches any material statutory, common law, or contractual obligation to the Company Group (including, without limitation, the contractual obligations set forth in the Confidentiality Agreement and any other confidentiality, non-disclosure and developments agreement, non-competition, non-solicitation, or similar type agreement between the Eligible Employee and the Company Group, as applicable);</w:t>
      </w:r>
    </w:p>
    <w:p>
      <w:pPr>
        <w:spacing w:after="0" w:line="155" w:lineRule="exact"/>
        <w:rPr>
          <w:rFonts w:ascii="Arial" w:cs="Arial" w:eastAsia="Arial" w:hAnsi="Arial"/>
          <w:sz w:val="20"/>
          <w:szCs w:val="20"/>
          <w:b w:val="1"/>
          <w:bCs w:val="1"/>
          <w:color w:val="auto"/>
        </w:rPr>
      </w:pPr>
    </w:p>
    <w:p>
      <w:pPr>
        <w:ind w:left="2380" w:hanging="547"/>
        <w:spacing w:after="0"/>
        <w:tabs>
          <w:tab w:leader="none" w:pos="2380" w:val="left"/>
        </w:tabs>
        <w:numPr>
          <w:ilvl w:val="1"/>
          <w:numId w:val="9"/>
        </w:numPr>
        <w:rPr>
          <w:rFonts w:ascii="Arial" w:cs="Arial" w:eastAsia="Arial" w:hAnsi="Arial"/>
          <w:sz w:val="20"/>
          <w:szCs w:val="20"/>
          <w:b w:val="1"/>
          <w:bCs w:val="1"/>
          <w:color w:val="auto"/>
        </w:rPr>
      </w:pPr>
      <w:r>
        <w:rPr>
          <w:rFonts w:ascii="Arial" w:cs="Arial" w:eastAsia="Arial" w:hAnsi="Arial"/>
          <w:sz w:val="20"/>
          <w:szCs w:val="20"/>
          <w:color w:val="auto"/>
        </w:rPr>
        <w:t>fails to enter into the terms of the Confidentiality Agreement; or</w:t>
      </w:r>
    </w:p>
    <w:p>
      <w:pPr>
        <w:spacing w:after="0" w:line="175" w:lineRule="exact"/>
        <w:rPr>
          <w:rFonts w:ascii="Arial" w:cs="Arial" w:eastAsia="Arial" w:hAnsi="Arial"/>
          <w:sz w:val="20"/>
          <w:szCs w:val="20"/>
          <w:b w:val="1"/>
          <w:bCs w:val="1"/>
          <w:color w:val="auto"/>
        </w:rPr>
      </w:pPr>
    </w:p>
    <w:p>
      <w:pPr>
        <w:jc w:val="both"/>
        <w:ind w:left="-120" w:firstLine="1953"/>
        <w:spacing w:after="0" w:line="226" w:lineRule="auto"/>
        <w:tabs>
          <w:tab w:leader="none" w:pos="2379"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without the prior written approval of the Plan Administrator, engages in a Prohibited Action (as defined below). In addition, if benefits under the Plan have already been paid to the Eligible Employee and the Eligible Employee subsequently engages in a Prohibited Action during the Prohibited Period (or it is determined that the Eligible Employee engaged in a Prohibited Action prior to receipt of such benefits), any benefits previously paid to the Eligible Employee shall be subject to recoupment by the Company Group on such terms and conditions as shall be determined by the Plan Administrator, in its sole discretion. The “</w:t>
      </w:r>
      <w:r>
        <w:rPr>
          <w:rFonts w:ascii="Arial" w:cs="Arial" w:eastAsia="Arial" w:hAnsi="Arial"/>
          <w:sz w:val="18"/>
          <w:szCs w:val="18"/>
          <w:b w:val="1"/>
          <w:bCs w:val="1"/>
          <w:i w:val="1"/>
          <w:iCs w:val="1"/>
          <w:color w:val="auto"/>
        </w:rPr>
        <w:t>Prohibited Period</w:t>
      </w:r>
      <w:r>
        <w:rPr>
          <w:rFonts w:ascii="Arial" w:cs="Arial" w:eastAsia="Arial" w:hAnsi="Arial"/>
          <w:sz w:val="18"/>
          <w:szCs w:val="18"/>
          <w:color w:val="auto"/>
        </w:rPr>
        <w:t>” shall commence on the date of the Eligible Employee’s Covered Termination and continue for the number of months corresponding to the Severance Period set forth in such Eligible Employee’s Participation Agreement. A “</w:t>
      </w:r>
      <w:r>
        <w:rPr>
          <w:rFonts w:ascii="Arial" w:cs="Arial" w:eastAsia="Arial" w:hAnsi="Arial"/>
          <w:sz w:val="18"/>
          <w:szCs w:val="18"/>
          <w:b w:val="1"/>
          <w:bCs w:val="1"/>
          <w:i w:val="1"/>
          <w:iCs w:val="1"/>
          <w:color w:val="auto"/>
        </w:rPr>
        <w:t>Prohibited Action</w:t>
      </w:r>
      <w:r>
        <w:rPr>
          <w:rFonts w:ascii="Arial" w:cs="Arial" w:eastAsia="Arial" w:hAnsi="Arial"/>
          <w:sz w:val="18"/>
          <w:szCs w:val="18"/>
          <w:color w:val="auto"/>
        </w:rPr>
        <w:t>” shall occur if the Eligible Employee: (i) breaches a material provision of the Confidentiality Agreement and/or any obligations of confidentiality, non-solicitation, non-disparagement, no conflicts or non-competition set forth in the Eligible Employee’s employment agreement, offer letter, any other written agreement between the Eligible Employee and the Company Group, or under applicable law;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40"/>
          </w:cols>
          <w:pgMar w:left="520" w:top="1399" w:right="339" w:bottom="1440" w:gutter="0" w:footer="0" w:header="0"/>
        </w:sectPr>
      </w:pPr>
    </w:p>
    <w:bookmarkStart w:id="7" w:name="page8"/>
    <w:bookmarkEnd w:id="7"/>
    <w:p>
      <w:pPr>
        <w:jc w:val="both"/>
        <w:ind w:left="80"/>
        <w:spacing w:after="0" w:line="207" w:lineRule="auto"/>
        <w:rPr>
          <w:sz w:val="20"/>
          <w:szCs w:val="20"/>
          <w:color w:val="auto"/>
        </w:rPr>
      </w:pPr>
      <w:r>
        <w:rPr>
          <w:rFonts w:ascii="Arial" w:cs="Arial" w:eastAsia="Arial" w:hAnsi="Arial"/>
          <w:sz w:val="20"/>
          <w:szCs w:val="20"/>
          <w:color w:val="auto"/>
        </w:rPr>
        <w:t>encourages or solicits any of the Company Group’s then current employees to leave the Company Group’s employ for any reason or interferes in any other manner with employment relationships at the time existing between the Company Group and its then current employees; or (iii) induces any of the Company Group’s then current clients, customers, suppliers, vendors, distributors, licensors, licensees, or other third parties to terminate their existing business relationship with the Company Group or interferes in any other manner with any existing business relationship between the Company Group and any then current client, customer, supplier, vendor, distributor, licensor, licensee, or other third parties.</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color w:val="auto"/>
        </w:rPr>
        <w:t>Amount of Benefits.</w:t>
      </w:r>
    </w:p>
    <w:p>
      <w:pPr>
        <w:spacing w:after="0" w:line="175" w:lineRule="exact"/>
        <w:rPr>
          <w:sz w:val="20"/>
          <w:szCs w:val="20"/>
          <w:color w:val="auto"/>
        </w:rPr>
      </w:pPr>
    </w:p>
    <w:p>
      <w:pPr>
        <w:ind w:firstLine="1304"/>
        <w:spacing w:after="0" w:line="232" w:lineRule="auto"/>
        <w:tabs>
          <w:tab w:leader="none" w:pos="1932" w:val="left"/>
        </w:tabs>
        <w:numPr>
          <w:ilvl w:val="1"/>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Benefits in Participation Agreement. </w:t>
      </w:r>
      <w:r>
        <w:rPr>
          <w:rFonts w:ascii="Arial" w:cs="Arial" w:eastAsia="Arial" w:hAnsi="Arial"/>
          <w:sz w:val="20"/>
          <w:szCs w:val="20"/>
          <w:color w:val="auto"/>
        </w:rPr>
        <w:t>Benefits under the Plan shall be provided to an Eligible Employee as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in the Participation Agreement.</w:t>
      </w:r>
    </w:p>
    <w:p>
      <w:pPr>
        <w:spacing w:after="0" w:line="149" w:lineRule="exact"/>
        <w:rPr>
          <w:rFonts w:ascii="Arial" w:cs="Arial" w:eastAsia="Arial" w:hAnsi="Arial"/>
          <w:sz w:val="20"/>
          <w:szCs w:val="20"/>
          <w:b w:val="1"/>
          <w:bCs w:val="1"/>
          <w:color w:val="auto"/>
        </w:rPr>
      </w:pPr>
    </w:p>
    <w:p>
      <w:pPr>
        <w:jc w:val="both"/>
        <w:ind w:firstLine="1304"/>
        <w:spacing w:after="0" w:line="222" w:lineRule="auto"/>
        <w:tabs>
          <w:tab w:leader="none" w:pos="1943" w:val="left"/>
        </w:tabs>
        <w:numPr>
          <w:ilvl w:val="1"/>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Additional Benefits. </w:t>
      </w:r>
      <w:r>
        <w:rPr>
          <w:rFonts w:ascii="Arial" w:cs="Arial" w:eastAsia="Arial" w:hAnsi="Arial"/>
          <w:sz w:val="19"/>
          <w:szCs w:val="19"/>
          <w:color w:val="auto"/>
        </w:rPr>
        <w:t>Notwithstanding the foregoing, the Committee may, in its sole discretion, provide benefits to</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individuals who are not Eligible Employees (“</w:t>
      </w:r>
      <w:r>
        <w:rPr>
          <w:rFonts w:ascii="Arial" w:cs="Arial" w:eastAsia="Arial" w:hAnsi="Arial"/>
          <w:sz w:val="19"/>
          <w:szCs w:val="19"/>
          <w:b w:val="1"/>
          <w:bCs w:val="1"/>
          <w:i w:val="1"/>
          <w:iCs w:val="1"/>
          <w:color w:val="auto"/>
        </w:rPr>
        <w:t>Non-Eligible Employees</w:t>
      </w:r>
      <w:r>
        <w:rPr>
          <w:rFonts w:ascii="Arial" w:cs="Arial" w:eastAsia="Arial" w:hAnsi="Arial"/>
          <w:sz w:val="19"/>
          <w:szCs w:val="19"/>
          <w:color w:val="auto"/>
        </w:rPr>
        <w:t>”) chosen by the Plan Administrator, in its sole discretion, and the provision of any such benefits to a Non-Eligible Employee shall in no way obligate the Company Group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150" w:lineRule="exact"/>
        <w:rPr>
          <w:rFonts w:ascii="Arial" w:cs="Arial" w:eastAsia="Arial" w:hAnsi="Arial"/>
          <w:sz w:val="19"/>
          <w:szCs w:val="19"/>
          <w:b w:val="1"/>
          <w:bCs w:val="1"/>
          <w:color w:val="auto"/>
        </w:rPr>
      </w:pPr>
    </w:p>
    <w:p>
      <w:pPr>
        <w:jc w:val="both"/>
        <w:ind w:firstLine="1304"/>
        <w:spacing w:after="0" w:line="212" w:lineRule="auto"/>
        <w:tabs>
          <w:tab w:leader="none" w:pos="1934" w:val="left"/>
        </w:tabs>
        <w:numPr>
          <w:ilvl w:val="1"/>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Certain Reductions. </w:t>
      </w:r>
      <w:r>
        <w:rPr>
          <w:rFonts w:ascii="Arial" w:cs="Arial" w:eastAsia="Arial" w:hAnsi="Arial"/>
          <w:sz w:val="19"/>
          <w:szCs w:val="19"/>
          <w:color w:val="auto"/>
        </w:rPr>
        <w:t>In addition to Section 2(e) above, the Company, in its sole discretion, shall have the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to reduce an Eligible Employee’s severance benefits, in whole or in part, by any other severance benefits, pay and benefits provided during a period following written notice of a business closing or mass layoff, pay and benefits in lieu of such notice, or other similar benefits payable to the Eligible Employee by the Company Group that become payable in connection with the Eligible Employee’s termination of employment pursuant to (i) any applicable legal requirement, including, without limitation, the Worker Adjustment and Retraining Notification Act or any other similar state law or (ii) any Company Group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Arial" w:cs="Arial" w:eastAsia="Arial" w:hAnsi="Arial"/>
          <w:sz w:val="19"/>
          <w:szCs w:val="19"/>
          <w:i w:val="1"/>
          <w:iCs w:val="1"/>
          <w:color w:val="auto"/>
        </w:rPr>
        <w:t>i.e</w:t>
      </w:r>
      <w:r>
        <w:rPr>
          <w:rFonts w:ascii="Arial" w:cs="Arial" w:eastAsia="Arial" w:hAnsi="Arial"/>
          <w:sz w:val="19"/>
          <w:szCs w:val="19"/>
          <w:color w:val="auto"/>
        </w:rPr>
        <w:t>., any cash severance benefits under the Plan shall be reduced solely by any cash payments or severance benefits under such legal requirement, agreement,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156" w:lineRule="exact"/>
        <w:rPr>
          <w:rFonts w:ascii="Arial" w:cs="Arial" w:eastAsia="Arial" w:hAnsi="Arial"/>
          <w:sz w:val="19"/>
          <w:szCs w:val="19"/>
          <w:b w:val="1"/>
          <w:bCs w:val="1"/>
          <w:color w:val="auto"/>
        </w:rPr>
      </w:pPr>
    </w:p>
    <w:p>
      <w:pPr>
        <w:jc w:val="both"/>
        <w:ind w:firstLine="1304"/>
        <w:spacing w:after="0" w:line="225" w:lineRule="auto"/>
        <w:tabs>
          <w:tab w:leader="none" w:pos="1943"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Parachute Payments. </w:t>
      </w:r>
      <w:r>
        <w:rPr>
          <w:rFonts w:ascii="Arial" w:cs="Arial" w:eastAsia="Arial" w:hAnsi="Arial"/>
          <w:sz w:val="18"/>
          <w:szCs w:val="18"/>
          <w:color w:val="auto"/>
        </w:rPr>
        <w:t>Except as otherwise provided in an individual Participation Agreement, if any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an Eligible Employee will or may receive from the Company Group or otherwise (a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any such Payment shall be equal to the Reduced Amount. The “</w:t>
      </w:r>
      <w:r>
        <w:rPr>
          <w:rFonts w:ascii="Arial" w:cs="Arial" w:eastAsia="Arial" w:hAnsi="Arial"/>
          <w:sz w:val="18"/>
          <w:szCs w:val="18"/>
          <w:b w:val="1"/>
          <w:bCs w:val="1"/>
          <w:i w:val="1"/>
          <w:iCs w:val="1"/>
          <w:color w:val="auto"/>
        </w:rPr>
        <w:t>Reduced Amount</w:t>
      </w:r>
      <w:r>
        <w:rPr>
          <w:rFonts w:ascii="Arial" w:cs="Arial" w:eastAsia="Arial" w:hAnsi="Arial"/>
          <w:sz w:val="18"/>
          <w:szCs w:val="18"/>
          <w:color w:val="auto"/>
        </w:rPr>
        <w:t>” shall be either</w:t>
      </w:r>
    </w:p>
    <w:p>
      <w:pPr>
        <w:spacing w:after="0" w:line="1" w:lineRule="exact"/>
        <w:rPr>
          <w:rFonts w:ascii="Arial" w:cs="Arial" w:eastAsia="Arial" w:hAnsi="Arial"/>
          <w:sz w:val="18"/>
          <w:szCs w:val="18"/>
          <w:b w:val="1"/>
          <w:bCs w:val="1"/>
          <w:color w:val="auto"/>
        </w:rPr>
      </w:pPr>
    </w:p>
    <w:p>
      <w:pPr>
        <w:ind w:left="300" w:hanging="292"/>
        <w:spacing w:after="0" w:line="219"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largest portion of the Payment that would result in no portion of the Payment (after reduction) being subject to the Excise Tax or</w:t>
      </w:r>
    </w:p>
    <w:p>
      <w:pPr>
        <w:jc w:val="both"/>
        <w:ind w:firstLine="8"/>
        <w:spacing w:after="0" w:line="226" w:lineRule="auto"/>
        <w:tabs>
          <w:tab w:leader="none" w:pos="3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8"/>
          <w:szCs w:val="18"/>
          <w:b w:val="1"/>
          <w:bCs w:val="1"/>
          <w:i w:val="1"/>
          <w:iCs w:val="1"/>
          <w:color w:val="auto"/>
        </w:rPr>
        <w:t>Reduction Method</w:t>
      </w:r>
      <w:r>
        <w:rPr>
          <w:rFonts w:ascii="Arial" w:cs="Arial" w:eastAsia="Arial" w:hAnsi="Arial"/>
          <w:sz w:val="18"/>
          <w:szCs w:val="18"/>
          <w:color w:val="auto"/>
        </w:rPr>
        <w:t>”) that results in the greatest economic benefit for the Eligible Employee. If more than one method of reduction will result in the same economic benefit, the items so reduced will be reduced pro rata (the “</w:t>
      </w:r>
      <w:r>
        <w:rPr>
          <w:rFonts w:ascii="Arial" w:cs="Arial" w:eastAsia="Arial" w:hAnsi="Arial"/>
          <w:sz w:val="18"/>
          <w:szCs w:val="18"/>
          <w:b w:val="1"/>
          <w:bCs w:val="1"/>
          <w:i w:val="1"/>
          <w:iCs w:val="1"/>
          <w:color w:val="auto"/>
        </w:rPr>
        <w:t>Pro Rata Reduction Method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5" w:right="339" w:bottom="1440" w:gutter="0" w:footer="0" w:header="0"/>
        </w:sectPr>
      </w:pPr>
    </w:p>
    <w:bookmarkStart w:id="8" w:name="page9"/>
    <w:bookmarkEnd w:id="8"/>
    <w:p>
      <w:pPr>
        <w:jc w:val="both"/>
        <w:ind w:firstLine="648"/>
        <w:spacing w:after="0" w:line="228" w:lineRule="auto"/>
        <w:rPr>
          <w:sz w:val="20"/>
          <w:szCs w:val="20"/>
          <w:color w:val="auto"/>
        </w:rPr>
      </w:pPr>
      <w:r>
        <w:rPr>
          <w:rFonts w:ascii="Arial" w:cs="Arial" w:eastAsia="Arial" w:hAnsi="Arial"/>
          <w:sz w:val="18"/>
          <w:szCs w:val="18"/>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Employee as determined on an after-tax basis; (B) as a second priority, Payments that are contingent on future events (</w:t>
      </w:r>
      <w:r>
        <w:rPr>
          <w:rFonts w:ascii="Arial" w:cs="Arial" w:eastAsia="Arial" w:hAnsi="Arial"/>
          <w:sz w:val="18"/>
          <w:szCs w:val="18"/>
          <w:i w:val="1"/>
          <w:iCs w:val="1"/>
          <w:color w:val="auto"/>
        </w:rPr>
        <w:t>e.g.</w:t>
      </w:r>
      <w:r>
        <w:rPr>
          <w:rFonts w:ascii="Arial" w:cs="Arial" w:eastAsia="Arial" w:hAnsi="Arial"/>
          <w:sz w:val="18"/>
          <w:szCs w:val="18"/>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5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 (x) above and the Internal Revenue Service determines thereafter that some portion of the Payment is subject to the Excise Tax, Eligible Employee agrees to promptly return to the Company a sufficient amount of the Payment (after reduction pursuant to clause (x) above) so that no portion of the remaining Payment is subject to the Excise Tax. If the Reduced Amount was determined pursuant to clause (y) above, the Eligible Employee shall have no obligation to return any portion of the Payment pursuant to the preceding sentence.</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8"/>
          <w:szCs w:val="18"/>
          <w:b w:val="1"/>
          <w:bCs w:val="1"/>
          <w:color w:val="auto"/>
        </w:rPr>
        <w:t>Return of Company Property.</w:t>
      </w:r>
    </w:p>
    <w:p>
      <w:pPr>
        <w:spacing w:after="0" w:line="18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An Eligible Employee will not be entitled to any severance benefit under the Plan unless and until the Eligible Employee returns all Company Property. For this purpose, “</w:t>
      </w:r>
      <w:r>
        <w:rPr>
          <w:rFonts w:ascii="Arial" w:cs="Arial" w:eastAsia="Arial" w:hAnsi="Arial"/>
          <w:sz w:val="18"/>
          <w:szCs w:val="18"/>
          <w:b w:val="1"/>
          <w:bCs w:val="1"/>
          <w:i w:val="1"/>
          <w:iCs w:val="1"/>
          <w:color w:val="auto"/>
        </w:rPr>
        <w:t>Company Property</w:t>
      </w:r>
      <w:r>
        <w:rPr>
          <w:rFonts w:ascii="Arial" w:cs="Arial" w:eastAsia="Arial" w:hAnsi="Arial"/>
          <w:sz w:val="18"/>
          <w:szCs w:val="18"/>
          <w:color w:val="auto"/>
        </w:rPr>
        <w:t>” means all paper and electronic Company Group documents (and all copies thereof) and other Company Group property which the Eligible Employee had in his or her possession or control at any time, including, but not limited to, Company Group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Group (and all reproductions thereof in whole or in part). As a condition to receiving benefits under the Plan, an Eligible Employee must not make or retain copies, reproductions or summaries of any such Company Group documents, materials or property. However, an Eligible Employee is not required to return his or her personal copies of documents evidencing the Eligible Employee’s hire, termination, compensation, benefits and stock options and any other documentation received as a stockholder of the Company.</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6"/>
          <w:szCs w:val="16"/>
          <w:b w:val="1"/>
          <w:bCs w:val="1"/>
          <w:color w:val="auto"/>
        </w:rPr>
        <w:t>Time of Payment and Form of Benefits.</w:t>
      </w:r>
    </w:p>
    <w:p>
      <w:pPr>
        <w:spacing w:after="0" w:line="18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 xml:space="preserve">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All benefits provided under the Plan are intended to satisfy the requirements for an exemption from application of Section 409A to the maximum extent that an exemption is available and any ambiguities herein shall be interpreted accordingly; </w:t>
      </w:r>
      <w:r>
        <w:rPr>
          <w:rFonts w:ascii="Arial" w:cs="Arial" w:eastAsia="Arial" w:hAnsi="Arial"/>
          <w:sz w:val="19"/>
          <w:szCs w:val="19"/>
          <w:i w:val="1"/>
          <w:iCs w:val="1"/>
          <w:color w:val="auto"/>
        </w:rPr>
        <w:t>provided, however</w:t>
      </w:r>
      <w:r>
        <w:rPr>
          <w:rFonts w:ascii="Arial" w:cs="Arial" w:eastAsia="Arial" w:hAnsi="Arial"/>
          <w:sz w:val="19"/>
          <w:szCs w:val="19"/>
          <w:color w:val="auto"/>
        </w:rPr>
        <w:t>, that to the extent such an exemption is not available, the benefits provided under the Plan are intended to comply with the requirements of Section 409A to the extent necessary to avoid adverse personal tax consequences and any ambiguities herein shall be interpreted accordingly.</w:t>
      </w:r>
    </w:p>
    <w:p>
      <w:pPr>
        <w:spacing w:after="0" w:line="1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(4), 1.409A-1(b)(5) and 1.409A-1(b)(9)(iii), and (iii) any such benefits consisting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9" w:name="page10"/>
    <w:bookmarkEnd w:id="9"/>
    <w:p>
      <w:pPr>
        <w:jc w:val="both"/>
        <w:spacing w:after="0" w:line="226" w:lineRule="auto"/>
        <w:rPr>
          <w:sz w:val="20"/>
          <w:szCs w:val="20"/>
          <w:color w:val="auto"/>
        </w:rPr>
      </w:pPr>
      <w:r>
        <w:rPr>
          <w:rFonts w:ascii="Arial" w:cs="Arial" w:eastAsia="Arial" w:hAnsi="Arial"/>
          <w:sz w:val="18"/>
          <w:szCs w:val="18"/>
          <w:color w:val="auto"/>
        </w:rPr>
        <w:t>premium payments for group health insurance continuation coverage also satisfy, to the greatest extent possible, the exemption from the application of Section 409A provided under Treasury Regulations Section 1.409A-1(b)(9)(v). However, if the Company determines that any severance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severance benefit payments shall be delayed until the earlier of (1) the date that is six months and one day after the Eligible Employee’s Separation from Service and (2) the date of the Eligible Employee’s death (such applicable date, the “</w:t>
      </w:r>
      <w:r>
        <w:rPr>
          <w:rFonts w:ascii="Arial" w:cs="Arial" w:eastAsia="Arial" w:hAnsi="Arial"/>
          <w:sz w:val="18"/>
          <w:szCs w:val="18"/>
          <w:b w:val="1"/>
          <w:bCs w:val="1"/>
          <w:i w:val="1"/>
          <w:iCs w:val="1"/>
          <w:color w:val="auto"/>
        </w:rPr>
        <w:t>Delayed Initial Payment Date</w:t>
      </w:r>
      <w:r>
        <w:rPr>
          <w:rFonts w:ascii="Arial" w:cs="Arial" w:eastAsia="Arial" w:hAnsi="Arial"/>
          <w:sz w:val="18"/>
          <w:szCs w:val="18"/>
          <w:color w:val="auto"/>
        </w:rPr>
        <w:t>”), and (B) the Company shall (1) pay the Eligible Employee a lump sum amount equal to the sum of the severance benefit payments that the Eligible Employee would otherwise have received through the Delayed Initial Payment Date if the commencement of the payment of the severance benefits had not been delayed pursuant to this paragraph and (2) commence paying the balance, if any, of the severance benefits in accordance with the applicable payment schedule.</w:t>
      </w:r>
    </w:p>
    <w:p>
      <w:pPr>
        <w:spacing w:after="0" w:line="184"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9"/>
          <w:szCs w:val="19"/>
          <w:color w:val="auto"/>
        </w:rPr>
        <w:t>In no event shall payment of any severance benefits under the Plan be made prior to an Eligible Employee’s Separation from Service or prior to the effective date of the Release. If the Company determines that any severance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solely for purposes of the timing of payment of severance benefits under this Plan, any earlier than the latest permitted effective date (the “</w:t>
      </w:r>
      <w:r>
        <w:rPr>
          <w:rFonts w:ascii="Arial" w:cs="Arial" w:eastAsia="Arial" w:hAnsi="Arial"/>
          <w:sz w:val="19"/>
          <w:szCs w:val="19"/>
          <w:b w:val="1"/>
          <w:bCs w:val="1"/>
          <w:i w:val="1"/>
          <w:iCs w:val="1"/>
          <w:color w:val="auto"/>
        </w:rPr>
        <w:t>Release Deadline</w:t>
      </w:r>
      <w:r>
        <w:rPr>
          <w:rFonts w:ascii="Arial" w:cs="Arial" w:eastAsia="Arial" w:hAnsi="Arial"/>
          <w:sz w:val="19"/>
          <w:szCs w:val="19"/>
          <w:color w:val="auto"/>
        </w:rPr>
        <w:t>”). If the Company determines that any severance payments or benefits provided under the Plan constitute “deferred compensation” under Section 409A, then except to the extent that severance payments may be delayed until the Delayed Initial Payment Date pursuant to the preceding paragraph, on the first regular payroll date following the effective date of an Eligible Employee’s Release, the Company shall (1) pay the Eligible Employee a lump sum amount equal to the sum of the severance benefit payments that the Eligible Employee would otherwise have received through such payroll date but for the delay in payment related to the effectiveness of the Release and (2) commence paying the balance, if any, of the severance benefits in accordance with the applicable payment schedule.</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6"/>
          <w:szCs w:val="16"/>
          <w:b w:val="1"/>
          <w:bCs w:val="1"/>
          <w:color w:val="auto"/>
        </w:rPr>
        <w:t>Transfer and Assignment.</w:t>
      </w:r>
    </w:p>
    <w:p>
      <w:pPr>
        <w:spacing w:after="0" w:line="18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Group without regard to whether or not such entity or person actively assumes the obligations hereunder and without regard to whether or not a Change in Control occurs.</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7.</w:t>
      </w:r>
      <w:r>
        <w:rPr>
          <w:sz w:val="20"/>
          <w:szCs w:val="20"/>
          <w:color w:val="auto"/>
        </w:rPr>
        <w:tab/>
      </w:r>
      <w:r>
        <w:rPr>
          <w:rFonts w:ascii="Arial" w:cs="Arial" w:eastAsia="Arial" w:hAnsi="Arial"/>
          <w:sz w:val="18"/>
          <w:szCs w:val="18"/>
          <w:b w:val="1"/>
          <w:bCs w:val="1"/>
          <w:color w:val="auto"/>
        </w:rPr>
        <w:t>Mitigation.</w:t>
      </w:r>
    </w:p>
    <w:p>
      <w:pPr>
        <w:spacing w:after="0" w:line="181" w:lineRule="exact"/>
        <w:rPr>
          <w:sz w:val="20"/>
          <w:szCs w:val="20"/>
          <w:color w:val="auto"/>
        </w:rPr>
      </w:pPr>
    </w:p>
    <w:p>
      <w:pPr>
        <w:jc w:val="both"/>
        <w:ind w:firstLine="729"/>
        <w:spacing w:after="0" w:line="236" w:lineRule="auto"/>
        <w:rPr>
          <w:sz w:val="20"/>
          <w:szCs w:val="20"/>
          <w:color w:val="auto"/>
        </w:rPr>
      </w:pPr>
      <w:r>
        <w:rPr>
          <w:rFonts w:ascii="Arial" w:cs="Arial" w:eastAsia="Arial" w:hAnsi="Arial"/>
          <w:sz w:val="18"/>
          <w:szCs w:val="18"/>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 another employer or any retirement benefits received by such Eligible Employee after the date of the Eligible Employee’s termination of employment with the Company Group.</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8.</w:t>
      </w:r>
      <w:r>
        <w:rPr>
          <w:sz w:val="20"/>
          <w:szCs w:val="20"/>
          <w:color w:val="auto"/>
        </w:rPr>
        <w:tab/>
      </w:r>
      <w:r>
        <w:rPr>
          <w:rFonts w:ascii="Arial" w:cs="Arial" w:eastAsia="Arial" w:hAnsi="Arial"/>
          <w:sz w:val="16"/>
          <w:szCs w:val="16"/>
          <w:b w:val="1"/>
          <w:bCs w:val="1"/>
          <w:color w:val="auto"/>
        </w:rPr>
        <w:t>Clawback; Recovery.</w:t>
      </w:r>
    </w:p>
    <w:p>
      <w:pPr>
        <w:spacing w:after="0" w:line="181"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as the Plan Administrator determines necessary or appropriate, including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10" w:name="page11"/>
    <w:bookmarkEnd w:id="10"/>
    <w:p>
      <w:pPr>
        <w:jc w:val="both"/>
        <w:spacing w:after="0" w:line="213" w:lineRule="auto"/>
        <w:rPr>
          <w:sz w:val="20"/>
          <w:szCs w:val="20"/>
          <w:color w:val="auto"/>
        </w:rPr>
      </w:pPr>
      <w:r>
        <w:rPr>
          <w:rFonts w:ascii="Arial" w:cs="Arial" w:eastAsia="Arial" w:hAnsi="Arial"/>
          <w:sz w:val="20"/>
          <w:szCs w:val="20"/>
          <w:color w:val="auto"/>
        </w:rPr>
        <w:t>limited to a reacquisition right in respect of previously acquired shares of common stock of the Company or other cash or property upon the occurrence of a termination of employment for Cause. No recovery of compensation under such a clawback policy will be an event giving rise to a right to resign for Good Reason, constructive termination, or any similar term under any plan of or agreement with the Company Group.</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9.</w:t>
      </w:r>
      <w:r>
        <w:rPr>
          <w:sz w:val="20"/>
          <w:szCs w:val="20"/>
          <w:color w:val="auto"/>
        </w:rPr>
        <w:tab/>
      </w:r>
      <w:r>
        <w:rPr>
          <w:rFonts w:ascii="Arial" w:cs="Arial" w:eastAsia="Arial" w:hAnsi="Arial"/>
          <w:sz w:val="18"/>
          <w:szCs w:val="18"/>
          <w:b w:val="1"/>
          <w:bCs w:val="1"/>
          <w:color w:val="auto"/>
        </w:rPr>
        <w:t>Right to Interpret and Administer Plan; Amendment and Termination.</w:t>
      </w:r>
    </w:p>
    <w:p>
      <w:pPr>
        <w:spacing w:after="0" w:line="175" w:lineRule="exact"/>
        <w:rPr>
          <w:sz w:val="20"/>
          <w:szCs w:val="20"/>
          <w:color w:val="auto"/>
        </w:rPr>
      </w:pPr>
    </w:p>
    <w:p>
      <w:pPr>
        <w:jc w:val="both"/>
        <w:ind w:firstLine="1304"/>
        <w:spacing w:after="0" w:line="227" w:lineRule="auto"/>
        <w:tabs>
          <w:tab w:leader="none" w:pos="193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Interpretation and Administration. </w:t>
      </w:r>
      <w:r>
        <w:rPr>
          <w:rFonts w:ascii="Arial" w:cs="Arial" w:eastAsia="Arial" w:hAnsi="Arial"/>
          <w:sz w:val="18"/>
          <w:szCs w:val="18"/>
          <w:color w:val="auto"/>
        </w:rPr>
        <w:t>Prior to the Closing, the Committee shall be the Plan Administrator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“Committee” or “Plan Administrator” with respect to periods following the Closing shall mean the Representative.</w:t>
      </w:r>
    </w:p>
    <w:p>
      <w:pPr>
        <w:spacing w:after="0" w:line="155" w:lineRule="exact"/>
        <w:rPr>
          <w:rFonts w:ascii="Arial" w:cs="Arial" w:eastAsia="Arial" w:hAnsi="Arial"/>
          <w:sz w:val="18"/>
          <w:szCs w:val="18"/>
          <w:b w:val="1"/>
          <w:bCs w:val="1"/>
          <w:color w:val="auto"/>
        </w:rPr>
      </w:pPr>
    </w:p>
    <w:p>
      <w:pPr>
        <w:jc w:val="both"/>
        <w:ind w:firstLine="1304"/>
        <w:spacing w:after="0" w:line="232" w:lineRule="auto"/>
        <w:tabs>
          <w:tab w:leader="none" w:pos="1943"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The Plan Administrator reserves the right to amend this Plan at any time;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b w:val="1"/>
          <w:bCs w:val="1"/>
          <w:color w:val="auto"/>
        </w:rPr>
        <w:t xml:space="preserve"> </w:t>
      </w:r>
      <w:r>
        <w:rPr>
          <w:rFonts w:ascii="Arial" w:cs="Arial" w:eastAsia="Arial" w:hAnsi="Arial"/>
          <w:sz w:val="19"/>
          <w:szCs w:val="19"/>
          <w:color w:val="auto"/>
        </w:rPr>
        <w:t>that any</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of the Plan will not be effective as to a particular employee who is or may be adversely impacted by such amendment or termination and has an effective Participation Agreement without the written consent of such employee.</w:t>
      </w:r>
    </w:p>
    <w:p>
      <w:pPr>
        <w:spacing w:after="0" w:line="149" w:lineRule="exact"/>
        <w:rPr>
          <w:rFonts w:ascii="Arial" w:cs="Arial" w:eastAsia="Arial" w:hAnsi="Arial"/>
          <w:sz w:val="19"/>
          <w:szCs w:val="19"/>
          <w:b w:val="1"/>
          <w:bCs w:val="1"/>
          <w:color w:val="auto"/>
        </w:rPr>
      </w:pPr>
    </w:p>
    <w:p>
      <w:pPr>
        <w:jc w:val="both"/>
        <w:ind w:firstLine="1304"/>
        <w:spacing w:after="0" w:line="220" w:lineRule="auto"/>
        <w:tabs>
          <w:tab w:leader="none" w:pos="1934"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The Plan will remain in effect until terminated by the Plan Administrator. Any outstanding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 (if any) will remain outstanding following termination of the Plan until satisfied by the Company (or successor to the Company, if applicable).</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10.</w:t>
      </w:r>
      <w:r>
        <w:rPr>
          <w:sz w:val="20"/>
          <w:szCs w:val="20"/>
          <w:color w:val="auto"/>
        </w:rPr>
        <w:tab/>
      </w:r>
      <w:r>
        <w:rPr>
          <w:rFonts w:ascii="Arial" w:cs="Arial" w:eastAsia="Arial" w:hAnsi="Arial"/>
          <w:sz w:val="18"/>
          <w:szCs w:val="18"/>
          <w:b w:val="1"/>
          <w:bCs w:val="1"/>
          <w:color w:val="auto"/>
        </w:rPr>
        <w:t>No Implied Employment Contract.</w:t>
      </w:r>
    </w:p>
    <w:p>
      <w:pPr>
        <w:spacing w:after="0" w:line="181"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The Plan shall not be deemed (i) to give any employee or other person any right to be retained in the employ of the Company Group or (ii) to interfere with the right of the Company Group to discharge any employee or other person at any time, with or without cause, which right is hereby reserved. This Plan does not modify the at-will employment status of any Eligible Employee.</w:t>
      </w:r>
    </w:p>
    <w:p>
      <w:pPr>
        <w:spacing w:after="0" w:line="14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color w:val="auto"/>
        </w:rPr>
        <w:t>Legal Construction.</w:t>
      </w:r>
    </w:p>
    <w:p>
      <w:pPr>
        <w:spacing w:after="0" w:line="18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This Plan is intended to be governed by and shall be construed in accordance with the Employee Retirement Income Security Act of 1974 (“</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and, to the extent not preempted by ERISA, the laws of the State of California.</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6"/>
          <w:szCs w:val="16"/>
          <w:b w:val="1"/>
          <w:bCs w:val="1"/>
          <w:color w:val="auto"/>
        </w:rPr>
        <w:t>Claims, Inquiries and Appeals.</w:t>
      </w:r>
    </w:p>
    <w:p>
      <w:pPr>
        <w:spacing w:after="0" w:line="175" w:lineRule="exact"/>
        <w:rPr>
          <w:sz w:val="20"/>
          <w:szCs w:val="20"/>
          <w:color w:val="auto"/>
        </w:rPr>
      </w:pPr>
    </w:p>
    <w:p>
      <w:pPr>
        <w:jc w:val="both"/>
        <w:ind w:firstLine="1304"/>
        <w:spacing w:after="0" w:line="220" w:lineRule="auto"/>
        <w:tabs>
          <w:tab w:leader="none" w:pos="1932"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Applications for Benefits and Inquiries. </w:t>
      </w:r>
      <w:r>
        <w:rPr>
          <w:rFonts w:ascii="Arial" w:cs="Arial" w:eastAsia="Arial" w:hAnsi="Arial"/>
          <w:sz w:val="20"/>
          <w:szCs w:val="20"/>
          <w:color w:val="auto"/>
        </w:rPr>
        <w:t>Any application for benefits, inquiries about the Plan or inquiries about</w:t>
      </w:r>
      <w:r>
        <w:rPr>
          <w:rFonts w:ascii="Arial" w:cs="Arial" w:eastAsia="Arial" w:hAnsi="Arial"/>
          <w:sz w:val="20"/>
          <w:szCs w:val="20"/>
          <w:b w:val="1"/>
          <w:bCs w:val="1"/>
          <w:color w:val="auto"/>
        </w:rPr>
        <w:t xml:space="preserve"> </w:t>
      </w:r>
      <w:r>
        <w:rPr>
          <w:rFonts w:ascii="Arial" w:cs="Arial" w:eastAsia="Arial" w:hAnsi="Arial"/>
          <w:sz w:val="20"/>
          <w:szCs w:val="20"/>
          <w:color w:val="auto"/>
        </w:rPr>
        <w:t>present or future rights under the Plan must be submitted to the Plan Administrator in writing by an applicant (or his or her authorized representative). The Plan Administrator is: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WM Technology, Inc.</w:t>
      </w:r>
    </w:p>
    <w:p>
      <w:pPr>
        <w:jc w:val="center"/>
        <w:spacing w:after="0" w:line="197" w:lineRule="auto"/>
        <w:rPr>
          <w:sz w:val="20"/>
          <w:szCs w:val="20"/>
          <w:color w:val="auto"/>
        </w:rPr>
      </w:pPr>
      <w:r>
        <w:rPr>
          <w:rFonts w:ascii="Arial" w:cs="Arial" w:eastAsia="Arial" w:hAnsi="Arial"/>
          <w:sz w:val="20"/>
          <w:szCs w:val="20"/>
          <w:color w:val="auto"/>
        </w:rPr>
        <w:t>Compensation Committee of the Board of Directors or Representative</w:t>
      </w:r>
    </w:p>
    <w:p>
      <w:pPr>
        <w:jc w:val="center"/>
        <w:spacing w:after="0" w:line="197" w:lineRule="auto"/>
        <w:rPr>
          <w:sz w:val="20"/>
          <w:szCs w:val="20"/>
          <w:color w:val="auto"/>
        </w:rPr>
      </w:pPr>
      <w:r>
        <w:rPr>
          <w:rFonts w:ascii="Arial" w:cs="Arial" w:eastAsia="Arial" w:hAnsi="Arial"/>
          <w:sz w:val="20"/>
          <w:szCs w:val="20"/>
          <w:color w:val="auto"/>
        </w:rPr>
        <w:t>Attention to: Corporate Secretary</w:t>
      </w:r>
    </w:p>
    <w:p>
      <w:pPr>
        <w:ind w:left="5340" w:hanging="246"/>
        <w:spacing w:after="0" w:line="197" w:lineRule="auto"/>
        <w:tabs>
          <w:tab w:leader="none" w:pos="5340" w:val="left"/>
        </w:tabs>
        <w:numPr>
          <w:ilvl w:val="1"/>
          <w:numId w:val="14"/>
        </w:numPr>
        <w:rPr>
          <w:rFonts w:ascii="Arial" w:cs="Arial" w:eastAsia="Arial" w:hAnsi="Arial"/>
          <w:sz w:val="20"/>
          <w:szCs w:val="20"/>
          <w:color w:val="auto"/>
        </w:rPr>
      </w:pPr>
      <w:r>
        <w:rPr>
          <w:rFonts w:ascii="Arial" w:cs="Arial" w:eastAsia="Arial" w:hAnsi="Arial"/>
          <w:sz w:val="20"/>
          <w:szCs w:val="20"/>
          <w:color w:val="auto"/>
        </w:rPr>
        <w:t>Discovery</w:t>
      </w:r>
    </w:p>
    <w:p>
      <w:pPr>
        <w:ind w:left="4660"/>
        <w:spacing w:after="0"/>
        <w:rPr>
          <w:rFonts w:ascii="Arial" w:cs="Arial" w:eastAsia="Arial" w:hAnsi="Arial"/>
          <w:sz w:val="20"/>
          <w:szCs w:val="20"/>
          <w:color w:val="auto"/>
        </w:rPr>
      </w:pPr>
      <w:r>
        <w:rPr>
          <w:rFonts w:ascii="Arial" w:cs="Arial" w:eastAsia="Arial" w:hAnsi="Arial"/>
          <w:sz w:val="20"/>
          <w:szCs w:val="20"/>
          <w:color w:val="auto"/>
        </w:rPr>
        <w:t>Irvine, California 92618</w:t>
      </w:r>
    </w:p>
    <w:p>
      <w:pPr>
        <w:spacing w:after="0" w:line="180" w:lineRule="exact"/>
        <w:rPr>
          <w:rFonts w:ascii="Arial" w:cs="Arial" w:eastAsia="Arial" w:hAnsi="Arial"/>
          <w:sz w:val="20"/>
          <w:szCs w:val="20"/>
          <w:color w:val="auto"/>
        </w:rPr>
      </w:pPr>
    </w:p>
    <w:p>
      <w:pPr>
        <w:ind w:firstLine="1304"/>
        <w:spacing w:after="0" w:line="232" w:lineRule="auto"/>
        <w:tabs>
          <w:tab w:leader="none" w:pos="1943"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Denial of Claims. </w:t>
      </w:r>
      <w:r>
        <w:rPr>
          <w:rFonts w:ascii="Arial" w:cs="Arial" w:eastAsia="Arial" w:hAnsi="Arial"/>
          <w:sz w:val="20"/>
          <w:szCs w:val="20"/>
          <w:color w:val="auto"/>
        </w:rPr>
        <w:t>In the event that any application for benefits is denied in whole or in part, the Plan Administrator</w:t>
      </w:r>
      <w:r>
        <w:rPr>
          <w:rFonts w:ascii="Arial" w:cs="Arial" w:eastAsia="Arial" w:hAnsi="Arial"/>
          <w:sz w:val="20"/>
          <w:szCs w:val="20"/>
          <w:b w:val="1"/>
          <w:bCs w:val="1"/>
          <w:color w:val="auto"/>
        </w:rPr>
        <w:t xml:space="preserve"> </w:t>
      </w:r>
      <w:r>
        <w:rPr>
          <w:rFonts w:ascii="Arial" w:cs="Arial" w:eastAsia="Arial" w:hAnsi="Arial"/>
          <w:sz w:val="20"/>
          <w:szCs w:val="20"/>
          <w:color w:val="auto"/>
        </w:rPr>
        <w:t>must provide the applicant with written or electronic notice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11" w:name="page12"/>
    <w:bookmarkEnd w:id="11"/>
    <w:p>
      <w:pPr>
        <w:jc w:val="both"/>
        <w:spacing w:after="0" w:line="218" w:lineRule="auto"/>
        <w:rPr>
          <w:sz w:val="20"/>
          <w:szCs w:val="20"/>
          <w:color w:val="auto"/>
        </w:rPr>
      </w:pPr>
      <w:r>
        <w:rPr>
          <w:rFonts w:ascii="Arial" w:cs="Arial" w:eastAsia="Arial" w:hAnsi="Arial"/>
          <w:sz w:val="20"/>
          <w:szCs w:val="20"/>
          <w:color w:val="auto"/>
        </w:rPr>
        <w:t>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156" w:lineRule="exact"/>
        <w:rPr>
          <w:sz w:val="20"/>
          <w:szCs w:val="20"/>
          <w:color w:val="auto"/>
        </w:rPr>
      </w:pPr>
    </w:p>
    <w:p>
      <w:pPr>
        <w:ind w:left="2580" w:hanging="547"/>
        <w:spacing w:after="0"/>
        <w:tabs>
          <w:tab w:leader="none" w:pos="2580"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the specific reason or reasons for the denial;</w:t>
      </w:r>
    </w:p>
    <w:p>
      <w:pPr>
        <w:spacing w:after="0" w:line="175" w:lineRule="exact"/>
        <w:rPr>
          <w:rFonts w:ascii="Arial" w:cs="Arial" w:eastAsia="Arial" w:hAnsi="Arial"/>
          <w:sz w:val="20"/>
          <w:szCs w:val="20"/>
          <w:b w:val="1"/>
          <w:bCs w:val="1"/>
          <w:color w:val="auto"/>
        </w:rPr>
      </w:pPr>
    </w:p>
    <w:p>
      <w:pPr>
        <w:ind w:left="2580" w:hanging="547"/>
        <w:spacing w:after="0"/>
        <w:tabs>
          <w:tab w:leader="none" w:pos="2580"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references to the specific Plan provisions upon which the denial is based;</w:t>
      </w:r>
    </w:p>
    <w:p>
      <w:pPr>
        <w:spacing w:after="0" w:line="175" w:lineRule="exact"/>
        <w:rPr>
          <w:rFonts w:ascii="Arial" w:cs="Arial" w:eastAsia="Arial" w:hAnsi="Arial"/>
          <w:sz w:val="20"/>
          <w:szCs w:val="20"/>
          <w:b w:val="1"/>
          <w:bCs w:val="1"/>
          <w:color w:val="auto"/>
        </w:rPr>
      </w:pPr>
    </w:p>
    <w:p>
      <w:pPr>
        <w:ind w:left="80" w:firstLine="1953"/>
        <w:spacing w:after="0" w:line="229" w:lineRule="auto"/>
        <w:tabs>
          <w:tab w:leader="none" w:pos="2579"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a description of any additional information or material that the Plan Administrator needs to complete the review and an explanation of why such information or material is necessary; and</w:t>
      </w:r>
    </w:p>
    <w:p>
      <w:pPr>
        <w:spacing w:after="0" w:line="155" w:lineRule="exact"/>
        <w:rPr>
          <w:rFonts w:ascii="Arial" w:cs="Arial" w:eastAsia="Arial" w:hAnsi="Arial"/>
          <w:sz w:val="20"/>
          <w:szCs w:val="20"/>
          <w:b w:val="1"/>
          <w:bCs w:val="1"/>
          <w:color w:val="auto"/>
        </w:rPr>
      </w:pPr>
    </w:p>
    <w:p>
      <w:pPr>
        <w:jc w:val="both"/>
        <w:ind w:left="80" w:firstLine="1953"/>
        <w:spacing w:after="0" w:line="218" w:lineRule="auto"/>
        <w:tabs>
          <w:tab w:leader="none" w:pos="2579"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12(d) below.</w:t>
      </w:r>
    </w:p>
    <w:p>
      <w:pPr>
        <w:spacing w:after="0" w:line="15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This notice of denial will be given to the applicant within 90 days after the Plan Administrator receives the application, unless special circumstances require an extension of time, in which case, the Plan Administrator has up to an additional 90 days for processing the application. If an extension of time for processing is required, written notice of the extension will be furnished to the applicant before the end of the initial 90 day period.</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This notice of extension will describe the special circumstances necessitating the additional time and the date by which the Plan Administrator is to render its decision on the application.</w:t>
      </w:r>
    </w:p>
    <w:p>
      <w:pPr>
        <w:spacing w:after="0" w:line="149" w:lineRule="exact"/>
        <w:rPr>
          <w:sz w:val="20"/>
          <w:szCs w:val="20"/>
          <w:color w:val="auto"/>
        </w:rPr>
      </w:pPr>
    </w:p>
    <w:p>
      <w:pPr>
        <w:jc w:val="both"/>
        <w:ind w:right="20" w:firstLine="1304"/>
        <w:spacing w:after="0" w:line="220" w:lineRule="auto"/>
        <w:tabs>
          <w:tab w:leader="none" w:pos="1934"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Request for a Review. </w:t>
      </w:r>
      <w:r>
        <w:rPr>
          <w:rFonts w:ascii="Arial" w:cs="Arial" w:eastAsia="Arial" w:hAnsi="Arial"/>
          <w:sz w:val="20"/>
          <w:szCs w:val="20"/>
          <w:color w:val="auto"/>
        </w:rPr>
        <w:t>Any person (or that person’s authorized representative) for whom an application for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is denied, in whole or in part, may appeal the denial by submitting a request for a review to the Plan Administrator within 60 days after the application is denied. A request for a review shall be in writing and shall be addressed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WM Technology, Inc.</w:t>
      </w:r>
    </w:p>
    <w:p>
      <w:pPr>
        <w:jc w:val="center"/>
        <w:spacing w:after="0" w:line="197" w:lineRule="auto"/>
        <w:rPr>
          <w:sz w:val="20"/>
          <w:szCs w:val="20"/>
          <w:color w:val="auto"/>
        </w:rPr>
      </w:pPr>
      <w:r>
        <w:rPr>
          <w:rFonts w:ascii="Arial" w:cs="Arial" w:eastAsia="Arial" w:hAnsi="Arial"/>
          <w:sz w:val="20"/>
          <w:szCs w:val="20"/>
          <w:color w:val="auto"/>
        </w:rPr>
        <w:t>Compensation Committee of the Board of Directors or Representative</w:t>
      </w:r>
    </w:p>
    <w:p>
      <w:pPr>
        <w:jc w:val="center"/>
        <w:spacing w:after="0" w:line="197" w:lineRule="auto"/>
        <w:rPr>
          <w:sz w:val="20"/>
          <w:szCs w:val="20"/>
          <w:color w:val="auto"/>
        </w:rPr>
      </w:pPr>
      <w:r>
        <w:rPr>
          <w:rFonts w:ascii="Arial" w:cs="Arial" w:eastAsia="Arial" w:hAnsi="Arial"/>
          <w:sz w:val="20"/>
          <w:szCs w:val="20"/>
          <w:color w:val="auto"/>
        </w:rPr>
        <w:t>Attention to: Corporate Secretary</w:t>
      </w:r>
    </w:p>
    <w:p>
      <w:pPr>
        <w:ind w:left="5340" w:hanging="246"/>
        <w:spacing w:after="0" w:line="197" w:lineRule="auto"/>
        <w:tabs>
          <w:tab w:leader="none" w:pos="5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Discovery</w:t>
      </w:r>
    </w:p>
    <w:p>
      <w:pPr>
        <w:ind w:left="4660"/>
        <w:spacing w:after="0"/>
        <w:rPr>
          <w:rFonts w:ascii="Arial" w:cs="Arial" w:eastAsia="Arial" w:hAnsi="Arial"/>
          <w:sz w:val="20"/>
          <w:szCs w:val="20"/>
          <w:color w:val="auto"/>
        </w:rPr>
      </w:pPr>
      <w:r>
        <w:rPr>
          <w:rFonts w:ascii="Arial" w:cs="Arial" w:eastAsia="Arial" w:hAnsi="Arial"/>
          <w:sz w:val="20"/>
          <w:szCs w:val="20"/>
          <w:color w:val="auto"/>
        </w:rPr>
        <w:t>Irvine, California 92618</w:t>
      </w:r>
    </w:p>
    <w:p>
      <w:pPr>
        <w:spacing w:after="0" w:line="186"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150" w:lineRule="exact"/>
        <w:rPr>
          <w:sz w:val="20"/>
          <w:szCs w:val="20"/>
          <w:color w:val="auto"/>
        </w:rPr>
      </w:pPr>
    </w:p>
    <w:p>
      <w:pPr>
        <w:jc w:val="both"/>
        <w:ind w:firstLine="1304"/>
        <w:spacing w:after="0" w:line="206" w:lineRule="auto"/>
        <w:tabs>
          <w:tab w:leader="none" w:pos="1943"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Decision on Review. </w:t>
      </w:r>
      <w:r>
        <w:rPr>
          <w:rFonts w:ascii="Arial" w:cs="Arial" w:eastAsia="Arial" w:hAnsi="Arial"/>
          <w:sz w:val="20"/>
          <w:szCs w:val="20"/>
          <w:color w:val="auto"/>
        </w:rPr>
        <w:t>The Plan Administrator will act on each request for review within 60 days after receipt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unless special circumstances require an extension of time (not to exceed an additional 60 days), for processing the request for a review. If an extension for review is required, written notice of the extension will be furnished to the applicant within the initial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154" w:lineRule="exact"/>
        <w:rPr>
          <w:rFonts w:ascii="Arial" w:cs="Arial" w:eastAsia="Arial" w:hAnsi="Arial"/>
          <w:sz w:val="20"/>
          <w:szCs w:val="20"/>
          <w:b w:val="1"/>
          <w:bCs w:val="1"/>
          <w:color w:val="auto"/>
        </w:rPr>
      </w:pPr>
    </w:p>
    <w:p>
      <w:pPr>
        <w:ind w:left="2580" w:hanging="547"/>
        <w:spacing w:after="0"/>
        <w:tabs>
          <w:tab w:leader="none" w:pos="2580" w:val="left"/>
        </w:tabs>
        <w:numPr>
          <w:ilvl w:val="1"/>
          <w:numId w:val="19"/>
        </w:numPr>
        <w:rPr>
          <w:rFonts w:ascii="Arial" w:cs="Arial" w:eastAsia="Arial" w:hAnsi="Arial"/>
          <w:sz w:val="20"/>
          <w:szCs w:val="20"/>
          <w:b w:val="1"/>
          <w:bCs w:val="1"/>
          <w:color w:val="auto"/>
        </w:rPr>
      </w:pPr>
      <w:r>
        <w:rPr>
          <w:rFonts w:ascii="Arial" w:cs="Arial" w:eastAsia="Arial" w:hAnsi="Arial"/>
          <w:sz w:val="20"/>
          <w:szCs w:val="20"/>
          <w:color w:val="auto"/>
        </w:rPr>
        <w:t>the specific reason or reasons for the denial;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12" w:name="page13"/>
    <w:bookmarkEnd w:id="12"/>
    <w:p>
      <w:pPr>
        <w:ind w:left="2580" w:hanging="547"/>
        <w:spacing w:after="0"/>
        <w:tabs>
          <w:tab w:leader="none" w:pos="2580" w:val="left"/>
        </w:tabs>
        <w:numPr>
          <w:ilvl w:val="1"/>
          <w:numId w:val="20"/>
        </w:numPr>
        <w:rPr>
          <w:rFonts w:ascii="Arial" w:cs="Arial" w:eastAsia="Arial" w:hAnsi="Arial"/>
          <w:sz w:val="20"/>
          <w:szCs w:val="20"/>
          <w:b w:val="1"/>
          <w:bCs w:val="1"/>
          <w:color w:val="auto"/>
        </w:rPr>
      </w:pPr>
      <w:r>
        <w:rPr>
          <w:rFonts w:ascii="Arial" w:cs="Arial" w:eastAsia="Arial" w:hAnsi="Arial"/>
          <w:sz w:val="20"/>
          <w:szCs w:val="20"/>
          <w:color w:val="auto"/>
        </w:rPr>
        <w:t>references to the specific Plan provisions upon which the denial is based;</w:t>
      </w:r>
    </w:p>
    <w:p>
      <w:pPr>
        <w:spacing w:after="0" w:line="175" w:lineRule="exact"/>
        <w:rPr>
          <w:rFonts w:ascii="Arial" w:cs="Arial" w:eastAsia="Arial" w:hAnsi="Arial"/>
          <w:sz w:val="20"/>
          <w:szCs w:val="20"/>
          <w:b w:val="1"/>
          <w:bCs w:val="1"/>
          <w:color w:val="auto"/>
        </w:rPr>
      </w:pPr>
    </w:p>
    <w:p>
      <w:pPr>
        <w:ind w:left="80" w:firstLine="1953"/>
        <w:spacing w:after="0" w:line="229" w:lineRule="auto"/>
        <w:tabs>
          <w:tab w:leader="none" w:pos="2579" w:val="left"/>
        </w:tabs>
        <w:numPr>
          <w:ilvl w:val="1"/>
          <w:numId w:val="20"/>
        </w:numPr>
        <w:rPr>
          <w:rFonts w:ascii="Arial" w:cs="Arial" w:eastAsia="Arial" w:hAnsi="Arial"/>
          <w:sz w:val="20"/>
          <w:szCs w:val="20"/>
          <w:b w:val="1"/>
          <w:bCs w:val="1"/>
          <w:color w:val="auto"/>
        </w:rPr>
      </w:pPr>
      <w:r>
        <w:rPr>
          <w:rFonts w:ascii="Arial" w:cs="Arial" w:eastAsia="Arial" w:hAnsi="Arial"/>
          <w:sz w:val="20"/>
          <w:szCs w:val="20"/>
          <w:color w:val="auto"/>
        </w:rPr>
        <w:t>a statement that the applicant is entitled to receive, upon request and free of charge, reasonable access to, and copies of, all documents, records and other information relevant to his or her claim; and</w:t>
      </w:r>
    </w:p>
    <w:p>
      <w:pPr>
        <w:spacing w:after="0" w:line="155" w:lineRule="exact"/>
        <w:rPr>
          <w:rFonts w:ascii="Arial" w:cs="Arial" w:eastAsia="Arial" w:hAnsi="Arial"/>
          <w:sz w:val="20"/>
          <w:szCs w:val="20"/>
          <w:b w:val="1"/>
          <w:bCs w:val="1"/>
          <w:color w:val="auto"/>
        </w:rPr>
      </w:pPr>
    </w:p>
    <w:p>
      <w:pPr>
        <w:ind w:left="2580" w:hanging="547"/>
        <w:spacing w:after="0"/>
        <w:tabs>
          <w:tab w:leader="none" w:pos="2580" w:val="left"/>
        </w:tabs>
        <w:numPr>
          <w:ilvl w:val="1"/>
          <w:numId w:val="20"/>
        </w:numPr>
        <w:rPr>
          <w:rFonts w:ascii="Arial" w:cs="Arial" w:eastAsia="Arial" w:hAnsi="Arial"/>
          <w:sz w:val="20"/>
          <w:szCs w:val="20"/>
          <w:b w:val="1"/>
          <w:bCs w:val="1"/>
          <w:color w:val="auto"/>
        </w:rPr>
      </w:pPr>
      <w:r>
        <w:rPr>
          <w:rFonts w:ascii="Arial" w:cs="Arial" w:eastAsia="Arial" w:hAnsi="Arial"/>
          <w:sz w:val="20"/>
          <w:szCs w:val="20"/>
          <w:color w:val="auto"/>
        </w:rPr>
        <w:t>a statement of the applicant’s right to bring a civil action under Section 502(a) of ERISA.</w:t>
      </w:r>
    </w:p>
    <w:p>
      <w:pPr>
        <w:spacing w:after="0" w:line="169" w:lineRule="exact"/>
        <w:rPr>
          <w:rFonts w:ascii="Arial" w:cs="Arial" w:eastAsia="Arial" w:hAnsi="Arial"/>
          <w:sz w:val="20"/>
          <w:szCs w:val="20"/>
          <w:b w:val="1"/>
          <w:bCs w:val="1"/>
          <w:color w:val="auto"/>
        </w:rPr>
      </w:pPr>
    </w:p>
    <w:p>
      <w:pPr>
        <w:jc w:val="both"/>
        <w:ind w:firstLine="1304"/>
        <w:spacing w:after="0" w:line="214" w:lineRule="auto"/>
        <w:tabs>
          <w:tab w:leader="none" w:pos="1934"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Rules and Procedures. </w:t>
      </w:r>
      <w:r>
        <w:rPr>
          <w:rFonts w:ascii="Arial" w:cs="Arial" w:eastAsia="Arial" w:hAnsi="Arial"/>
          <w:sz w:val="20"/>
          <w:szCs w:val="20"/>
          <w:color w:val="auto"/>
        </w:rPr>
        <w:t>The Plan Administrator will establish rules and procedures, consistent with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with ERISA, as 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151" w:lineRule="exact"/>
        <w:rPr>
          <w:rFonts w:ascii="Arial" w:cs="Arial" w:eastAsia="Arial" w:hAnsi="Arial"/>
          <w:sz w:val="20"/>
          <w:szCs w:val="20"/>
          <w:b w:val="1"/>
          <w:bCs w:val="1"/>
          <w:color w:val="auto"/>
        </w:rPr>
      </w:pPr>
    </w:p>
    <w:p>
      <w:pPr>
        <w:jc w:val="both"/>
        <w:ind w:firstLine="1304"/>
        <w:spacing w:after="0" w:line="232" w:lineRule="auto"/>
        <w:tabs>
          <w:tab w:leader="none" w:pos="1939"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Exhaustion of Remedies. </w:t>
      </w:r>
      <w:r>
        <w:rPr>
          <w:rFonts w:ascii="Arial" w:cs="Arial" w:eastAsia="Arial" w:hAnsi="Arial"/>
          <w:sz w:val="18"/>
          <w:szCs w:val="18"/>
          <w:color w:val="auto"/>
        </w:rPr>
        <w:t>No legal action for benefits under the Plan may be brought until the applicant (i) has</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a written application for benefits in accordance with the procedures described by Section 12(a) above, (ii) has been notified by the Plan Administrator that the application is denied, (iii) has filed a written request for a review of the application in accordance with the appeal procedure described in Section 12(c) above, and (iv) has been notified that the Plan Administrator has denied the appeal. Notwithstanding the foregoing, if the Plan Administrator does not respond to an Eligible Employee’s claim or appeal within the relevant time limits specified in this Section 12, the Eligible Employee may bring legal action for benefits under the Plan pursuant to Section 502(a) of ERISA.</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color w:val="auto"/>
        </w:rPr>
        <w:t>Basis of Payments to and from Plan.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Plan shall be unfunded, and all cash payments under the Plan shall be paid only from the general assets of the Company.</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8"/>
          <w:szCs w:val="18"/>
          <w:b w:val="1"/>
          <w:bCs w:val="1"/>
          <w:color w:val="auto"/>
        </w:rPr>
        <w:t>Other Plan Information.</w:t>
      </w:r>
    </w:p>
    <w:p>
      <w:pPr>
        <w:spacing w:after="0" w:line="175" w:lineRule="exact"/>
        <w:rPr>
          <w:sz w:val="20"/>
          <w:szCs w:val="20"/>
          <w:color w:val="auto"/>
        </w:rPr>
      </w:pPr>
    </w:p>
    <w:p>
      <w:pPr>
        <w:jc w:val="both"/>
        <w:ind w:firstLine="1304"/>
        <w:spacing w:after="0" w:line="220" w:lineRule="auto"/>
        <w:tabs>
          <w:tab w:leader="none" w:pos="1932"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Employer and Plan Identification Numbers. </w:t>
      </w:r>
      <w:r>
        <w:rPr>
          <w:rFonts w:ascii="Arial" w:cs="Arial" w:eastAsia="Arial" w:hAnsi="Arial"/>
          <w:sz w:val="20"/>
          <w:szCs w:val="20"/>
          <w:color w:val="auto"/>
        </w:rPr>
        <w:t>The Employer Identification Number assigned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the “Plan Sponsor” as that term is used in ERISA) by the Internal Revenue Service is 98-1605615. The Plan Number assigned to the Plan by the Plan Sponsor pursuant to the instructions of the Internal Revenue Service is 601.</w:t>
      </w:r>
    </w:p>
    <w:p>
      <w:pPr>
        <w:spacing w:after="0" w:line="150" w:lineRule="exact"/>
        <w:rPr>
          <w:rFonts w:ascii="Arial" w:cs="Arial" w:eastAsia="Arial" w:hAnsi="Arial"/>
          <w:sz w:val="20"/>
          <w:szCs w:val="20"/>
          <w:b w:val="1"/>
          <w:bCs w:val="1"/>
          <w:color w:val="auto"/>
        </w:rPr>
      </w:pPr>
    </w:p>
    <w:p>
      <w:pPr>
        <w:ind w:left="1960" w:hanging="656"/>
        <w:spacing w:after="0"/>
        <w:tabs>
          <w:tab w:leader="none" w:pos="1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Ending Date for Plan’s Fiscal Year. </w:t>
      </w:r>
      <w:r>
        <w:rPr>
          <w:rFonts w:ascii="Arial" w:cs="Arial" w:eastAsia="Arial" w:hAnsi="Arial"/>
          <w:sz w:val="18"/>
          <w:szCs w:val="18"/>
          <w:color w:val="auto"/>
        </w:rPr>
        <w:t>The date of the end of the fiscal year for the purpose of maintaining the Plan’s</w:t>
      </w:r>
    </w:p>
    <w:p>
      <w:pPr>
        <w:spacing w:after="0" w:line="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records is December 31.</w:t>
      </w:r>
    </w:p>
    <w:p>
      <w:pPr>
        <w:spacing w:after="0" w:line="153"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Service of Legal Process. </w:t>
      </w:r>
      <w:r>
        <w:rPr>
          <w:rFonts w:ascii="Arial" w:cs="Arial" w:eastAsia="Arial" w:hAnsi="Arial"/>
          <w:sz w:val="18"/>
          <w:szCs w:val="18"/>
          <w:color w:val="auto"/>
        </w:rPr>
        <w:t>The agent for the service of legal process with respect to the Plan 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WM Technology, Inc.</w:t>
      </w:r>
    </w:p>
    <w:p>
      <w:pPr>
        <w:jc w:val="center"/>
        <w:spacing w:after="0" w:line="197" w:lineRule="auto"/>
        <w:rPr>
          <w:sz w:val="20"/>
          <w:szCs w:val="20"/>
          <w:color w:val="auto"/>
        </w:rPr>
      </w:pPr>
      <w:r>
        <w:rPr>
          <w:rFonts w:ascii="Arial" w:cs="Arial" w:eastAsia="Arial" w:hAnsi="Arial"/>
          <w:sz w:val="20"/>
          <w:szCs w:val="20"/>
          <w:color w:val="auto"/>
        </w:rPr>
        <w:t>Attention to: Corporate Secretary</w:t>
      </w:r>
    </w:p>
    <w:p>
      <w:pPr>
        <w:ind w:left="5340" w:hanging="246"/>
        <w:spacing w:after="0" w:line="197" w:lineRule="auto"/>
        <w:tabs>
          <w:tab w:leader="none" w:pos="53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Discovery</w:t>
      </w:r>
    </w:p>
    <w:p>
      <w:pPr>
        <w:ind w:left="4660"/>
        <w:spacing w:after="0"/>
        <w:rPr>
          <w:rFonts w:ascii="Arial" w:cs="Arial" w:eastAsia="Arial" w:hAnsi="Arial"/>
          <w:sz w:val="20"/>
          <w:szCs w:val="20"/>
          <w:color w:val="auto"/>
        </w:rPr>
      </w:pPr>
      <w:r>
        <w:rPr>
          <w:rFonts w:ascii="Arial" w:cs="Arial" w:eastAsia="Arial" w:hAnsi="Arial"/>
          <w:sz w:val="20"/>
          <w:szCs w:val="20"/>
          <w:color w:val="auto"/>
        </w:rPr>
        <w:t>Irvine, California 92618</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In addition, service of legal process may be made upon the Plan Administrator.</w:t>
      </w:r>
    </w:p>
    <w:p>
      <w:pPr>
        <w:spacing w:after="0" w:line="169" w:lineRule="exact"/>
        <w:rPr>
          <w:sz w:val="20"/>
          <w:szCs w:val="20"/>
          <w:color w:val="auto"/>
        </w:rPr>
      </w:pPr>
    </w:p>
    <w:p>
      <w:pPr>
        <w:ind w:left="1960" w:hanging="656"/>
        <w:spacing w:after="0"/>
        <w:tabs>
          <w:tab w:leader="none" w:pos="19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Plan Sponsor. </w:t>
      </w:r>
      <w:r>
        <w:rPr>
          <w:rFonts w:ascii="Arial" w:cs="Arial" w:eastAsia="Arial" w:hAnsi="Arial"/>
          <w:sz w:val="20"/>
          <w:szCs w:val="20"/>
          <w:color w:val="auto"/>
        </w:rPr>
        <w:t>The “Plan Sponsor” is: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WM Technology, Inc.</w:t>
      </w:r>
    </w:p>
    <w:p>
      <w:pPr>
        <w:ind w:left="5340" w:hanging="246"/>
        <w:spacing w:after="0" w:line="197" w:lineRule="auto"/>
        <w:tabs>
          <w:tab w:leader="none" w:pos="5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Discovery</w:t>
      </w:r>
    </w:p>
    <w:p>
      <w:pPr>
        <w:ind w:left="4660"/>
        <w:spacing w:after="0" w:line="197" w:lineRule="auto"/>
        <w:rPr>
          <w:rFonts w:ascii="Arial" w:cs="Arial" w:eastAsia="Arial" w:hAnsi="Arial"/>
          <w:sz w:val="20"/>
          <w:szCs w:val="20"/>
          <w:color w:val="auto"/>
        </w:rPr>
      </w:pPr>
      <w:r>
        <w:rPr>
          <w:rFonts w:ascii="Arial" w:cs="Arial" w:eastAsia="Arial" w:hAnsi="Arial"/>
          <w:sz w:val="20"/>
          <w:szCs w:val="20"/>
          <w:color w:val="auto"/>
        </w:rPr>
        <w:t>Irvine, California 92618</w:t>
      </w:r>
    </w:p>
    <w:p>
      <w:pPr>
        <w:ind w:left="5000"/>
        <w:spacing w:after="0"/>
        <w:rPr>
          <w:rFonts w:ascii="Arial" w:cs="Arial" w:eastAsia="Arial" w:hAnsi="Arial"/>
          <w:sz w:val="20"/>
          <w:szCs w:val="20"/>
          <w:color w:val="auto"/>
        </w:rPr>
      </w:pPr>
      <w:r>
        <w:rPr>
          <w:rFonts w:ascii="Arial" w:cs="Arial" w:eastAsia="Arial" w:hAnsi="Arial"/>
          <w:sz w:val="20"/>
          <w:szCs w:val="20"/>
          <w:color w:val="auto"/>
        </w:rPr>
        <w:t>(949) 608-4895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5" w:right="339" w:bottom="1440" w:gutter="0" w:footer="0" w:header="0"/>
        </w:sectPr>
      </w:pPr>
    </w:p>
    <w:bookmarkStart w:id="13" w:name="page14"/>
    <w:bookmarkEnd w:id="13"/>
    <w:p>
      <w:pPr>
        <w:ind w:firstLine="1304"/>
        <w:spacing w:after="0" w:line="232" w:lineRule="auto"/>
        <w:tabs>
          <w:tab w:leader="none" w:pos="1934"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Plan Administrator. </w:t>
      </w:r>
      <w:r>
        <w:rPr>
          <w:rFonts w:ascii="Arial" w:cs="Arial" w:eastAsia="Arial" w:hAnsi="Arial"/>
          <w:sz w:val="20"/>
          <w:szCs w:val="20"/>
          <w:color w:val="auto"/>
        </w:rPr>
        <w:t>The Plan Administrator is the Committee prior to the Closing and the Representative upon and</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Closing. The Plan Administrator’s contact information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WM Technology, Inc.</w:t>
      </w:r>
    </w:p>
    <w:p>
      <w:pPr>
        <w:jc w:val="center"/>
        <w:spacing w:after="0" w:line="197" w:lineRule="auto"/>
        <w:rPr>
          <w:sz w:val="20"/>
          <w:szCs w:val="20"/>
          <w:color w:val="auto"/>
        </w:rPr>
      </w:pPr>
      <w:r>
        <w:rPr>
          <w:rFonts w:ascii="Arial" w:cs="Arial" w:eastAsia="Arial" w:hAnsi="Arial"/>
          <w:sz w:val="20"/>
          <w:szCs w:val="20"/>
          <w:color w:val="auto"/>
        </w:rPr>
        <w:t>Compensation Committee of the Board of Directors or Representative</w:t>
      </w:r>
    </w:p>
    <w:p>
      <w:pPr>
        <w:ind w:left="5340" w:hanging="246"/>
        <w:spacing w:after="0" w:line="197" w:lineRule="auto"/>
        <w:tabs>
          <w:tab w:leader="none" w:pos="53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Discovery</w:t>
      </w:r>
    </w:p>
    <w:p>
      <w:pPr>
        <w:ind w:left="4660"/>
        <w:spacing w:after="0"/>
        <w:rPr>
          <w:rFonts w:ascii="Arial" w:cs="Arial" w:eastAsia="Arial" w:hAnsi="Arial"/>
          <w:sz w:val="20"/>
          <w:szCs w:val="20"/>
          <w:color w:val="auto"/>
        </w:rPr>
      </w:pPr>
      <w:r>
        <w:rPr>
          <w:rFonts w:ascii="Arial" w:cs="Arial" w:eastAsia="Arial" w:hAnsi="Arial"/>
          <w:sz w:val="20"/>
          <w:szCs w:val="20"/>
          <w:color w:val="auto"/>
        </w:rPr>
        <w:t>Irvine, California 92618</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Plan Administrator is the named fiduciary charged with the responsibility for administering the Plan.</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8"/>
          <w:szCs w:val="18"/>
          <w:b w:val="1"/>
          <w:bCs w:val="1"/>
          <w:color w:val="auto"/>
        </w:rPr>
        <w:t>Statement of ERISA Rights.</w:t>
      </w:r>
    </w:p>
    <w:p>
      <w:pPr>
        <w:spacing w:after="0" w:line="181" w:lineRule="exact"/>
        <w:rPr>
          <w:sz w:val="20"/>
          <w:szCs w:val="20"/>
          <w:color w:val="auto"/>
        </w:rPr>
      </w:pPr>
    </w:p>
    <w:p>
      <w:pPr>
        <w:jc w:val="both"/>
        <w:ind w:firstLine="1219"/>
        <w:spacing w:after="0" w:line="218" w:lineRule="auto"/>
        <w:rPr>
          <w:sz w:val="20"/>
          <w:szCs w:val="20"/>
          <w:color w:val="auto"/>
        </w:rPr>
      </w:pPr>
      <w:r>
        <w:rPr>
          <w:rFonts w:ascii="Arial" w:cs="Arial" w:eastAsia="Arial" w:hAnsi="Arial"/>
          <w:sz w:val="20"/>
          <w:szCs w:val="20"/>
          <w:color w:val="auto"/>
        </w:rPr>
        <w:t>Participants in this Plan (which is a welfare benefit plan sponsored by WM Technology, Inc.) are entitled to certain rights and protections under ERISA. If you are an Eligible Employee, you are considered a participant in the Plan and, under ERISA, you are entitled to:</w:t>
      </w:r>
    </w:p>
    <w:p>
      <w:pPr>
        <w:spacing w:after="0" w:line="150" w:lineRule="exact"/>
        <w:rPr>
          <w:sz w:val="20"/>
          <w:szCs w:val="20"/>
          <w:color w:val="auto"/>
        </w:rPr>
      </w:pPr>
    </w:p>
    <w:p>
      <w:pPr>
        <w:ind w:left="1940" w:hanging="636"/>
        <w:spacing w:after="0"/>
        <w:tabs>
          <w:tab w:leader="none" w:pos="19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Receive Information About Your Plan and Benefits</w:t>
      </w:r>
    </w:p>
    <w:p>
      <w:pPr>
        <w:spacing w:after="0" w:line="181" w:lineRule="exact"/>
        <w:rPr>
          <w:rFonts w:ascii="Arial" w:cs="Arial" w:eastAsia="Arial" w:hAnsi="Arial"/>
          <w:sz w:val="20"/>
          <w:szCs w:val="20"/>
          <w:b w:val="1"/>
          <w:bCs w:val="1"/>
          <w:color w:val="auto"/>
        </w:rPr>
      </w:pPr>
    </w:p>
    <w:p>
      <w:pPr>
        <w:jc w:val="both"/>
        <w:ind w:left="80" w:firstLine="1953"/>
        <w:spacing w:after="0" w:line="230" w:lineRule="auto"/>
        <w:tabs>
          <w:tab w:leader="none" w:pos="2579" w:val="left"/>
        </w:tabs>
        <w:numPr>
          <w:ilvl w:val="1"/>
          <w:numId w:val="28"/>
        </w:numPr>
        <w:rPr>
          <w:rFonts w:ascii="Arial" w:cs="Arial" w:eastAsia="Arial" w:hAnsi="Arial"/>
          <w:sz w:val="19"/>
          <w:szCs w:val="19"/>
          <w:b w:val="1"/>
          <w:bCs w:val="1"/>
          <w:color w:val="auto"/>
        </w:rPr>
      </w:pPr>
      <w:r>
        <w:rPr>
          <w:rFonts w:ascii="Arial" w:cs="Arial" w:eastAsia="Arial" w:hAnsi="Arial"/>
          <w:sz w:val="19"/>
          <w:szCs w:val="19"/>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154" w:lineRule="exact"/>
        <w:rPr>
          <w:rFonts w:ascii="Arial" w:cs="Arial" w:eastAsia="Arial" w:hAnsi="Arial"/>
          <w:sz w:val="19"/>
          <w:szCs w:val="19"/>
          <w:b w:val="1"/>
          <w:bCs w:val="1"/>
          <w:color w:val="auto"/>
        </w:rPr>
      </w:pPr>
    </w:p>
    <w:p>
      <w:pPr>
        <w:jc w:val="both"/>
        <w:ind w:left="80" w:firstLine="1953"/>
        <w:spacing w:after="0" w:line="218" w:lineRule="auto"/>
        <w:tabs>
          <w:tab w:leader="none" w:pos="2579" w:val="left"/>
        </w:tabs>
        <w:numPr>
          <w:ilvl w:val="1"/>
          <w:numId w:val="28"/>
        </w:numPr>
        <w:rPr>
          <w:rFonts w:ascii="Arial" w:cs="Arial" w:eastAsia="Arial" w:hAnsi="Arial"/>
          <w:sz w:val="20"/>
          <w:szCs w:val="20"/>
          <w:b w:val="1"/>
          <w:bCs w:val="1"/>
          <w:color w:val="auto"/>
        </w:rPr>
      </w:pPr>
      <w:r>
        <w:rPr>
          <w:rFonts w:ascii="Arial" w:cs="Arial" w:eastAsia="Arial" w:hAnsi="Arial"/>
          <w:sz w:val="20"/>
          <w:szCs w:val="20"/>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156" w:lineRule="exact"/>
        <w:rPr>
          <w:rFonts w:ascii="Arial" w:cs="Arial" w:eastAsia="Arial" w:hAnsi="Arial"/>
          <w:sz w:val="20"/>
          <w:szCs w:val="20"/>
          <w:b w:val="1"/>
          <w:bCs w:val="1"/>
          <w:color w:val="auto"/>
        </w:rPr>
      </w:pPr>
    </w:p>
    <w:p>
      <w:pPr>
        <w:ind w:left="80" w:right="20" w:firstLine="1953"/>
        <w:spacing w:after="0" w:line="229" w:lineRule="auto"/>
        <w:tabs>
          <w:tab w:leader="none" w:pos="2579" w:val="left"/>
        </w:tabs>
        <w:numPr>
          <w:ilvl w:val="1"/>
          <w:numId w:val="28"/>
        </w:numPr>
        <w:rPr>
          <w:rFonts w:ascii="Arial" w:cs="Arial" w:eastAsia="Arial" w:hAnsi="Arial"/>
          <w:sz w:val="20"/>
          <w:szCs w:val="20"/>
          <w:b w:val="1"/>
          <w:bCs w:val="1"/>
          <w:color w:val="auto"/>
        </w:rPr>
      </w:pPr>
      <w:r>
        <w:rPr>
          <w:rFonts w:ascii="Arial" w:cs="Arial" w:eastAsia="Arial" w:hAnsi="Arial"/>
          <w:sz w:val="20"/>
          <w:szCs w:val="20"/>
          <w:color w:val="auto"/>
        </w:rPr>
        <w:t>Receive a summary of the Plan’s annual financial report, if applicable. The Plan Administrator is required by law to furnish each Eligible Employee with a copy of this summary annual report.</w:t>
      </w:r>
    </w:p>
    <w:p>
      <w:pPr>
        <w:spacing w:after="0" w:line="149" w:lineRule="exact"/>
        <w:rPr>
          <w:rFonts w:ascii="Arial" w:cs="Arial" w:eastAsia="Arial" w:hAnsi="Arial"/>
          <w:sz w:val="20"/>
          <w:szCs w:val="20"/>
          <w:b w:val="1"/>
          <w:bCs w:val="1"/>
          <w:color w:val="auto"/>
        </w:rPr>
      </w:pPr>
    </w:p>
    <w:p>
      <w:pPr>
        <w:jc w:val="both"/>
        <w:ind w:firstLine="1304"/>
        <w:spacing w:after="0" w:line="211" w:lineRule="auto"/>
        <w:tabs>
          <w:tab w:leader="none" w:pos="1943"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Prudent Actions by Plan Fiduciaries. </w:t>
      </w:r>
      <w:r>
        <w:rPr>
          <w:rFonts w:ascii="Arial" w:cs="Arial" w:eastAsia="Arial" w:hAnsi="Arial"/>
          <w:sz w:val="20"/>
          <w:szCs w:val="20"/>
          <w:color w:val="auto"/>
        </w:rPr>
        <w:t>In addition to creating rights for Plan Eligible Employees, ERISA imposes</w:t>
      </w:r>
      <w:r>
        <w:rPr>
          <w:rFonts w:ascii="Arial" w:cs="Arial" w:eastAsia="Arial" w:hAnsi="Arial"/>
          <w:sz w:val="20"/>
          <w:szCs w:val="20"/>
          <w:b w:val="1"/>
          <w:bCs w:val="1"/>
          <w:color w:val="auto"/>
        </w:rPr>
        <w:t xml:space="preserve"> </w:t>
      </w:r>
      <w:r>
        <w:rPr>
          <w:rFonts w:ascii="Arial" w:cs="Arial" w:eastAsia="Arial" w:hAnsi="Arial"/>
          <w:sz w:val="20"/>
          <w:szCs w:val="20"/>
          <w:color w:val="auto"/>
        </w:rPr>
        <w:t>duties upon the 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 ERISA.</w:t>
      </w:r>
    </w:p>
    <w:p>
      <w:pPr>
        <w:spacing w:after="0" w:line="150" w:lineRule="exact"/>
        <w:rPr>
          <w:rFonts w:ascii="Arial" w:cs="Arial" w:eastAsia="Arial" w:hAnsi="Arial"/>
          <w:sz w:val="20"/>
          <w:szCs w:val="20"/>
          <w:b w:val="1"/>
          <w:bCs w:val="1"/>
          <w:color w:val="auto"/>
        </w:rPr>
      </w:pPr>
    </w:p>
    <w:p>
      <w:pPr>
        <w:jc w:val="both"/>
        <w:ind w:firstLine="1304"/>
        <w:spacing w:after="0" w:line="220" w:lineRule="auto"/>
        <w:tabs>
          <w:tab w:leader="none" w:pos="1934"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Enforce Your Rights. </w:t>
      </w:r>
      <w:r>
        <w:rPr>
          <w:rFonts w:ascii="Arial" w:cs="Arial" w:eastAsia="Arial" w:hAnsi="Arial"/>
          <w:sz w:val="20"/>
          <w:szCs w:val="20"/>
          <w:color w:val="auto"/>
        </w:rPr>
        <w:t>If your claim for a Plan benefit is denied or ignored, in whole or in part, you have a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know why this was done, to obtain copies of documents relating to the decision without charge, and to appeal any denial, all within certain time schedules.</w:t>
      </w:r>
    </w:p>
    <w:p>
      <w:pPr>
        <w:spacing w:after="0" w:line="157" w:lineRule="exact"/>
        <w:rPr>
          <w:sz w:val="20"/>
          <w:szCs w:val="20"/>
          <w:color w:val="auto"/>
        </w:rPr>
      </w:pPr>
    </w:p>
    <w:p>
      <w:pPr>
        <w:jc w:val="both"/>
        <w:ind w:firstLine="1944"/>
        <w:spacing w:after="0" w:line="224" w:lineRule="auto"/>
        <w:rPr>
          <w:sz w:val="20"/>
          <w:szCs w:val="20"/>
          <w:color w:val="auto"/>
        </w:rPr>
      </w:pPr>
      <w:r>
        <w:rPr>
          <w:rFonts w:ascii="Arial" w:cs="Arial" w:eastAsia="Arial" w:hAnsi="Arial"/>
          <w:sz w:val="19"/>
          <w:szCs w:val="19"/>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If you have a claim for benefits which is denied or ignored, in whole or in part, you may file suit in a state or Federal</w:t>
      </w:r>
    </w:p>
    <w:p>
      <w:pPr>
        <w:spacing w:after="0"/>
        <w:rPr>
          <w:sz w:val="20"/>
          <w:szCs w:val="20"/>
          <w:color w:val="auto"/>
        </w:rPr>
      </w:pPr>
      <w:r>
        <w:rPr>
          <w:rFonts w:ascii="Arial" w:cs="Arial" w:eastAsia="Arial" w:hAnsi="Arial"/>
          <w:sz w:val="20"/>
          <w:szCs w:val="20"/>
          <w:color w:val="auto"/>
        </w:rPr>
        <w:t>court.</w:t>
      </w:r>
    </w:p>
    <w:p>
      <w:pPr>
        <w:spacing w:after="0" w:line="159" w:lineRule="exact"/>
        <w:rPr>
          <w:sz w:val="20"/>
          <w:szCs w:val="20"/>
          <w:color w:val="auto"/>
        </w:rPr>
      </w:pPr>
    </w:p>
    <w:p>
      <w:pPr>
        <w:jc w:val="both"/>
        <w:ind w:right="20" w:firstLine="1944"/>
        <w:spacing w:after="0" w:line="218" w:lineRule="auto"/>
        <w:rPr>
          <w:sz w:val="20"/>
          <w:szCs w:val="20"/>
          <w:color w:val="auto"/>
        </w:rPr>
      </w:pPr>
      <w:r>
        <w:rPr>
          <w:rFonts w:ascii="Arial" w:cs="Arial" w:eastAsia="Arial" w:hAnsi="Arial"/>
          <w:sz w:val="20"/>
          <w:szCs w:val="20"/>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39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to pay these costs and fees. If you lose, the court may order you to pay these costs and fees, for example, if it finds your claim is frivolous.</w:t>
      </w:r>
    </w:p>
    <w:p>
      <w:pPr>
        <w:spacing w:after="0" w:line="192" w:lineRule="exact"/>
        <w:rPr>
          <w:sz w:val="20"/>
          <w:szCs w:val="20"/>
          <w:color w:val="auto"/>
        </w:rPr>
      </w:pPr>
    </w:p>
    <w:p>
      <w:pPr>
        <w:jc w:val="both"/>
        <w:ind w:firstLine="1304"/>
        <w:spacing w:after="0" w:line="207" w:lineRule="auto"/>
        <w:tabs>
          <w:tab w:leader="none" w:pos="1943"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Assistance with Your Questions. </w:t>
      </w:r>
      <w:r>
        <w:rPr>
          <w:rFonts w:ascii="Arial" w:cs="Arial" w:eastAsia="Arial" w:hAnsi="Arial"/>
          <w:sz w:val="20"/>
          <w:szCs w:val="20"/>
          <w:color w:val="auto"/>
        </w:rPr>
        <w:t>If you have any questions about the Plan, you should contact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0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Appendix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Participation Agreement</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Name:</w:t>
        <w:tab/>
        <w:t>___________________</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8"/>
          <w:szCs w:val="18"/>
          <w:b w:val="1"/>
          <w:bCs w:val="1"/>
          <w:color w:val="auto"/>
        </w:rPr>
        <w:t>Eligibility.</w:t>
      </w:r>
    </w:p>
    <w:p>
      <w:pPr>
        <w:spacing w:after="0" w:line="18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You have been designated as eligible to participate in the WM Technology, Inc. Severance and Change in Control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 copy of which is attached to this Participation Agreement (the “</w:t>
      </w:r>
      <w:r>
        <w:rPr>
          <w:rFonts w:ascii="Arial" w:cs="Arial" w:eastAsia="Arial" w:hAnsi="Arial"/>
          <w:sz w:val="19"/>
          <w:szCs w:val="19"/>
          <w:b w:val="1"/>
          <w:bCs w:val="1"/>
          <w:i w:val="1"/>
          <w:iCs w:val="1"/>
          <w:color w:val="auto"/>
        </w:rPr>
        <w:t>Participation Agreement</w:t>
      </w:r>
      <w:r>
        <w:rPr>
          <w:rFonts w:ascii="Arial" w:cs="Arial" w:eastAsia="Arial" w:hAnsi="Arial"/>
          <w:sz w:val="19"/>
          <w:szCs w:val="19"/>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including, without limitation, executing the required Release within the applicable time period set forth therein and allowing such Release to become effective in accordance with its terms. Notwithstanding the schedule for provision of benefits as set forth below, the schedule and timing of payment of any benefits under this Participant Agreement is subject to any delay in payment that may be required under Section 5 of the Plan.</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6"/>
          <w:szCs w:val="16"/>
          <w:b w:val="1"/>
          <w:bCs w:val="1"/>
          <w:color w:val="auto"/>
        </w:rPr>
        <w:t>Change in Control Severance Benefits.</w:t>
      </w:r>
    </w:p>
    <w:p>
      <w:pPr>
        <w:spacing w:after="0" w:line="181"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18"/>
          <w:szCs w:val="18"/>
          <w:color w:val="auto"/>
        </w:rPr>
        <w:t>If you are terminated in a Covered Termination that occurs during the Change in Control Period, you will receive the severance benefits set forth in this Section 2. All severance benefits described herein are subject to standard deductions and withholdings.</w:t>
      </w:r>
    </w:p>
    <w:p>
      <w:pPr>
        <w:spacing w:after="0" w:line="124"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20"/>
          <w:szCs w:val="20"/>
          <w:b w:val="1"/>
          <w:bCs w:val="1"/>
          <w:color w:val="auto"/>
        </w:rPr>
        <w:t>(a) Base Salary</w:t>
      </w:r>
      <w:r>
        <w:rPr>
          <w:rFonts w:ascii="Arial" w:cs="Arial" w:eastAsia="Arial" w:hAnsi="Arial"/>
          <w:sz w:val="20"/>
          <w:szCs w:val="20"/>
          <w:color w:val="auto"/>
        </w:rPr>
        <w:t>. You shall receive a cash payment in an amount equal to [ ] months (the “</w:t>
      </w:r>
      <w:r>
        <w:rPr>
          <w:rFonts w:ascii="Arial" w:cs="Arial" w:eastAsia="Arial" w:hAnsi="Arial"/>
          <w:sz w:val="20"/>
          <w:szCs w:val="20"/>
          <w:b w:val="1"/>
          <w:bCs w:val="1"/>
          <w:i w:val="1"/>
          <w:iCs w:val="1"/>
          <w:color w:val="auto"/>
        </w:rPr>
        <w:t>Severance Period</w:t>
      </w:r>
      <w:r>
        <w:rPr>
          <w:rFonts w:ascii="Arial" w:cs="Arial" w:eastAsia="Arial" w:hAnsi="Arial"/>
          <w:sz w:val="20"/>
          <w:szCs w:val="20"/>
          <w:color w:val="auto"/>
        </w:rPr>
        <w:t>”) of</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your Base Salary. The Base Salary payment will be paid to you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152" w:lineRule="exact"/>
        <w:rPr>
          <w:sz w:val="20"/>
          <w:szCs w:val="20"/>
          <w:color w:val="auto"/>
        </w:rPr>
      </w:pPr>
    </w:p>
    <w:p>
      <w:pPr>
        <w:jc w:val="both"/>
        <w:ind w:firstLine="1304"/>
        <w:spacing w:after="0" w:line="228" w:lineRule="auto"/>
        <w:tabs>
          <w:tab w:leader="none" w:pos="1943"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Target Bonus Payment</w:t>
      </w:r>
      <w:r>
        <w:rPr>
          <w:rFonts w:ascii="Arial" w:cs="Arial" w:eastAsia="Arial" w:hAnsi="Arial"/>
          <w:sz w:val="18"/>
          <w:szCs w:val="18"/>
          <w:color w:val="auto"/>
        </w:rPr>
        <w:t>. You will be entitled to [ ]% of your Target Bonus for the year in which your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occurs. The amount of the Target Bonus to which you are entitled under this Section 2(b) will be calculated (1) assuming all articulated performance goals for such bonus (including, but not limited to, corporate and individual performance, if applicable), for the year of the Covered Termination were achieved at target levels; (2) as if you had provided services for the entire year for which the bonus relates; and (3) ignoring any reduction in your Base Salary that would give rise to your right to resignation for Good Reason (such bonus to which you are entitled under this Section 2(b), the “</w:t>
      </w:r>
      <w:r>
        <w:rPr>
          <w:rFonts w:ascii="Arial" w:cs="Arial" w:eastAsia="Arial" w:hAnsi="Arial"/>
          <w:sz w:val="18"/>
          <w:szCs w:val="18"/>
          <w:b w:val="1"/>
          <w:bCs w:val="1"/>
          <w:i w:val="1"/>
          <w:iCs w:val="1"/>
          <w:color w:val="auto"/>
        </w:rPr>
        <w:t>Target Bonus Severance Payment</w:t>
      </w:r>
      <w:r>
        <w:rPr>
          <w:rFonts w:ascii="Arial" w:cs="Arial" w:eastAsia="Arial" w:hAnsi="Arial"/>
          <w:sz w:val="18"/>
          <w:szCs w:val="18"/>
          <w:color w:val="auto"/>
        </w:rPr>
        <w:t>”). The Target Bonus Severance Payment shall be paid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154" w:lineRule="exact"/>
        <w:rPr>
          <w:rFonts w:ascii="Arial" w:cs="Arial" w:eastAsia="Arial" w:hAnsi="Arial"/>
          <w:sz w:val="18"/>
          <w:szCs w:val="18"/>
          <w:b w:val="1"/>
          <w:bCs w:val="1"/>
          <w:color w:val="auto"/>
        </w:rPr>
      </w:pPr>
    </w:p>
    <w:p>
      <w:pPr>
        <w:jc w:val="both"/>
        <w:ind w:firstLine="1304"/>
        <w:spacing w:after="0" w:line="224" w:lineRule="auto"/>
        <w:tabs>
          <w:tab w:leader="none" w:pos="1934"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Continued Group Health Plan Benefits</w:t>
      </w:r>
      <w:r>
        <w:rPr>
          <w:rFonts w:ascii="Arial" w:cs="Arial" w:eastAsia="Arial" w:hAnsi="Arial"/>
          <w:sz w:val="18"/>
          <w:szCs w:val="18"/>
          <w:color w:val="auto"/>
        </w:rPr>
        <w:t>. If you timely elect continued group health plan continuation</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under the Consolidated Omnibus Budget Reconciliation Act of 1985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following your Covered Termination date, the Company Group shall pay directly to the carrier the full amount of your COBRA premiums on behalf of you for your continued coverage under the Company Group’s health plans, including coverage for your eligible dependents, until the earliest of (i) the end of the Severance Period following the date of your Covered Termination, (ii) the expiration of your eligibility for the continuation coverage under COBRA, or</w:t>
      </w:r>
    </w:p>
    <w:p>
      <w:pPr>
        <w:spacing w:after="0" w:line="1" w:lineRule="exact"/>
        <w:rPr>
          <w:rFonts w:ascii="Arial" w:cs="Arial" w:eastAsia="Arial" w:hAnsi="Arial"/>
          <w:sz w:val="18"/>
          <w:szCs w:val="18"/>
          <w:b w:val="1"/>
          <w:bCs w:val="1"/>
          <w:color w:val="auto"/>
        </w:rPr>
      </w:pPr>
    </w:p>
    <w:p>
      <w:pPr>
        <w:jc w:val="both"/>
        <w:ind w:firstLine="8"/>
        <w:spacing w:after="0" w:line="226" w:lineRule="auto"/>
        <w:tabs>
          <w:tab w:leader="none" w:pos="3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when you become eligible for substantially equivalent health insurance coverage in connection with new employment (such period from your termination date through the earliest of (i) through (iii), the “</w:t>
      </w:r>
      <w:r>
        <w:rPr>
          <w:rFonts w:ascii="Arial" w:cs="Arial" w:eastAsia="Arial" w:hAnsi="Arial"/>
          <w:sz w:val="18"/>
          <w:szCs w:val="18"/>
          <w:b w:val="1"/>
          <w:bCs w:val="1"/>
          <w:i w:val="1"/>
          <w:iCs w:val="1"/>
          <w:color w:val="auto"/>
        </w:rPr>
        <w:t>COBRA Payment Period</w:t>
      </w:r>
      <w:r>
        <w:rPr>
          <w:rFonts w:ascii="Arial" w:cs="Arial" w:eastAsia="Arial" w:hAnsi="Arial"/>
          <w:sz w:val="18"/>
          <w:szCs w:val="18"/>
          <w:color w:val="auto"/>
        </w:rPr>
        <w:t>”). Upon the conclusion of such period of insurance premium payments made by the Company Group, you will be responsible for the entire 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Group shall not include any amounts payable by you under an Internal Revenue Code Section 125 health care reimbursement plan, which amounts, if any, are your sole responsibility. You agree to promptly notify</w:t>
      </w:r>
    </w:p>
    <w:p>
      <w:pPr>
        <w:sectPr>
          <w:pgSz w:w="11900" w:h="16838" w:orient="portrait"/>
          <w:cols w:equalWidth="0" w:num="1">
            <w:col w:w="11240"/>
          </w:cols>
          <w:pgMar w:left="320" w:top="1399" w:right="339" w:bottom="1440" w:gutter="0" w:footer="0" w:header="0"/>
        </w:sectPr>
      </w:pPr>
    </w:p>
    <w:bookmarkStart w:id="16" w:name="page17"/>
    <w:bookmarkEnd w:id="16"/>
    <w:p>
      <w:pPr>
        <w:jc w:val="both"/>
        <w:spacing w:after="0" w:line="227" w:lineRule="auto"/>
        <w:rPr>
          <w:sz w:val="20"/>
          <w:szCs w:val="20"/>
          <w:color w:val="auto"/>
        </w:rPr>
      </w:pPr>
      <w:r>
        <w:rPr>
          <w:rFonts w:ascii="Arial" w:cs="Arial" w:eastAsia="Arial" w:hAnsi="Arial"/>
          <w:sz w:val="18"/>
          <w:szCs w:val="18"/>
          <w:color w:val="auto"/>
        </w:rPr>
        <w:t>the Company Group as soon as you become eligible for health insurance coverage in connection with new employment or self-employment. Notwithstanding the foregoing, if at any time the Company Group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Group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Arial" w:cs="Arial" w:eastAsia="Arial" w:hAnsi="Arial"/>
          <w:sz w:val="18"/>
          <w:szCs w:val="18"/>
          <w:b w:val="1"/>
          <w:bCs w:val="1"/>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Severance Payment</w:t>
      </w:r>
      <w:r>
        <w:rPr>
          <w:rFonts w:ascii="Arial" w:cs="Arial" w:eastAsia="Arial" w:hAnsi="Arial"/>
          <w:sz w:val="18"/>
          <w:szCs w:val="18"/>
          <w:color w:val="auto"/>
        </w:rPr>
        <w:t>”), such Special Severance Payment to be made without regard to your election of COBRA coverage or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COBRA premiums and without regard to your continued eligibility for COBRA coverage during the COBRA Payment Period. Such Special Severance Payment shall end upon expiration of the COBRA Payment Period.</w:t>
      </w:r>
    </w:p>
    <w:p>
      <w:pPr>
        <w:spacing w:after="0" w:line="149" w:lineRule="exact"/>
        <w:rPr>
          <w:sz w:val="20"/>
          <w:szCs w:val="20"/>
          <w:color w:val="auto"/>
        </w:rPr>
      </w:pPr>
    </w:p>
    <w:p>
      <w:pPr>
        <w:jc w:val="both"/>
        <w:ind w:firstLine="1304"/>
        <w:spacing w:after="0" w:line="226" w:lineRule="auto"/>
        <w:tabs>
          <w:tab w:leader="none" w:pos="194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Equity Acceleration</w:t>
      </w:r>
      <w:r>
        <w:rPr>
          <w:rFonts w:ascii="Arial" w:cs="Arial" w:eastAsia="Arial" w:hAnsi="Arial"/>
          <w:sz w:val="18"/>
          <w:szCs w:val="18"/>
          <w:color w:val="auto"/>
        </w:rPr>
        <w:t>. The vesting and exercisability of each outstanding unvested stock option and other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 as applicable, that you hold covering the Company Group’s equity securities (including any equity securities assumed, substituted or continued by the Company’s successor in connection with the Change in Control) as of the date of your Covered Termination (each, an “</w:t>
      </w:r>
      <w:r>
        <w:rPr>
          <w:rFonts w:ascii="Arial" w:cs="Arial" w:eastAsia="Arial" w:hAnsi="Arial"/>
          <w:sz w:val="18"/>
          <w:szCs w:val="18"/>
          <w:b w:val="1"/>
          <w:bCs w:val="1"/>
          <w:i w:val="1"/>
          <w:iCs w:val="1"/>
          <w:color w:val="auto"/>
        </w:rPr>
        <w:t>Equity Award</w:t>
      </w:r>
      <w:r>
        <w:rPr>
          <w:rFonts w:ascii="Arial" w:cs="Arial" w:eastAsia="Arial" w:hAnsi="Arial"/>
          <w:sz w:val="18"/>
          <w:szCs w:val="18"/>
          <w:color w:val="auto"/>
        </w:rPr>
        <w:t>”) shall be accelerated in full and any reacquisition or repurchase rights held by the Company Group (or its successor) in respect of the equity securities issued pursuant to any Equity Award granted to you shall lapse in full. For purposes of determining the number of shares that will vest pursuant to the foregoing provision with respect to any performance-based vesting Equity Award that has multiple vesting levels depending upon the level of performance, vesting acceleration shall occur with respect to the number of shares subject to the award as if the applicable performance criteria had been attained at 100% of the target level. To the extent your Covered Termination occurs prior to the Change in Control, the acceleration set forth in this Section 2(d) shall be contingent and effective upon the Change in Control, and your Equity Awards will remain outstanding following your Covered Termination to give effect to such acceleration as necessary. Such equity acceleration described in this Section 2(d), the “</w:t>
      </w:r>
      <w:r>
        <w:rPr>
          <w:rFonts w:ascii="Arial" w:cs="Arial" w:eastAsia="Arial" w:hAnsi="Arial"/>
          <w:sz w:val="18"/>
          <w:szCs w:val="18"/>
          <w:b w:val="1"/>
          <w:bCs w:val="1"/>
          <w:i w:val="1"/>
          <w:iCs w:val="1"/>
          <w:color w:val="auto"/>
        </w:rPr>
        <w:t>Equity Award Acceleration</w:t>
      </w:r>
      <w:r>
        <w:rPr>
          <w:rFonts w:ascii="Arial" w:cs="Arial" w:eastAsia="Arial" w:hAnsi="Arial"/>
          <w:sz w:val="18"/>
          <w:szCs w:val="18"/>
          <w:color w:val="auto"/>
        </w:rPr>
        <w:t>”.</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color w:val="auto"/>
        </w:rPr>
        <w:t>Non-Change in Control Severance Benefits</w:t>
      </w:r>
      <w:r>
        <w:rPr>
          <w:rFonts w:ascii="Arial" w:cs="Arial" w:eastAsia="Arial" w:hAnsi="Arial"/>
          <w:sz w:val="16"/>
          <w:szCs w:val="16"/>
          <w:color w:val="auto"/>
        </w:rPr>
        <w: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are terminated in a Covered Termination that occurs at a time that is not during the Change in Control Period, you will receive:</w:t>
      </w:r>
    </w:p>
    <w:p>
      <w:pPr>
        <w:spacing w:after="0" w:line="19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0"/>
          <w:szCs w:val="20"/>
          <w:b w:val="1"/>
          <w:bCs w:val="1"/>
          <w:color w:val="auto"/>
        </w:rPr>
        <w:t xml:space="preserve">(a) </w:t>
      </w:r>
      <w:r>
        <w:rPr>
          <w:rFonts w:ascii="Arial" w:cs="Arial" w:eastAsia="Arial" w:hAnsi="Arial"/>
          <w:sz w:val="20"/>
          <w:szCs w:val="20"/>
          <w:color w:val="auto"/>
        </w:rPr>
        <w:t>the base salary cash payment described in Section 2(a) above, but in an amount equal to [ ] months and the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made in accordance with the Company Group’s regular payroll practices over the length of the Severance Period rather than in a single lump sum;</w:t>
      </w:r>
    </w:p>
    <w:p>
      <w:pPr>
        <w:spacing w:after="0" w:line="151"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0"/>
          <w:szCs w:val="20"/>
          <w:b w:val="1"/>
          <w:bCs w:val="1"/>
          <w:color w:val="auto"/>
        </w:rPr>
        <w:t xml:space="preserve">(b) </w:t>
      </w:r>
      <w:r>
        <w:rPr>
          <w:rFonts w:ascii="Arial" w:cs="Arial" w:eastAsia="Arial" w:hAnsi="Arial"/>
          <w:sz w:val="20"/>
          <w:szCs w:val="20"/>
          <w:color w:val="auto"/>
        </w:rPr>
        <w:t>the Target Bonus Severance Payment described in Section 2(b) above, but in an amount equal to [ ]% of your</w:t>
      </w:r>
      <w:r>
        <w:rPr>
          <w:rFonts w:ascii="Arial" w:cs="Arial" w:eastAsia="Arial" w:hAnsi="Arial"/>
          <w:sz w:val="20"/>
          <w:szCs w:val="20"/>
          <w:b w:val="1"/>
          <w:bCs w:val="1"/>
          <w:color w:val="auto"/>
        </w:rPr>
        <w:t xml:space="preserve"> </w:t>
      </w:r>
      <w:r>
        <w:rPr>
          <w:rFonts w:ascii="Arial" w:cs="Arial" w:eastAsia="Arial" w:hAnsi="Arial"/>
          <w:sz w:val="20"/>
          <w:szCs w:val="20"/>
          <w:color w:val="auto"/>
        </w:rPr>
        <w:t>Target Bonus for the year in which your Covered Termination occurs and the payment shall be made in accordance with the Company Group’s regular payroll practices over the length of the Severance Period rather than in a single lump sum; and</w:t>
      </w:r>
    </w:p>
    <w:p>
      <w:pPr>
        <w:spacing w:after="0" w:line="155"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COBRA benefits described in Section 2(c) above, but the Severance Period for purposes of calculating such</w:t>
      </w:r>
    </w:p>
    <w:p>
      <w:pPr>
        <w:spacing w:after="0"/>
        <w:rPr>
          <w:sz w:val="20"/>
          <w:szCs w:val="20"/>
          <w:color w:val="auto"/>
        </w:rPr>
      </w:pPr>
      <w:r>
        <w:rPr>
          <w:rFonts w:ascii="Arial" w:cs="Arial" w:eastAsia="Arial" w:hAnsi="Arial"/>
          <w:sz w:val="20"/>
          <w:szCs w:val="20"/>
          <w:color w:val="auto"/>
        </w:rPr>
        <w:t>benefits shall be [  ] months.</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6"/>
          <w:szCs w:val="16"/>
          <w:b w:val="1"/>
          <w:bCs w:val="1"/>
          <w:color w:val="auto"/>
        </w:rPr>
        <w:t>Acknowledgements; Interaction with Prior Benefits.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a condition to participation in the Plan, you hereby acknowledge each of the following:</w:t>
      </w:r>
    </w:p>
    <w:p>
      <w:pPr>
        <w:spacing w:after="0" w:line="202" w:lineRule="exact"/>
        <w:rPr>
          <w:sz w:val="20"/>
          <w:szCs w:val="20"/>
          <w:color w:val="auto"/>
        </w:rPr>
      </w:pPr>
    </w:p>
    <w:p>
      <w:pPr>
        <w:ind w:firstLine="1304"/>
        <w:spacing w:after="0" w:line="229" w:lineRule="auto"/>
        <w:tabs>
          <w:tab w:leader="none" w:pos="1932" w:val="left"/>
        </w:tabs>
        <w:numPr>
          <w:ilvl w:val="0"/>
          <w:numId w:val="34"/>
        </w:numPr>
        <w:rPr>
          <w:rFonts w:ascii="Arial" w:cs="Arial" w:eastAsia="Arial" w:hAnsi="Arial"/>
          <w:sz w:val="20"/>
          <w:szCs w:val="20"/>
          <w:b w:val="1"/>
          <w:bCs w:val="1"/>
          <w:color w:val="auto"/>
        </w:rPr>
      </w:pPr>
      <w:r>
        <w:rPr>
          <w:rFonts w:ascii="Arial" w:cs="Arial" w:eastAsia="Arial" w:hAnsi="Arial"/>
          <w:sz w:val="20"/>
          <w:szCs w:val="20"/>
          <w:color w:val="auto"/>
        </w:rPr>
        <w:t>The benefits that may be provided to you under this Participation Agreement are subject to certain reductions and termination under Section 2 and Section 3 of the Plan.</w:t>
      </w:r>
    </w:p>
    <w:p>
      <w:pPr>
        <w:sectPr>
          <w:pgSz w:w="11900" w:h="16838" w:orient="portrait"/>
          <w:cols w:equalWidth="0" w:num="1">
            <w:col w:w="11240"/>
          </w:cols>
          <w:pgMar w:left="320" w:top="1405" w:right="339" w:bottom="1440" w:gutter="0" w:footer="0" w:header="0"/>
        </w:sectPr>
      </w:pPr>
    </w:p>
    <w:bookmarkStart w:id="17" w:name="page18"/>
    <w:bookmarkEnd w:id="17"/>
    <w:p>
      <w:pPr>
        <w:jc w:val="both"/>
        <w:ind w:firstLine="1304"/>
        <w:spacing w:after="0" w:line="224" w:lineRule="auto"/>
        <w:tabs>
          <w:tab w:leader="none" w:pos="1943" w:val="left"/>
        </w:tabs>
        <w:numPr>
          <w:ilvl w:val="0"/>
          <w:numId w:val="35"/>
        </w:numPr>
        <w:rPr>
          <w:rFonts w:ascii="Arial" w:cs="Arial" w:eastAsia="Arial" w:hAnsi="Arial"/>
          <w:sz w:val="19"/>
          <w:szCs w:val="19"/>
          <w:b w:val="1"/>
          <w:bCs w:val="1"/>
          <w:color w:val="auto"/>
        </w:rPr>
      </w:pPr>
      <w:r>
        <w:rPr>
          <w:rFonts w:ascii="Arial" w:cs="Arial" w:eastAsia="Arial" w:hAnsi="Arial"/>
          <w:sz w:val="19"/>
          <w:szCs w:val="19"/>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 Group.</w:t>
      </w:r>
    </w:p>
    <w:p>
      <w:pPr>
        <w:spacing w:after="0" w:line="156" w:lineRule="exact"/>
        <w:rPr>
          <w:rFonts w:ascii="Arial" w:cs="Arial" w:eastAsia="Arial" w:hAnsi="Arial"/>
          <w:sz w:val="19"/>
          <w:szCs w:val="19"/>
          <w:b w:val="1"/>
          <w:bCs w:val="1"/>
          <w:color w:val="auto"/>
        </w:rPr>
      </w:pPr>
    </w:p>
    <w:p>
      <w:pPr>
        <w:ind w:right="20" w:firstLine="1304"/>
        <w:spacing w:after="0" w:line="269" w:lineRule="auto"/>
        <w:tabs>
          <w:tab w:leader="none" w:pos="1934"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As further described in Section 2(c) of the Plan, this Participation Agreement and the Plan supersede and replace any change in control or severance benefits previously provided to you, and by executing below you expressly agree to such treatment.</w:t>
      </w:r>
    </w:p>
    <w:p>
      <w:pPr>
        <w:spacing w:after="0" w:line="130"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To accept the terms of this Participation Agreement and participate in the Plan, please sign and date this Participation Agreement in the space provided below and return it to _____________________ no later than _________, ____.</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WM Technology, Inc.</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w:t>
      </w:r>
    </w:p>
    <w:p>
      <w:pPr>
        <w:spacing w:after="0"/>
        <w:rPr>
          <w:sz w:val="20"/>
          <w:szCs w:val="20"/>
          <w:color w:val="auto"/>
        </w:rPr>
      </w:pPr>
      <w:r>
        <w:rPr>
          <w:rFonts w:ascii="Arial" w:cs="Arial" w:eastAsia="Arial" w:hAnsi="Arial"/>
          <w:sz w:val="20"/>
          <w:szCs w:val="20"/>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-24765</wp:posOffset>
            </wp:positionV>
            <wp:extent cx="31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Eligible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257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-14605</wp:posOffset>
            </wp:positionV>
            <wp:extent cx="156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lowerLetter"/>
      <w:start w:val="4"/>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2"/>
    </w:lvl>
    <w:lvl w:ilvl="1">
      <w:lvlJc w:val="left"/>
      <w:lvlText w:val="(%2)"/>
      <w:numFmt w:val="decimal"/>
      <w:start w:val="1"/>
    </w:lvl>
  </w:abstractNum>
  <w:abstractNum w:abstractNumId="6">
    <w:nsid w:val="628C895D"/>
    <w:multiLevelType w:val="hybridMultilevel"/>
    <w:lvl w:ilvl="0">
      <w:lvlJc w:val="left"/>
      <w:lvlText w:val="(%1)"/>
      <w:numFmt w:val="lowerLetter"/>
      <w:start w:val="18"/>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4"/>
    </w:lvl>
    <w:lvl w:ilvl="1">
      <w:lvlJc w:val="left"/>
      <w:lvlText w:val="(%2)"/>
      <w:numFmt w:val="decimal"/>
      <w:start w:val="1"/>
    </w:lvl>
  </w:abstractNum>
  <w:abstractNum w:abstractNumId="9">
    <w:nsid w:val="2443A858"/>
    <w:multiLevelType w:val="hybridMultilevel"/>
    <w:lvl w:ilvl="0">
      <w:lvlJc w:val="left"/>
      <w:lvlText w:val="%1"/>
      <w:numFmt w:val="lowerLetter"/>
      <w:start w:val="1"/>
    </w:lvl>
    <w:lvl w:ilvl="1">
      <w:lvlJc w:val="left"/>
      <w:lvlText w:val="(%2)"/>
      <w:numFmt w:val="lowerLetter"/>
      <w:start w:val="1"/>
    </w:lvl>
  </w:abstractNum>
  <w:abstractNum w:abstractNumId="10">
    <w:nsid w:val="2D1D5AE9"/>
    <w:multiLevelType w:val="hybridMultilevel"/>
    <w:lvl w:ilvl="0">
      <w:lvlJc w:val="left"/>
      <w:lvlText w:val="(%1)"/>
      <w:numFmt w:val="lowerLetter"/>
      <w:start w:val="24"/>
    </w:lvl>
    <w:lvl w:ilvl="1">
      <w:lvlJc w:val="left"/>
      <w:lvlText w:val="%2"/>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lvl w:ilvl="1">
      <w:lvlJc w:val="left"/>
      <w:lvlText w:val="%2"/>
      <w:numFmt w:val="decimal"/>
      <w:start w:val="41"/>
    </w:lvl>
  </w:abstractNum>
  <w:abstractNum w:abstractNumId="14">
    <w:nsid w:val="79838CB2"/>
    <w:multiLevelType w:val="hybridMultilevel"/>
    <w:lvl w:ilvl="0">
      <w:lvlJc w:val="left"/>
      <w:lvlText w:val="(%1)"/>
      <w:numFmt w:val="lowerLetter"/>
      <w:start w:val="2"/>
    </w:lvl>
    <w:lvl w:ilvl="1">
      <w:lvlJc w:val="left"/>
      <w:lvlText w:val="%2"/>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Letter"/>
      <w:start w:val="3"/>
    </w:lvl>
  </w:abstractNum>
  <w:abstractNum w:abstractNumId="17">
    <w:nsid w:val="189A769B"/>
    <w:multiLevelType w:val="hybridMultilevel"/>
    <w:lvl w:ilvl="0">
      <w:lvlJc w:val="left"/>
      <w:lvlText w:val="%1"/>
      <w:numFmt w:val="decimal"/>
      <w:start w:val="41"/>
    </w:lvl>
  </w:abstractNum>
  <w:abstractNum w:abstractNumId="18">
    <w:nsid w:val="54E49EB4"/>
    <w:multiLevelType w:val="hybridMultilevel"/>
    <w:lvl w:ilvl="0">
      <w:lvlJc w:val="left"/>
      <w:lvlText w:val="(%1)"/>
      <w:numFmt w:val="lowerLetter"/>
      <w:start w:val="4"/>
    </w:lvl>
    <w:lvl w:ilvl="1">
      <w:lvlJc w:val="left"/>
      <w:lvlText w:val="(%2)"/>
      <w:numFmt w:val="decimal"/>
      <w:start w:val="1"/>
    </w:lvl>
  </w:abstractNum>
  <w:abstractNum w:abstractNumId="19">
    <w:nsid w:val="71F32454"/>
    <w:multiLevelType w:val="hybridMultilevel"/>
    <w:lvl w:ilvl="0">
      <w:lvlJc w:val="left"/>
      <w:lvlText w:val="%1"/>
      <w:numFmt w:val="lowerLetter"/>
      <w:start w:val="1"/>
    </w:lvl>
    <w:lvl w:ilvl="1">
      <w:lvlJc w:val="left"/>
      <w:lvlText w:val="(%2)"/>
      <w:numFmt w:val="decimal"/>
      <w:start w:val="2"/>
    </w:lvl>
  </w:abstractNum>
  <w:abstractNum w:abstractNumId="20">
    <w:nsid w:val="2CA88611"/>
    <w:multiLevelType w:val="hybridMultilevel"/>
    <w:lvl w:ilvl="0">
      <w:lvlJc w:val="left"/>
      <w:lvlText w:val="(%1)"/>
      <w:numFmt w:val="lowerLetter"/>
      <w:start w:val="5"/>
    </w:lvl>
    <w:lvl w:ilvl="1">
      <w:lvlJc w:val="left"/>
      <w:lvlText w:val="%2"/>
      <w:numFmt w:val="decimal"/>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decimal"/>
      <w:start w:val="41"/>
    </w:lvl>
  </w:abstractNum>
  <w:abstractNum w:abstractNumId="23">
    <w:nsid w:val="3A95F874"/>
    <w:multiLevelType w:val="hybridMultilevel"/>
    <w:lvl w:ilvl="0">
      <w:lvlJc w:val="left"/>
      <w:lvlText w:val="(%1)"/>
      <w:numFmt w:val="lowerLetter"/>
      <w:start w:val="4"/>
    </w:lvl>
  </w:abstractNum>
  <w:abstractNum w:abstractNumId="24">
    <w:nsid w:val="8138641"/>
    <w:multiLevelType w:val="hybridMultilevel"/>
    <w:lvl w:ilvl="0">
      <w:lvlJc w:val="left"/>
      <w:lvlText w:val="%1"/>
      <w:numFmt w:val="decimal"/>
      <w:start w:val="41"/>
    </w:lvl>
  </w:abstractNum>
  <w:abstractNum w:abstractNumId="25">
    <w:nsid w:val="1E7FF521"/>
    <w:multiLevelType w:val="hybridMultilevel"/>
    <w:lvl w:ilvl="0">
      <w:lvlJc w:val="left"/>
      <w:lvlText w:val="(%1)"/>
      <w:numFmt w:val="lowerLetter"/>
      <w:start w:val="5"/>
    </w:lvl>
  </w:abstractNum>
  <w:abstractNum w:abstractNumId="26">
    <w:nsid w:val="7C3DBD3D"/>
    <w:multiLevelType w:val="hybridMultilevel"/>
    <w:lvl w:ilvl="0">
      <w:lvlJc w:val="left"/>
      <w:lvlText w:val="%1"/>
      <w:numFmt w:val="decimal"/>
      <w:start w:val="41"/>
    </w:lvl>
  </w:abstractNum>
  <w:abstractNum w:abstractNumId="27">
    <w:nsid w:val="737B8DDC"/>
    <w:multiLevelType w:val="hybridMultilevel"/>
    <w:lvl w:ilvl="0">
      <w:lvlJc w:val="left"/>
      <w:lvlText w:val="(%1)"/>
      <w:numFmt w:val="lowerLetter"/>
      <w:start w:val="1"/>
    </w:lvl>
    <w:lvl w:ilvl="1">
      <w:lvlJc w:val="left"/>
      <w:lvlText w:val="(%2)"/>
      <w:numFmt w:val="decimal"/>
      <w:start w:val="1"/>
    </w:lvl>
  </w:abstractNum>
  <w:abstractNum w:abstractNumId="28">
    <w:nsid w:val="6CEAF087"/>
    <w:multiLevelType w:val="hybridMultilevel"/>
    <w:lvl w:ilvl="0">
      <w:lvlJc w:val="left"/>
      <w:lvlText w:val="(%1)"/>
      <w:numFmt w:val="lowerLetter"/>
      <w:start w:val="4"/>
    </w:lvl>
  </w:abstractNum>
  <w:abstractNum w:abstractNumId="29">
    <w:nsid w:val="22221A70"/>
    <w:multiLevelType w:val="hybridMultilevel"/>
    <w:lvl w:ilvl="0">
      <w:lvlJc w:val="left"/>
      <w:lvlText w:val="%1"/>
      <w:numFmt w:val="lowerLetter"/>
      <w:start w:val="1"/>
    </w:lvl>
    <w:lvl w:ilvl="1">
      <w:lvlJc w:val="left"/>
      <w:lvlText w:val="(%2)"/>
      <w:numFmt w:val="lowerLetter"/>
      <w:start w:val="2"/>
    </w:lvl>
  </w:abstractNum>
  <w:abstractNum w:abstractNumId="30">
    <w:nsid w:val="4516DDE9"/>
    <w:multiLevelType w:val="hybridMultilevel"/>
    <w:lvl w:ilvl="0">
      <w:lvlJc w:val="left"/>
      <w:lvlText w:val="(%1)"/>
      <w:numFmt w:val="lowerLetter"/>
      <w:start w:val="61"/>
    </w:lvl>
    <w:lvl w:ilvl="1">
      <w:lvlJc w:val="left"/>
      <w:lvlText w:val="%2"/>
      <w:numFmt w:val="lowerLetter"/>
      <w:start w:val="1"/>
    </w:lvl>
  </w:abstractNum>
  <w:abstractNum w:abstractNumId="31">
    <w:nsid w:val="3006C83E"/>
    <w:multiLevelType w:val="hybridMultilevel"/>
    <w:lvl w:ilvl="0">
      <w:lvlJc w:val="left"/>
      <w:lvlText w:val="(%1)"/>
      <w:numFmt w:val="lowerLetter"/>
      <w:start w:val="4"/>
    </w:lvl>
  </w:abstractNum>
  <w:abstractNum w:abstractNumId="32">
    <w:nsid w:val="614FD4A1"/>
    <w:multiLevelType w:val="hybridMultilevel"/>
    <w:lvl w:ilvl="0">
      <w:lvlJc w:val="left"/>
      <w:lvlText w:val="(%1)"/>
      <w:numFmt w:val="lowerLetter"/>
      <w:start w:val="3"/>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2021-12-16T15:19:50Z</dcterms:created>
  <dcterms:modified xsi:type="dcterms:W3CDTF">2021-12-16T15:19:50Z</dcterms:modified>
</cp:coreProperties>
</file>