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jc w:val="center"/>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SCHEDULE 13G</w:t>
      </w:r>
    </w:p>
    <w:p>
      <w:pPr>
        <w:spacing w:after="0" w:line="166" w:lineRule="exact"/>
        <w:rPr>
          <w:sz w:val="24"/>
          <w:szCs w:val="24"/>
          <w:color w:val="auto"/>
        </w:rPr>
      </w:pPr>
    </w:p>
    <w:p>
      <w:pPr>
        <w:ind w:left="3660"/>
        <w:spacing w:after="0"/>
        <w:rPr>
          <w:sz w:val="20"/>
          <w:szCs w:val="20"/>
          <w:color w:val="auto"/>
        </w:rPr>
      </w:pPr>
      <w:r>
        <w:rPr>
          <w:rFonts w:ascii="Arial" w:cs="Arial" w:eastAsia="Arial" w:hAnsi="Arial"/>
          <w:sz w:val="22"/>
          <w:szCs w:val="22"/>
          <w:b w:val="1"/>
          <w:bCs w:val="1"/>
          <w:color w:val="auto"/>
        </w:rPr>
        <w:t>Under the Securities Exchange Act of 1934</w:t>
      </w:r>
    </w:p>
    <w:p>
      <w:pPr>
        <w:ind w:left="4740"/>
        <w:spacing w:after="0"/>
        <w:rPr>
          <w:sz w:val="20"/>
          <w:szCs w:val="20"/>
          <w:color w:val="auto"/>
        </w:rPr>
      </w:pPr>
      <w:r>
        <w:rPr>
          <w:rFonts w:ascii="Arial" w:cs="Arial" w:eastAsia="Arial" w:hAnsi="Arial"/>
          <w:sz w:val="22"/>
          <w:szCs w:val="22"/>
          <w:b w:val="1"/>
          <w:bCs w:val="1"/>
          <w:color w:val="auto"/>
        </w:rPr>
        <w:t>(Amendment No.)*</w:t>
      </w:r>
    </w:p>
    <w:p>
      <w:pPr>
        <w:spacing w:after="0" w:line="169" w:lineRule="exact"/>
        <w:rPr>
          <w:sz w:val="24"/>
          <w:szCs w:val="24"/>
          <w:color w:val="auto"/>
        </w:rPr>
      </w:pPr>
    </w:p>
    <w:p>
      <w:pPr>
        <w:ind w:left="4220"/>
        <w:spacing w:after="0"/>
        <w:rPr>
          <w:sz w:val="20"/>
          <w:szCs w:val="20"/>
          <w:color w:val="auto"/>
        </w:rPr>
      </w:pPr>
      <w:r>
        <w:rPr>
          <w:rFonts w:ascii="Arial" w:cs="Arial" w:eastAsia="Arial" w:hAnsi="Arial"/>
          <w:sz w:val="22"/>
          <w:szCs w:val="22"/>
          <w:b w:val="1"/>
          <w:bCs w:val="1"/>
          <w:u w:val="single" w:color="auto"/>
          <w:color w:val="auto"/>
        </w:rPr>
        <w:t>Silver Spike Acquisition Corp.</w:t>
      </w:r>
    </w:p>
    <w:p>
      <w:pPr>
        <w:ind w:left="4900"/>
        <w:spacing w:after="0"/>
        <w:rPr>
          <w:sz w:val="20"/>
          <w:szCs w:val="20"/>
          <w:color w:val="auto"/>
        </w:rPr>
      </w:pPr>
      <w:r>
        <w:rPr>
          <w:rFonts w:ascii="Arial" w:cs="Arial" w:eastAsia="Arial" w:hAnsi="Arial"/>
          <w:sz w:val="22"/>
          <w:szCs w:val="22"/>
          <w:color w:val="auto"/>
        </w:rPr>
        <w:t>(Name of Issuer)</w:t>
      </w:r>
    </w:p>
    <w:p>
      <w:pPr>
        <w:spacing w:after="0" w:line="142" w:lineRule="exact"/>
        <w:rPr>
          <w:sz w:val="24"/>
          <w:szCs w:val="24"/>
          <w:color w:val="auto"/>
        </w:rPr>
      </w:pPr>
    </w:p>
    <w:p>
      <w:pPr>
        <w:ind w:left="3200"/>
        <w:spacing w:after="0"/>
        <w:rPr>
          <w:sz w:val="20"/>
          <w:szCs w:val="20"/>
          <w:color w:val="auto"/>
        </w:rPr>
      </w:pPr>
      <w:r>
        <w:rPr>
          <w:rFonts w:ascii="Arial" w:cs="Arial" w:eastAsia="Arial" w:hAnsi="Arial"/>
          <w:sz w:val="22"/>
          <w:szCs w:val="22"/>
          <w:b w:val="1"/>
          <w:bCs w:val="1"/>
          <w:u w:val="single" w:color="auto"/>
          <w:color w:val="auto"/>
        </w:rPr>
        <w:t>Class A ordinary shares, par value $0.0001 per share</w:t>
      </w:r>
    </w:p>
    <w:p>
      <w:pPr>
        <w:ind w:left="4400"/>
        <w:spacing w:after="0"/>
        <w:rPr>
          <w:sz w:val="20"/>
          <w:szCs w:val="20"/>
          <w:color w:val="auto"/>
        </w:rPr>
      </w:pPr>
      <w:r>
        <w:rPr>
          <w:rFonts w:ascii="Arial" w:cs="Arial" w:eastAsia="Arial" w:hAnsi="Arial"/>
          <w:sz w:val="22"/>
          <w:szCs w:val="22"/>
          <w:color w:val="auto"/>
        </w:rPr>
        <w:t>(Title of Class of Securities)</w:t>
      </w:r>
    </w:p>
    <w:p>
      <w:pPr>
        <w:spacing w:after="0" w:line="142" w:lineRule="exact"/>
        <w:rPr>
          <w:sz w:val="24"/>
          <w:szCs w:val="24"/>
          <w:color w:val="auto"/>
        </w:rPr>
      </w:pPr>
    </w:p>
    <w:p>
      <w:pPr>
        <w:ind w:left="5100"/>
        <w:spacing w:after="0"/>
        <w:rPr>
          <w:sz w:val="20"/>
          <w:szCs w:val="20"/>
          <w:color w:val="auto"/>
        </w:rPr>
      </w:pPr>
      <w:r>
        <w:rPr>
          <w:rFonts w:ascii="Arial" w:cs="Arial" w:eastAsia="Arial" w:hAnsi="Arial"/>
          <w:sz w:val="22"/>
          <w:szCs w:val="22"/>
          <w:b w:val="1"/>
          <w:bCs w:val="1"/>
          <w:u w:val="single" w:color="auto"/>
          <w:color w:val="auto"/>
        </w:rPr>
        <w:t>G8136L106</w:t>
      </w:r>
    </w:p>
    <w:p>
      <w:pPr>
        <w:ind w:left="4860"/>
        <w:spacing w:after="0"/>
        <w:rPr>
          <w:sz w:val="20"/>
          <w:szCs w:val="20"/>
          <w:color w:val="auto"/>
        </w:rPr>
      </w:pPr>
      <w:r>
        <w:rPr>
          <w:rFonts w:ascii="Arial" w:cs="Arial" w:eastAsia="Arial" w:hAnsi="Arial"/>
          <w:sz w:val="22"/>
          <w:szCs w:val="22"/>
          <w:color w:val="auto"/>
        </w:rPr>
        <w:t>(CUSIP Number)</w:t>
      </w:r>
    </w:p>
    <w:p>
      <w:pPr>
        <w:spacing w:after="0" w:line="142" w:lineRule="exact"/>
        <w:rPr>
          <w:sz w:val="24"/>
          <w:szCs w:val="24"/>
          <w:color w:val="auto"/>
        </w:rPr>
      </w:pPr>
    </w:p>
    <w:p>
      <w:pPr>
        <w:ind w:left="5000"/>
        <w:spacing w:after="0"/>
        <w:rPr>
          <w:sz w:val="20"/>
          <w:szCs w:val="20"/>
          <w:color w:val="auto"/>
        </w:rPr>
      </w:pPr>
      <w:r>
        <w:rPr>
          <w:rFonts w:ascii="Arial" w:cs="Arial" w:eastAsia="Arial" w:hAnsi="Arial"/>
          <w:sz w:val="22"/>
          <w:szCs w:val="22"/>
          <w:b w:val="1"/>
          <w:bCs w:val="1"/>
          <w:u w:val="single" w:color="auto"/>
          <w:color w:val="auto"/>
        </w:rPr>
        <w:t>May 13, 2020</w:t>
      </w:r>
    </w:p>
    <w:p>
      <w:pPr>
        <w:jc w:val="center"/>
        <w:ind w:right="-5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60"/>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179" w:lineRule="exact"/>
        <w:rPr>
          <w:sz w:val="24"/>
          <w:szCs w:val="24"/>
          <w:color w:val="auto"/>
        </w:rPr>
      </w:pPr>
    </w:p>
    <w:p>
      <w:pPr>
        <w:ind w:left="4520"/>
        <w:spacing w:after="0"/>
        <w:tabs>
          <w:tab w:leader="none" w:pos="4780" w:val="left"/>
          <w:tab w:leader="none" w:pos="5500" w:val="left"/>
        </w:tabs>
        <w:rPr>
          <w:sz w:val="20"/>
          <w:szCs w:val="20"/>
          <w:color w:val="auto"/>
        </w:rPr>
      </w:pPr>
      <w:r>
        <w:rPr>
          <w:rFonts w:ascii="Arial" w:cs="Arial" w:eastAsia="Arial" w:hAnsi="Arial"/>
          <w:sz w:val="22"/>
          <w:szCs w:val="22"/>
          <w:color w:val="auto"/>
        </w:rPr>
        <w:t>[</w:t>
        <w:tab/>
        <w:t>]</w:t>
      </w:r>
      <w:r>
        <w:rPr>
          <w:sz w:val="20"/>
          <w:szCs w:val="20"/>
          <w:color w:val="auto"/>
        </w:rPr>
        <w:tab/>
      </w:r>
      <w:r>
        <w:rPr>
          <w:rFonts w:ascii="Arial" w:cs="Arial" w:eastAsia="Arial" w:hAnsi="Arial"/>
          <w:sz w:val="19"/>
          <w:szCs w:val="19"/>
          <w:color w:val="auto"/>
        </w:rPr>
        <w:t>Rule 13d-1(b)</w:t>
      </w:r>
    </w:p>
    <w:p>
      <w:pPr>
        <w:spacing w:after="0" w:line="247" w:lineRule="exact"/>
        <w:rPr>
          <w:sz w:val="24"/>
          <w:szCs w:val="24"/>
          <w:color w:val="auto"/>
        </w:rPr>
      </w:pPr>
    </w:p>
    <w:p>
      <w:pPr>
        <w:ind w:left="4500"/>
        <w:spacing w:after="0"/>
        <w:tabs>
          <w:tab w:leader="none" w:pos="5520" w:val="left"/>
        </w:tabs>
        <w:rPr>
          <w:sz w:val="20"/>
          <w:szCs w:val="20"/>
          <w:color w:val="auto"/>
        </w:rPr>
      </w:pPr>
      <w:r>
        <w:rPr>
          <w:rFonts w:ascii="Arial" w:cs="Arial" w:eastAsia="Arial" w:hAnsi="Arial"/>
          <w:sz w:val="22"/>
          <w:szCs w:val="22"/>
          <w:color w:val="auto"/>
        </w:rPr>
        <w:t>[ X ]</w:t>
      </w:r>
      <w:r>
        <w:rPr>
          <w:sz w:val="20"/>
          <w:szCs w:val="20"/>
          <w:color w:val="auto"/>
        </w:rPr>
        <w:tab/>
      </w:r>
      <w:r>
        <w:rPr>
          <w:rFonts w:ascii="Arial" w:cs="Arial" w:eastAsia="Arial" w:hAnsi="Arial"/>
          <w:sz w:val="19"/>
          <w:szCs w:val="19"/>
          <w:color w:val="auto"/>
        </w:rPr>
        <w:t>Rule 13d-1(c)</w:t>
      </w:r>
    </w:p>
    <w:p>
      <w:pPr>
        <w:spacing w:after="0" w:line="247" w:lineRule="exact"/>
        <w:rPr>
          <w:sz w:val="24"/>
          <w:szCs w:val="24"/>
          <w:color w:val="auto"/>
        </w:rPr>
      </w:pPr>
    </w:p>
    <w:p>
      <w:pPr>
        <w:ind w:left="4520"/>
        <w:spacing w:after="0"/>
        <w:tabs>
          <w:tab w:leader="none" w:pos="4780" w:val="left"/>
          <w:tab w:leader="none" w:pos="5500" w:val="left"/>
        </w:tabs>
        <w:rPr>
          <w:sz w:val="20"/>
          <w:szCs w:val="20"/>
          <w:color w:val="auto"/>
        </w:rPr>
      </w:pPr>
      <w:r>
        <w:rPr>
          <w:rFonts w:ascii="Arial" w:cs="Arial" w:eastAsia="Arial" w:hAnsi="Arial"/>
          <w:sz w:val="22"/>
          <w:szCs w:val="22"/>
          <w:color w:val="auto"/>
        </w:rPr>
        <w:t>[</w:t>
        <w:tab/>
        <w:t>]</w:t>
      </w:r>
      <w:r>
        <w:rPr>
          <w:sz w:val="20"/>
          <w:szCs w:val="20"/>
          <w:color w:val="auto"/>
        </w:rPr>
        <w:tab/>
      </w:r>
      <w:r>
        <w:rPr>
          <w:rFonts w:ascii="Arial" w:cs="Arial" w:eastAsia="Arial" w:hAnsi="Arial"/>
          <w:sz w:val="19"/>
          <w:szCs w:val="19"/>
          <w:color w:val="auto"/>
        </w:rPr>
        <w:t>Rule 13d-1(d)</w:t>
      </w:r>
    </w:p>
    <w:p>
      <w:pPr>
        <w:spacing w:after="0" w:line="247" w:lineRule="exact"/>
        <w:rPr>
          <w:sz w:val="24"/>
          <w:szCs w:val="24"/>
          <w:color w:val="auto"/>
        </w:rPr>
      </w:pPr>
    </w:p>
    <w:p>
      <w:pPr>
        <w:jc w:val="both"/>
        <w:ind w:firstLine="8"/>
        <w:spacing w:after="0" w:line="223" w:lineRule="auto"/>
        <w:tabs>
          <w:tab w:leader="none" w:pos="165"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9" w:lineRule="exact"/>
        <w:rPr>
          <w:sz w:val="24"/>
          <w:szCs w:val="24"/>
          <w:color w:val="auto"/>
        </w:rPr>
      </w:pPr>
    </w:p>
    <w:p>
      <w:pPr>
        <w:jc w:val="both"/>
        <w:spacing w:after="0" w:line="223"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Continued on following pages</w:t>
      </w:r>
    </w:p>
    <w:p>
      <w:pPr>
        <w:jc w:val="center"/>
        <w:ind w:right="-19"/>
        <w:spacing w:after="0" w:line="204" w:lineRule="auto"/>
        <w:rPr>
          <w:sz w:val="20"/>
          <w:szCs w:val="20"/>
          <w:color w:val="auto"/>
        </w:rPr>
      </w:pPr>
      <w:r>
        <w:rPr>
          <w:rFonts w:ascii="Arial" w:cs="Arial" w:eastAsia="Arial" w:hAnsi="Arial"/>
          <w:sz w:val="22"/>
          <w:szCs w:val="22"/>
          <w:color w:val="auto"/>
        </w:rPr>
        <w:t>Page 1 of 11 Pages</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Exhibit Index: Page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240" w:type="dxa"/>
            <w:vAlign w:val="bottom"/>
            <w:gridSpan w:val="3"/>
          </w:tcPr>
          <w:p>
            <w:pPr>
              <w:spacing w:after="0"/>
              <w:rPr>
                <w:sz w:val="20"/>
                <w:szCs w:val="20"/>
                <w:color w:val="auto"/>
              </w:rPr>
            </w:pPr>
            <w:r>
              <w:rPr>
                <w:rFonts w:ascii="Arial" w:cs="Arial" w:eastAsia="Arial" w:hAnsi="Arial"/>
                <w:sz w:val="18"/>
                <w:szCs w:val="18"/>
                <w:color w:val="auto"/>
              </w:rPr>
              <w:t>CUSIP No. G8136L106</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160"/>
              <w:spacing w:after="0"/>
              <w:rPr>
                <w:sz w:val="20"/>
                <w:szCs w:val="20"/>
                <w:color w:val="auto"/>
              </w:rPr>
            </w:pPr>
            <w:r>
              <w:rPr>
                <w:rFonts w:ascii="Arial" w:cs="Arial" w:eastAsia="Arial" w:hAnsi="Arial"/>
                <w:sz w:val="18"/>
                <w:szCs w:val="18"/>
                <w:color w:val="auto"/>
                <w:w w:val="83"/>
              </w:rPr>
              <w:t>Page 2 of 11 Pages</w:t>
            </w:r>
          </w:p>
        </w:tc>
        <w:tc>
          <w:tcPr>
            <w:tcW w:w="0" w:type="dxa"/>
            <w:vAlign w:val="bottom"/>
          </w:tcPr>
          <w:p>
            <w:pPr>
              <w:spacing w:after="0"/>
              <w:rPr>
                <w:sz w:val="1"/>
                <w:szCs w:val="1"/>
                <w:color w:val="auto"/>
              </w:rPr>
            </w:pPr>
          </w:p>
        </w:tc>
      </w:tr>
      <w:tr>
        <w:trPr>
          <w:trHeight w:val="257"/>
        </w:trPr>
        <w:tc>
          <w:tcPr>
            <w:tcW w:w="1400" w:type="dxa"/>
            <w:vAlign w:val="bottom"/>
            <w:tcBorders>
              <w:bottom w:val="single" w:sz="8" w:color="auto"/>
            </w:tcBorders>
          </w:tcPr>
          <w:p>
            <w:pPr>
              <w:spacing w:after="0"/>
              <w:rPr>
                <w:sz w:val="22"/>
                <w:szCs w:val="22"/>
                <w:color w:val="auto"/>
              </w:rPr>
            </w:pPr>
          </w:p>
        </w:tc>
        <w:tc>
          <w:tcPr>
            <w:tcW w:w="9840" w:type="dxa"/>
            <w:vAlign w:val="bottom"/>
            <w:tcBorders>
              <w:bottom w:val="single" w:sz="8" w:color="auto"/>
            </w:tcBorders>
            <w:gridSpan w:val="6"/>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BASSO SPAC FUND LLC</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w w:val="97"/>
              </w:rPr>
              <w:t>Delaware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4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40"/>
              <w:spacing w:after="0"/>
              <w:rPr>
                <w:sz w:val="20"/>
                <w:szCs w:val="20"/>
                <w:color w:val="auto"/>
              </w:rPr>
            </w:pPr>
            <w:r>
              <w:rPr>
                <w:rFonts w:ascii="Arial" w:cs="Arial" w:eastAsia="Arial" w:hAnsi="Arial"/>
                <w:sz w:val="18"/>
                <w:szCs w:val="18"/>
                <w:color w:val="auto"/>
              </w:rPr>
              <w:t>1,287,224</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40"/>
              <w:spacing w:after="0"/>
              <w:rPr>
                <w:sz w:val="20"/>
                <w:szCs w:val="20"/>
                <w:color w:val="auto"/>
              </w:rPr>
            </w:pPr>
            <w:r>
              <w:rPr>
                <w:rFonts w:ascii="Arial" w:cs="Arial" w:eastAsia="Arial" w:hAnsi="Arial"/>
                <w:sz w:val="18"/>
                <w:szCs w:val="18"/>
                <w:color w:val="auto"/>
              </w:rPr>
              <w:t>1,287,224</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w w:val="92"/>
              </w:rPr>
              <w:t>1,287,224</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5.15%</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6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9"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40" w:type="dxa"/>
            <w:vAlign w:val="bottom"/>
            <w:gridSpan w:val="3"/>
          </w:tcPr>
          <w:p>
            <w:pPr>
              <w:spacing w:after="0"/>
              <w:rPr>
                <w:sz w:val="20"/>
                <w:szCs w:val="20"/>
                <w:color w:val="auto"/>
              </w:rPr>
            </w:pPr>
            <w:r>
              <w:rPr>
                <w:rFonts w:ascii="Arial" w:cs="Arial" w:eastAsia="Arial" w:hAnsi="Arial"/>
                <w:sz w:val="18"/>
                <w:szCs w:val="18"/>
                <w:color w:val="auto"/>
              </w:rPr>
              <w:t>CUSIP No. G8136L106</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160"/>
              <w:spacing w:after="0"/>
              <w:rPr>
                <w:sz w:val="20"/>
                <w:szCs w:val="20"/>
                <w:color w:val="auto"/>
              </w:rPr>
            </w:pPr>
            <w:r>
              <w:rPr>
                <w:rFonts w:ascii="Arial" w:cs="Arial" w:eastAsia="Arial" w:hAnsi="Arial"/>
                <w:sz w:val="18"/>
                <w:szCs w:val="18"/>
                <w:color w:val="auto"/>
                <w:w w:val="83"/>
              </w:rPr>
              <w:t>Page 3 of 11 Pages</w:t>
            </w:r>
          </w:p>
        </w:tc>
        <w:tc>
          <w:tcPr>
            <w:tcW w:w="0" w:type="dxa"/>
            <w:vAlign w:val="bottom"/>
          </w:tcPr>
          <w:p>
            <w:pPr>
              <w:spacing w:after="0"/>
              <w:rPr>
                <w:sz w:val="1"/>
                <w:szCs w:val="1"/>
                <w:color w:val="auto"/>
              </w:rPr>
            </w:pPr>
          </w:p>
        </w:tc>
      </w:tr>
      <w:tr>
        <w:trPr>
          <w:trHeight w:val="229"/>
        </w:trPr>
        <w:tc>
          <w:tcPr>
            <w:tcW w:w="1400" w:type="dxa"/>
            <w:vAlign w:val="bottom"/>
            <w:tcBorders>
              <w:bottom w:val="single" w:sz="8" w:color="auto"/>
            </w:tcBorders>
          </w:tcPr>
          <w:p>
            <w:pPr>
              <w:spacing w:after="0"/>
              <w:rPr>
                <w:sz w:val="19"/>
                <w:szCs w:val="19"/>
                <w:color w:val="auto"/>
              </w:rPr>
            </w:pPr>
          </w:p>
        </w:tc>
        <w:tc>
          <w:tcPr>
            <w:tcW w:w="9840" w:type="dxa"/>
            <w:vAlign w:val="bottom"/>
            <w:tcBorders>
              <w:bottom w:val="single" w:sz="8" w:color="auto"/>
            </w:tcBorders>
            <w:gridSpan w:val="6"/>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BASSO MANAGEMENT, LLC</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w w:val="97"/>
              </w:rPr>
              <w:t>Delaware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4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40"/>
              <w:spacing w:after="0"/>
              <w:rPr>
                <w:sz w:val="20"/>
                <w:szCs w:val="20"/>
                <w:color w:val="auto"/>
              </w:rPr>
            </w:pPr>
            <w:r>
              <w:rPr>
                <w:rFonts w:ascii="Arial" w:cs="Arial" w:eastAsia="Arial" w:hAnsi="Arial"/>
                <w:sz w:val="18"/>
                <w:szCs w:val="18"/>
                <w:color w:val="auto"/>
              </w:rPr>
              <w:t>1,287,224</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40"/>
              <w:spacing w:after="0"/>
              <w:rPr>
                <w:sz w:val="20"/>
                <w:szCs w:val="20"/>
                <w:color w:val="auto"/>
              </w:rPr>
            </w:pPr>
            <w:r>
              <w:rPr>
                <w:rFonts w:ascii="Arial" w:cs="Arial" w:eastAsia="Arial" w:hAnsi="Arial"/>
                <w:sz w:val="18"/>
                <w:szCs w:val="18"/>
                <w:color w:val="auto"/>
              </w:rPr>
              <w:t>1,287,224</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w w:val="92"/>
              </w:rPr>
              <w:t>1,287,224</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5.15%</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9"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40" w:type="dxa"/>
            <w:vAlign w:val="bottom"/>
            <w:gridSpan w:val="3"/>
          </w:tcPr>
          <w:p>
            <w:pPr>
              <w:spacing w:after="0"/>
              <w:rPr>
                <w:sz w:val="20"/>
                <w:szCs w:val="20"/>
                <w:color w:val="auto"/>
              </w:rPr>
            </w:pPr>
            <w:r>
              <w:rPr>
                <w:rFonts w:ascii="Arial" w:cs="Arial" w:eastAsia="Arial" w:hAnsi="Arial"/>
                <w:sz w:val="18"/>
                <w:szCs w:val="18"/>
                <w:color w:val="auto"/>
              </w:rPr>
              <w:t>CUSIP No. G8136L106</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160"/>
              <w:spacing w:after="0"/>
              <w:rPr>
                <w:sz w:val="20"/>
                <w:szCs w:val="20"/>
                <w:color w:val="auto"/>
              </w:rPr>
            </w:pPr>
            <w:r>
              <w:rPr>
                <w:rFonts w:ascii="Arial" w:cs="Arial" w:eastAsia="Arial" w:hAnsi="Arial"/>
                <w:sz w:val="18"/>
                <w:szCs w:val="18"/>
                <w:color w:val="auto"/>
                <w:w w:val="83"/>
              </w:rPr>
              <w:t>Page 4 of 11 Pages</w:t>
            </w:r>
          </w:p>
        </w:tc>
        <w:tc>
          <w:tcPr>
            <w:tcW w:w="0" w:type="dxa"/>
            <w:vAlign w:val="bottom"/>
          </w:tcPr>
          <w:p>
            <w:pPr>
              <w:spacing w:after="0"/>
              <w:rPr>
                <w:sz w:val="1"/>
                <w:szCs w:val="1"/>
                <w:color w:val="auto"/>
              </w:rPr>
            </w:pPr>
          </w:p>
        </w:tc>
      </w:tr>
      <w:tr>
        <w:trPr>
          <w:trHeight w:val="229"/>
        </w:trPr>
        <w:tc>
          <w:tcPr>
            <w:tcW w:w="1400" w:type="dxa"/>
            <w:vAlign w:val="bottom"/>
            <w:tcBorders>
              <w:bottom w:val="single" w:sz="8" w:color="auto"/>
            </w:tcBorders>
          </w:tcPr>
          <w:p>
            <w:pPr>
              <w:spacing w:after="0"/>
              <w:rPr>
                <w:sz w:val="19"/>
                <w:szCs w:val="19"/>
                <w:color w:val="auto"/>
              </w:rPr>
            </w:pPr>
          </w:p>
        </w:tc>
        <w:tc>
          <w:tcPr>
            <w:tcW w:w="9840" w:type="dxa"/>
            <w:vAlign w:val="bottom"/>
            <w:tcBorders>
              <w:bottom w:val="single" w:sz="8" w:color="auto"/>
            </w:tcBorders>
            <w:gridSpan w:val="6"/>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BASSO CAPITAL MANAGEMENT, L.P.</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w w:val="97"/>
              </w:rPr>
              <w:t>Delaware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4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40"/>
              <w:spacing w:after="0"/>
              <w:rPr>
                <w:sz w:val="20"/>
                <w:szCs w:val="20"/>
                <w:color w:val="auto"/>
              </w:rPr>
            </w:pPr>
            <w:r>
              <w:rPr>
                <w:rFonts w:ascii="Arial" w:cs="Arial" w:eastAsia="Arial" w:hAnsi="Arial"/>
                <w:sz w:val="18"/>
                <w:szCs w:val="18"/>
                <w:color w:val="auto"/>
              </w:rPr>
              <w:t>1,287,224</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40"/>
              <w:spacing w:after="0"/>
              <w:rPr>
                <w:sz w:val="20"/>
                <w:szCs w:val="20"/>
                <w:color w:val="auto"/>
              </w:rPr>
            </w:pPr>
            <w:r>
              <w:rPr>
                <w:rFonts w:ascii="Arial" w:cs="Arial" w:eastAsia="Arial" w:hAnsi="Arial"/>
                <w:sz w:val="18"/>
                <w:szCs w:val="18"/>
                <w:color w:val="auto"/>
              </w:rPr>
              <w:t>1,287,224</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w w:val="92"/>
              </w:rPr>
              <w:t>1,287,224</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5.15%</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IA, PN</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9"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40" w:type="dxa"/>
            <w:vAlign w:val="bottom"/>
            <w:gridSpan w:val="3"/>
          </w:tcPr>
          <w:p>
            <w:pPr>
              <w:spacing w:after="0"/>
              <w:rPr>
                <w:sz w:val="20"/>
                <w:szCs w:val="20"/>
                <w:color w:val="auto"/>
              </w:rPr>
            </w:pPr>
            <w:r>
              <w:rPr>
                <w:rFonts w:ascii="Arial" w:cs="Arial" w:eastAsia="Arial" w:hAnsi="Arial"/>
                <w:sz w:val="18"/>
                <w:szCs w:val="18"/>
                <w:color w:val="auto"/>
              </w:rPr>
              <w:t>CUSIP No. G8136L106</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160"/>
              <w:spacing w:after="0"/>
              <w:rPr>
                <w:sz w:val="20"/>
                <w:szCs w:val="20"/>
                <w:color w:val="auto"/>
              </w:rPr>
            </w:pPr>
            <w:r>
              <w:rPr>
                <w:rFonts w:ascii="Arial" w:cs="Arial" w:eastAsia="Arial" w:hAnsi="Arial"/>
                <w:sz w:val="18"/>
                <w:szCs w:val="18"/>
                <w:color w:val="auto"/>
                <w:w w:val="83"/>
              </w:rPr>
              <w:t>Page 5 of 11 Pages</w:t>
            </w:r>
          </w:p>
        </w:tc>
        <w:tc>
          <w:tcPr>
            <w:tcW w:w="0" w:type="dxa"/>
            <w:vAlign w:val="bottom"/>
          </w:tcPr>
          <w:p>
            <w:pPr>
              <w:spacing w:after="0"/>
              <w:rPr>
                <w:sz w:val="1"/>
                <w:szCs w:val="1"/>
                <w:color w:val="auto"/>
              </w:rPr>
            </w:pPr>
          </w:p>
        </w:tc>
      </w:tr>
      <w:tr>
        <w:trPr>
          <w:trHeight w:val="229"/>
        </w:trPr>
        <w:tc>
          <w:tcPr>
            <w:tcW w:w="1400" w:type="dxa"/>
            <w:vAlign w:val="bottom"/>
            <w:tcBorders>
              <w:bottom w:val="single" w:sz="8" w:color="auto"/>
            </w:tcBorders>
          </w:tcPr>
          <w:p>
            <w:pPr>
              <w:spacing w:after="0"/>
              <w:rPr>
                <w:sz w:val="19"/>
                <w:szCs w:val="19"/>
                <w:color w:val="auto"/>
              </w:rPr>
            </w:pPr>
          </w:p>
        </w:tc>
        <w:tc>
          <w:tcPr>
            <w:tcW w:w="9840" w:type="dxa"/>
            <w:vAlign w:val="bottom"/>
            <w:tcBorders>
              <w:bottom w:val="single" w:sz="8" w:color="auto"/>
            </w:tcBorders>
            <w:gridSpan w:val="6"/>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BASSO GP, LLC</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w w:val="97"/>
              </w:rPr>
              <w:t>Delaware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4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40"/>
              <w:spacing w:after="0"/>
              <w:rPr>
                <w:sz w:val="20"/>
                <w:szCs w:val="20"/>
                <w:color w:val="auto"/>
              </w:rPr>
            </w:pPr>
            <w:r>
              <w:rPr>
                <w:rFonts w:ascii="Arial" w:cs="Arial" w:eastAsia="Arial" w:hAnsi="Arial"/>
                <w:sz w:val="18"/>
                <w:szCs w:val="18"/>
                <w:color w:val="auto"/>
              </w:rPr>
              <w:t>1,287,224</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40"/>
              <w:spacing w:after="0"/>
              <w:rPr>
                <w:sz w:val="20"/>
                <w:szCs w:val="20"/>
                <w:color w:val="auto"/>
              </w:rPr>
            </w:pPr>
            <w:r>
              <w:rPr>
                <w:rFonts w:ascii="Arial" w:cs="Arial" w:eastAsia="Arial" w:hAnsi="Arial"/>
                <w:sz w:val="18"/>
                <w:szCs w:val="18"/>
                <w:color w:val="auto"/>
              </w:rPr>
              <w:t>1,287,224</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w w:val="92"/>
              </w:rPr>
              <w:t>1,287,224</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5.15%</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OO, HC</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9"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40" w:type="dxa"/>
            <w:vAlign w:val="bottom"/>
            <w:gridSpan w:val="3"/>
          </w:tcPr>
          <w:p>
            <w:pPr>
              <w:spacing w:after="0"/>
              <w:rPr>
                <w:sz w:val="20"/>
                <w:szCs w:val="20"/>
                <w:color w:val="auto"/>
              </w:rPr>
            </w:pPr>
            <w:r>
              <w:rPr>
                <w:rFonts w:ascii="Arial" w:cs="Arial" w:eastAsia="Arial" w:hAnsi="Arial"/>
                <w:sz w:val="18"/>
                <w:szCs w:val="18"/>
                <w:color w:val="auto"/>
              </w:rPr>
              <w:t>CUSIP No. G8136L106</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160"/>
              <w:spacing w:after="0"/>
              <w:rPr>
                <w:sz w:val="20"/>
                <w:szCs w:val="20"/>
                <w:color w:val="auto"/>
              </w:rPr>
            </w:pPr>
            <w:r>
              <w:rPr>
                <w:rFonts w:ascii="Arial" w:cs="Arial" w:eastAsia="Arial" w:hAnsi="Arial"/>
                <w:sz w:val="18"/>
                <w:szCs w:val="18"/>
                <w:color w:val="auto"/>
                <w:w w:val="83"/>
              </w:rPr>
              <w:t>Page 6 of 11 Pages</w:t>
            </w:r>
          </w:p>
        </w:tc>
        <w:tc>
          <w:tcPr>
            <w:tcW w:w="0" w:type="dxa"/>
            <w:vAlign w:val="bottom"/>
          </w:tcPr>
          <w:p>
            <w:pPr>
              <w:spacing w:after="0"/>
              <w:rPr>
                <w:sz w:val="1"/>
                <w:szCs w:val="1"/>
                <w:color w:val="auto"/>
              </w:rPr>
            </w:pPr>
          </w:p>
        </w:tc>
      </w:tr>
      <w:tr>
        <w:trPr>
          <w:trHeight w:val="229"/>
        </w:trPr>
        <w:tc>
          <w:tcPr>
            <w:tcW w:w="1400" w:type="dxa"/>
            <w:vAlign w:val="bottom"/>
            <w:tcBorders>
              <w:bottom w:val="single" w:sz="8" w:color="auto"/>
            </w:tcBorders>
          </w:tcPr>
          <w:p>
            <w:pPr>
              <w:spacing w:after="0"/>
              <w:rPr>
                <w:sz w:val="19"/>
                <w:szCs w:val="19"/>
                <w:color w:val="auto"/>
              </w:rPr>
            </w:pPr>
          </w:p>
        </w:tc>
        <w:tc>
          <w:tcPr>
            <w:tcW w:w="9840" w:type="dxa"/>
            <w:vAlign w:val="bottom"/>
            <w:tcBorders>
              <w:bottom w:val="single" w:sz="8" w:color="auto"/>
            </w:tcBorders>
            <w:gridSpan w:val="6"/>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HOWARD I. FISCHER</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jc w:val="right"/>
              <w:ind w:right="280"/>
              <w:spacing w:after="0"/>
              <w:rPr>
                <w:sz w:val="20"/>
                <w:szCs w:val="20"/>
                <w:color w:val="auto"/>
              </w:rPr>
            </w:pPr>
            <w:r>
              <w:rPr>
                <w:rFonts w:ascii="Arial" w:cs="Arial" w:eastAsia="Arial" w:hAnsi="Arial"/>
                <w:sz w:val="18"/>
                <w:szCs w:val="18"/>
                <w:color w:val="auto"/>
                <w:w w:val="94"/>
              </w:rPr>
              <w:t>United States</w:t>
            </w: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4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40"/>
              <w:spacing w:after="0"/>
              <w:rPr>
                <w:sz w:val="20"/>
                <w:szCs w:val="20"/>
                <w:color w:val="auto"/>
              </w:rPr>
            </w:pPr>
            <w:r>
              <w:rPr>
                <w:rFonts w:ascii="Arial" w:cs="Arial" w:eastAsia="Arial" w:hAnsi="Arial"/>
                <w:sz w:val="18"/>
                <w:szCs w:val="18"/>
                <w:color w:val="auto"/>
              </w:rPr>
              <w:t>1,287,224</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40"/>
              <w:spacing w:after="0"/>
              <w:rPr>
                <w:sz w:val="20"/>
                <w:szCs w:val="20"/>
                <w:color w:val="auto"/>
              </w:rPr>
            </w:pPr>
            <w:r>
              <w:rPr>
                <w:rFonts w:ascii="Arial" w:cs="Arial" w:eastAsia="Arial" w:hAnsi="Arial"/>
                <w:sz w:val="18"/>
                <w:szCs w:val="18"/>
                <w:color w:val="auto"/>
              </w:rPr>
              <w:t>1,287,224</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w w:val="92"/>
              </w:rPr>
              <w:t>1,287,224</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5.15%</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IN, HC</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9"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Page 7 of 11 Pages</w:t>
      </w:r>
    </w:p>
    <w:p>
      <w:pPr>
        <w:spacing w:after="0" w:line="23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Silver Spike Acquisition Corp. (the “Issuer”)</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600 Madison Ave, 17th Floor, New York, New York 10022</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This Statement is filed on behalf of the following persons (collectively, the “Reporting Persons”):</w:t>
      </w:r>
    </w:p>
    <w:p>
      <w:pPr>
        <w:spacing w:after="0" w:line="173" w:lineRule="exact"/>
        <w:rPr>
          <w:sz w:val="20"/>
          <w:szCs w:val="20"/>
          <w:color w:val="auto"/>
        </w:rPr>
      </w:pPr>
    </w:p>
    <w:p>
      <w:pPr>
        <w:ind w:left="1960" w:hanging="656"/>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Basso SPAC Fund LLC (“Basso SPAC”);</w:t>
      </w:r>
    </w:p>
    <w:p>
      <w:pPr>
        <w:spacing w:after="0" w:line="23" w:lineRule="exact"/>
        <w:rPr>
          <w:rFonts w:ascii="Arial" w:cs="Arial" w:eastAsia="Arial" w:hAnsi="Arial"/>
          <w:sz w:val="18"/>
          <w:szCs w:val="18"/>
          <w:color w:val="auto"/>
        </w:rPr>
      </w:pPr>
    </w:p>
    <w:p>
      <w:pPr>
        <w:ind w:left="1960" w:hanging="656"/>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Basso Management, LLC (“Basso Management”);</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Basso Capital Management, L.P. (“BCM”);</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Basso GP, LLC (“Basso GP”); and</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Howard I. Fischer (“Mr. Fischer”).</w:t>
      </w:r>
    </w:p>
    <w:p>
      <w:pPr>
        <w:spacing w:after="0" w:line="177"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19"/>
          <w:szCs w:val="19"/>
          <w:color w:val="auto"/>
        </w:rPr>
        <w:t>This Statement relates to Shares (as defined herein) directly beneficially owned by Basso SPAC. Basso Management is the manager of Basso SPAC. BCM serves as the investment manager of Basso SPAC. Basso GP is the general partner of BCM. Mr. Fischer is the principal portfolio manager for Basso SPAC, the Chief Executive Officer and a Founding Managing Partner of BCM, and a member of each of Basso Management and Basso GP. Accordingly, each of Basso Management, BCM, Basso GP and Mr. Fischer may be deemed to indirectly beneficially own the Shares reported herein.</w:t>
      </w:r>
    </w:p>
    <w:p>
      <w:pPr>
        <w:spacing w:after="0" w:line="1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95" w:lineRule="exact"/>
        <w:rPr>
          <w:sz w:val="20"/>
          <w:szCs w:val="20"/>
          <w:color w:val="auto"/>
        </w:rPr>
      </w:pPr>
    </w:p>
    <w:p>
      <w:pPr>
        <w:ind w:right="440" w:firstLine="1296"/>
        <w:spacing w:after="0" w:line="226" w:lineRule="auto"/>
        <w:rPr>
          <w:sz w:val="20"/>
          <w:szCs w:val="20"/>
          <w:color w:val="auto"/>
        </w:rPr>
      </w:pPr>
      <w:r>
        <w:rPr>
          <w:rFonts w:ascii="Arial" w:cs="Arial" w:eastAsia="Arial" w:hAnsi="Arial"/>
          <w:sz w:val="22"/>
          <w:szCs w:val="22"/>
          <w:color w:val="auto"/>
        </w:rPr>
        <w:t>The address of the principal business office of each of the Reporting Persons is 1266 East Main Street, Fourth Floor, Stamford, Connecticut 06902.</w:t>
      </w:r>
    </w:p>
    <w:p>
      <w:pPr>
        <w:spacing w:after="0" w:line="1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95" w:lineRule="exact"/>
        <w:rPr>
          <w:sz w:val="20"/>
          <w:szCs w:val="20"/>
          <w:color w:val="auto"/>
        </w:rPr>
      </w:pPr>
    </w:p>
    <w:p>
      <w:pPr>
        <w:ind w:right="620" w:firstLine="1296"/>
        <w:spacing w:after="0" w:line="226" w:lineRule="auto"/>
        <w:rPr>
          <w:sz w:val="20"/>
          <w:szCs w:val="20"/>
          <w:color w:val="auto"/>
        </w:rPr>
      </w:pPr>
      <w:r>
        <w:rPr>
          <w:rFonts w:ascii="Arial" w:cs="Arial" w:eastAsia="Arial" w:hAnsi="Arial"/>
          <w:sz w:val="22"/>
          <w:szCs w:val="22"/>
          <w:color w:val="auto"/>
        </w:rPr>
        <w:t>Each of Basso SPAC, Basso Management, and Basso GP is a Delaware limited liability company. BCM is a Delaware limited partnership. Mr. Fischer is a citizen of the United States.</w:t>
      </w:r>
    </w:p>
    <w:p>
      <w:pPr>
        <w:sectPr>
          <w:pgSz w:w="11900" w:h="16838" w:orient="portrait"/>
          <w:cols w:equalWidth="0" w:num="1">
            <w:col w:w="11240"/>
          </w:cols>
          <w:pgMar w:left="320" w:top="139" w:right="339" w:bottom="1440" w:gutter="0" w:footer="0" w:header="0"/>
        </w:sectPr>
      </w:pP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Title of Class of Securities:</w:t>
      </w:r>
    </w:p>
    <w:p>
      <w:pPr>
        <w:spacing w:after="0" w:line="211" w:lineRule="exact"/>
        <w:rPr>
          <w:sz w:val="20"/>
          <w:szCs w:val="20"/>
          <w:color w:val="auto"/>
        </w:rPr>
      </w:pPr>
    </w:p>
    <w:p>
      <w:pPr>
        <w:sectPr>
          <w:pgSz w:w="11900" w:h="16838" w:orient="portrait"/>
          <w:cols w:equalWidth="0" w:num="2">
            <w:col w:w="760" w:space="540"/>
            <w:col w:w="9940"/>
          </w:cols>
          <w:pgMar w:left="320" w:top="139" w:right="339" w:bottom="1440" w:gutter="0" w:footer="0" w:header="0"/>
          <w:type w:val="continuous"/>
        </w:sectPr>
      </w:pPr>
    </w:p>
    <w:p>
      <w:pPr>
        <w:spacing w:after="0" w:line="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Class A ordinary shares, par value $0.0001 per share (the “Shares”)</w:t>
      </w:r>
    </w:p>
    <w:p>
      <w:pPr>
        <w:sectPr>
          <w:pgSz w:w="11900" w:h="16838" w:orient="portrait"/>
          <w:cols w:equalWidth="0" w:num="1">
            <w:col w:w="11240"/>
          </w:cols>
          <w:pgMar w:left="320" w:top="139"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CUSIP Number:</w:t>
      </w:r>
    </w:p>
    <w:p>
      <w:pPr>
        <w:spacing w:after="0" w:line="200" w:lineRule="exact"/>
        <w:rPr>
          <w:sz w:val="20"/>
          <w:szCs w:val="20"/>
          <w:color w:val="auto"/>
        </w:rPr>
      </w:pPr>
    </w:p>
    <w:p>
      <w:pPr>
        <w:sectPr>
          <w:pgSz w:w="11900" w:h="16838" w:orient="portrait"/>
          <w:cols w:equalWidth="0" w:num="2">
            <w:col w:w="740" w:space="560"/>
            <w:col w:w="9940"/>
          </w:cols>
          <w:pgMar w:left="320" w:top="139" w:right="339" w:bottom="1440" w:gutter="0" w:footer="0" w:header="0"/>
          <w:type w:val="continuous"/>
        </w:sectPr>
      </w:pPr>
    </w:p>
    <w:p>
      <w:pPr>
        <w:spacing w:after="0" w:line="4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G8136L106</w:t>
      </w:r>
    </w:p>
    <w:p>
      <w:pPr>
        <w:sectPr>
          <w:pgSz w:w="11900" w:h="16838" w:orient="portrait"/>
          <w:cols w:equalWidth="0" w:num="1">
            <w:col w:w="11240"/>
          </w:cols>
          <w:pgMar w:left="320" w:top="139" w:right="33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This Statement is Filed Pursuant to §§240.13d-1(b) or 240.13d-2(b) or (c), Check Whether the Person Filing is a:</w:t>
      </w:r>
    </w:p>
    <w:p>
      <w:pPr>
        <w:spacing w:after="0" w:line="211" w:lineRule="exact"/>
        <w:rPr>
          <w:sz w:val="20"/>
          <w:szCs w:val="20"/>
          <w:color w:val="auto"/>
        </w:rPr>
      </w:pPr>
    </w:p>
    <w:p>
      <w:pPr>
        <w:sectPr>
          <w:pgSz w:w="11900" w:h="16838" w:orient="portrait"/>
          <w:cols w:equalWidth="0" w:num="2">
            <w:col w:w="580" w:space="720"/>
            <w:col w:w="9940"/>
          </w:cols>
          <w:pgMar w:left="320" w:top="139" w:right="339" w:bottom="1440" w:gutter="0" w:footer="0" w:header="0"/>
          <w:type w:val="continuous"/>
        </w:sectPr>
      </w:pPr>
    </w:p>
    <w:p>
      <w:pPr>
        <w:spacing w:after="0" w:line="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Item 3 is not applicable.</w:t>
      </w:r>
    </w:p>
    <w:p>
      <w:pPr>
        <w:sectPr>
          <w:pgSz w:w="11900" w:h="16838" w:orient="portrait"/>
          <w:cols w:equalWidth="0" w:num="1">
            <w:col w:w="11240"/>
          </w:cols>
          <w:pgMar w:left="320" w:top="139" w:right="339" w:bottom="1440" w:gutter="0" w:footer="0" w:header="0"/>
          <w:type w:val="continuous"/>
        </w:sectPr>
      </w:pPr>
    </w:p>
    <w:p>
      <w:pPr>
        <w:spacing w:after="0" w:line="203" w:lineRule="exact"/>
        <w:rPr>
          <w:sz w:val="20"/>
          <w:szCs w:val="20"/>
          <w:color w:val="auto"/>
        </w:rPr>
      </w:pPr>
    </w:p>
    <w:p>
      <w:pPr>
        <w:spacing w:after="0" w:line="553" w:lineRule="auto"/>
        <w:rPr>
          <w:sz w:val="20"/>
          <w:szCs w:val="20"/>
          <w:color w:val="auto"/>
        </w:rPr>
      </w:pPr>
      <w:r>
        <w:rPr>
          <w:rFonts w:ascii="Arial" w:cs="Arial" w:eastAsia="Arial" w:hAnsi="Arial"/>
          <w:sz w:val="17"/>
          <w:szCs w:val="17"/>
          <w:b w:val="1"/>
          <w:bCs w:val="1"/>
          <w:color w:val="auto"/>
        </w:rPr>
        <w:t>Item 4. Item 4(a)</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 Beneficially Owned:</w:t>
      </w:r>
    </w:p>
    <w:p>
      <w:pPr>
        <w:spacing w:after="0" w:line="258" w:lineRule="exact"/>
        <w:rPr>
          <w:sz w:val="20"/>
          <w:szCs w:val="20"/>
          <w:color w:val="auto"/>
        </w:rPr>
      </w:pPr>
    </w:p>
    <w:p>
      <w:pPr>
        <w:sectPr>
          <w:pgSz w:w="11900" w:h="16838" w:orient="portrait"/>
          <w:cols w:equalWidth="0" w:num="2">
            <w:col w:w="720" w:space="580"/>
            <w:col w:w="9940"/>
          </w:cols>
          <w:pgMar w:left="320" w:top="139" w:right="339" w:bottom="1440" w:gutter="0" w:footer="0" w:header="0"/>
          <w:type w:val="continuous"/>
        </w:sectPr>
      </w:pPr>
    </w:p>
    <w:p>
      <w:pPr>
        <w:jc w:val="both"/>
        <w:ind w:firstLine="1296"/>
        <w:spacing w:after="0" w:line="214" w:lineRule="auto"/>
        <w:rPr>
          <w:sz w:val="20"/>
          <w:szCs w:val="20"/>
          <w:color w:val="auto"/>
        </w:rPr>
      </w:pPr>
      <w:r>
        <w:rPr>
          <w:rFonts w:ascii="Arial" w:cs="Arial" w:eastAsia="Arial" w:hAnsi="Arial"/>
          <w:sz w:val="22"/>
          <w:szCs w:val="22"/>
          <w:color w:val="auto"/>
        </w:rPr>
        <w:t>As of May 14, 2020, each of the Reporting Persons may be deemed the beneficial owner of 1,287,224 Shares. This amount consists of (i) 485,224 Shares, and (ii) 802,000 Shares underlying units (“Units”). This amount excludes the rights to receive Shares (“Rights”) and warrants to purchase Shares (“Warrants”),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7" w:name="page8"/>
    <w:bookmarkEnd w:id="7"/>
    <w:p>
      <w:pPr>
        <w:ind w:left="9880"/>
        <w:spacing w:after="0"/>
        <w:rPr>
          <w:sz w:val="20"/>
          <w:szCs w:val="20"/>
          <w:color w:val="auto"/>
        </w:rPr>
      </w:pPr>
      <w:r>
        <w:rPr>
          <w:rFonts w:ascii="Arial" w:cs="Arial" w:eastAsia="Arial" w:hAnsi="Arial"/>
          <w:sz w:val="15"/>
          <w:szCs w:val="15"/>
          <w:color w:val="auto"/>
        </w:rPr>
        <w:t>Page 8 of 11 Pages</w:t>
      </w:r>
    </w:p>
    <w:p>
      <w:pPr>
        <w:spacing w:after="0" w:line="239"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underlying the Units and/or held directly by the Reporting Persons, because the Reporting Persons do not have the right to acquire the Shares underlying the Rights or Warrants within 60 days.</w:t>
      </w:r>
    </w:p>
    <w:p>
      <w:pPr>
        <w:spacing w:after="0" w:line="1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4(b)</w:t>
      </w:r>
      <w:r>
        <w:rPr>
          <w:sz w:val="20"/>
          <w:szCs w:val="20"/>
          <w:color w:val="auto"/>
        </w:rPr>
        <w:tab/>
      </w:r>
      <w:r>
        <w:rPr>
          <w:rFonts w:ascii="Arial" w:cs="Arial" w:eastAsia="Arial" w:hAnsi="Arial"/>
          <w:sz w:val="15"/>
          <w:szCs w:val="15"/>
          <w:b w:val="1"/>
          <w:bCs w:val="1"/>
          <w:color w:val="auto"/>
        </w:rPr>
        <w:t>Percent of Class:</w:t>
      </w:r>
    </w:p>
    <w:p>
      <w:pPr>
        <w:spacing w:after="0" w:line="195"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As of May 14, 2020, each of the Reporting Persons may be deemed the beneficial owner of approximately 5.15% of Shares outstanding. (There were 25,000,000 Shares outstanding as of May 12, 2020, according to the Issuer’s Form 10-Q, filed on May 12,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Item4(c)</w:t>
            </w:r>
          </w:p>
        </w:tc>
        <w:tc>
          <w:tcPr>
            <w:tcW w:w="7500" w:type="dxa"/>
            <w:vAlign w:val="bottom"/>
          </w:tcPr>
          <w:p>
            <w:pPr>
              <w:ind w:left="320"/>
              <w:spacing w:after="0"/>
              <w:rPr>
                <w:sz w:val="20"/>
                <w:szCs w:val="20"/>
                <w:color w:val="auto"/>
              </w:rPr>
            </w:pPr>
            <w:r>
              <w:rPr>
                <w:rFonts w:ascii="Arial" w:cs="Arial" w:eastAsia="Arial" w:hAnsi="Arial"/>
                <w:sz w:val="18"/>
                <w:szCs w:val="18"/>
                <w:b w:val="1"/>
                <w:bCs w:val="1"/>
                <w:color w:val="auto"/>
              </w:rPr>
              <w:t>Number of Shares as to which such person has:</w:t>
            </w:r>
          </w:p>
        </w:tc>
        <w:tc>
          <w:tcPr>
            <w:tcW w:w="2700" w:type="dxa"/>
            <w:vAlign w:val="bottom"/>
          </w:tcPr>
          <w:p>
            <w:pPr>
              <w:spacing w:after="0"/>
              <w:rPr>
                <w:sz w:val="20"/>
                <w:szCs w:val="20"/>
                <w:color w:val="auto"/>
              </w:rPr>
            </w:pPr>
          </w:p>
        </w:tc>
      </w:tr>
      <w:tr>
        <w:trPr>
          <w:trHeight w:val="459"/>
        </w:trPr>
        <w:tc>
          <w:tcPr>
            <w:tcW w:w="8480" w:type="dxa"/>
            <w:vAlign w:val="bottom"/>
            <w:gridSpan w:val="2"/>
          </w:tcPr>
          <w:p>
            <w:pPr>
              <w:ind w:left="60"/>
              <w:spacing w:after="0"/>
              <w:rPr>
                <w:sz w:val="20"/>
                <w:szCs w:val="20"/>
                <w:color w:val="auto"/>
              </w:rPr>
            </w:pPr>
            <w:r>
              <w:rPr>
                <w:rFonts w:ascii="Arial" w:cs="Arial" w:eastAsia="Arial" w:hAnsi="Arial"/>
                <w:sz w:val="18"/>
                <w:szCs w:val="18"/>
                <w:color w:val="auto"/>
              </w:rPr>
              <w:t>(i) Sole power to vote or direct the vote:</w:t>
            </w:r>
          </w:p>
        </w:tc>
        <w:tc>
          <w:tcPr>
            <w:tcW w:w="27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11"/>
        </w:trPr>
        <w:tc>
          <w:tcPr>
            <w:tcW w:w="8480" w:type="dxa"/>
            <w:vAlign w:val="bottom"/>
            <w:gridSpan w:val="2"/>
          </w:tcPr>
          <w:p>
            <w:pPr>
              <w:ind w:left="60"/>
              <w:spacing w:after="0"/>
              <w:rPr>
                <w:sz w:val="20"/>
                <w:szCs w:val="20"/>
                <w:color w:val="auto"/>
              </w:rPr>
            </w:pPr>
            <w:r>
              <w:rPr>
                <w:rFonts w:ascii="Arial" w:cs="Arial" w:eastAsia="Arial" w:hAnsi="Arial"/>
                <w:sz w:val="18"/>
                <w:szCs w:val="18"/>
                <w:color w:val="auto"/>
              </w:rPr>
              <w:t>(ii) Shared power to vote or direct the vote:</w:t>
            </w:r>
          </w:p>
        </w:tc>
        <w:tc>
          <w:tcPr>
            <w:tcW w:w="2700" w:type="dxa"/>
            <w:vAlign w:val="bottom"/>
          </w:tcPr>
          <w:p>
            <w:pPr>
              <w:jc w:val="right"/>
              <w:spacing w:after="0"/>
              <w:rPr>
                <w:sz w:val="20"/>
                <w:szCs w:val="20"/>
                <w:color w:val="auto"/>
              </w:rPr>
            </w:pPr>
            <w:r>
              <w:rPr>
                <w:rFonts w:ascii="Arial" w:cs="Arial" w:eastAsia="Arial" w:hAnsi="Arial"/>
                <w:sz w:val="18"/>
                <w:szCs w:val="18"/>
                <w:color w:val="auto"/>
              </w:rPr>
              <w:t>1,287,224</w:t>
            </w:r>
          </w:p>
        </w:tc>
      </w:tr>
      <w:tr>
        <w:trPr>
          <w:trHeight w:val="310"/>
        </w:trPr>
        <w:tc>
          <w:tcPr>
            <w:tcW w:w="8480" w:type="dxa"/>
            <w:vAlign w:val="bottom"/>
            <w:gridSpan w:val="2"/>
          </w:tcPr>
          <w:p>
            <w:pPr>
              <w:ind w:left="60"/>
              <w:spacing w:after="0"/>
              <w:rPr>
                <w:sz w:val="20"/>
                <w:szCs w:val="20"/>
                <w:color w:val="auto"/>
              </w:rPr>
            </w:pPr>
            <w:r>
              <w:rPr>
                <w:rFonts w:ascii="Arial" w:cs="Arial" w:eastAsia="Arial" w:hAnsi="Arial"/>
                <w:sz w:val="18"/>
                <w:szCs w:val="18"/>
                <w:color w:val="auto"/>
              </w:rPr>
              <w:t>(iii) Sole power to dispose or direct the disposition of:</w:t>
            </w:r>
          </w:p>
        </w:tc>
        <w:tc>
          <w:tcPr>
            <w:tcW w:w="27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11"/>
        </w:trPr>
        <w:tc>
          <w:tcPr>
            <w:tcW w:w="8480" w:type="dxa"/>
            <w:vAlign w:val="bottom"/>
            <w:gridSpan w:val="2"/>
          </w:tcPr>
          <w:p>
            <w:pPr>
              <w:ind w:left="60"/>
              <w:spacing w:after="0"/>
              <w:rPr>
                <w:sz w:val="20"/>
                <w:szCs w:val="20"/>
                <w:color w:val="auto"/>
              </w:rPr>
            </w:pPr>
            <w:r>
              <w:rPr>
                <w:rFonts w:ascii="Arial" w:cs="Arial" w:eastAsia="Arial" w:hAnsi="Arial"/>
                <w:sz w:val="18"/>
                <w:szCs w:val="18"/>
                <w:color w:val="auto"/>
              </w:rPr>
              <w:t>(iv) Shared power to dispose or direct the disposition of:</w:t>
            </w:r>
          </w:p>
        </w:tc>
        <w:tc>
          <w:tcPr>
            <w:tcW w:w="2700" w:type="dxa"/>
            <w:vAlign w:val="bottom"/>
          </w:tcPr>
          <w:p>
            <w:pPr>
              <w:jc w:val="right"/>
              <w:spacing w:after="0"/>
              <w:rPr>
                <w:sz w:val="20"/>
                <w:szCs w:val="20"/>
                <w:color w:val="auto"/>
              </w:rPr>
            </w:pPr>
            <w:r>
              <w:rPr>
                <w:rFonts w:ascii="Arial" w:cs="Arial" w:eastAsia="Arial" w:hAnsi="Arial"/>
                <w:sz w:val="18"/>
                <w:szCs w:val="18"/>
                <w:color w:val="auto"/>
              </w:rPr>
              <w:t>1,287,224</w:t>
            </w:r>
          </w:p>
        </w:tc>
      </w:tr>
      <w:tr>
        <w:trPr>
          <w:trHeight w:val="662"/>
        </w:trPr>
        <w:tc>
          <w:tcPr>
            <w:tcW w:w="9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7500" w:type="dxa"/>
            <w:vAlign w:val="bottom"/>
          </w:tcPr>
          <w:p>
            <w:pPr>
              <w:ind w:left="320"/>
              <w:spacing w:after="0"/>
              <w:rPr>
                <w:sz w:val="20"/>
                <w:szCs w:val="20"/>
                <w:color w:val="auto"/>
              </w:rPr>
            </w:pPr>
            <w:r>
              <w:rPr>
                <w:rFonts w:ascii="Arial" w:cs="Arial" w:eastAsia="Arial" w:hAnsi="Arial"/>
                <w:sz w:val="18"/>
                <w:szCs w:val="18"/>
                <w:b w:val="1"/>
                <w:bCs w:val="1"/>
                <w:color w:val="auto"/>
              </w:rPr>
              <w:t>Ownership of Five Percent or Less of a Class:</w:t>
            </w:r>
          </w:p>
        </w:tc>
        <w:tc>
          <w:tcPr>
            <w:tcW w:w="2700" w:type="dxa"/>
            <w:vAlign w:val="bottom"/>
          </w:tcPr>
          <w:p>
            <w:pPr>
              <w:spacing w:after="0"/>
              <w:rPr>
                <w:sz w:val="24"/>
                <w:szCs w:val="24"/>
                <w:color w:val="auto"/>
              </w:rPr>
            </w:pPr>
          </w:p>
        </w:tc>
      </w:tr>
      <w:tr>
        <w:trPr>
          <w:trHeight w:val="483"/>
        </w:trPr>
        <w:tc>
          <w:tcPr>
            <w:tcW w:w="980" w:type="dxa"/>
            <w:vAlign w:val="bottom"/>
          </w:tcPr>
          <w:p>
            <w:pPr>
              <w:spacing w:after="0"/>
              <w:rPr>
                <w:sz w:val="24"/>
                <w:szCs w:val="24"/>
                <w:color w:val="auto"/>
              </w:rPr>
            </w:pPr>
          </w:p>
        </w:tc>
        <w:tc>
          <w:tcPr>
            <w:tcW w:w="7500" w:type="dxa"/>
            <w:vAlign w:val="bottom"/>
          </w:tcPr>
          <w:p>
            <w:pPr>
              <w:ind w:left="320"/>
              <w:spacing w:after="0"/>
              <w:rPr>
                <w:sz w:val="20"/>
                <w:szCs w:val="20"/>
                <w:color w:val="auto"/>
              </w:rPr>
            </w:pPr>
            <w:r>
              <w:rPr>
                <w:rFonts w:ascii="Arial" w:cs="Arial" w:eastAsia="Arial" w:hAnsi="Arial"/>
                <w:sz w:val="22"/>
                <w:szCs w:val="22"/>
                <w:color w:val="auto"/>
              </w:rPr>
              <w:t>This Item 5 is not applicable.</w:t>
            </w:r>
          </w:p>
        </w:tc>
        <w:tc>
          <w:tcPr>
            <w:tcW w:w="2700" w:type="dxa"/>
            <w:vAlign w:val="bottom"/>
          </w:tcPr>
          <w:p>
            <w:pPr>
              <w:spacing w:after="0"/>
              <w:rPr>
                <w:sz w:val="24"/>
                <w:szCs w:val="24"/>
                <w:color w:val="auto"/>
              </w:rPr>
            </w:pPr>
          </w:p>
        </w:tc>
      </w:tr>
      <w:tr>
        <w:trPr>
          <w:trHeight w:val="381"/>
        </w:trPr>
        <w:tc>
          <w:tcPr>
            <w:tcW w:w="9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7500" w:type="dxa"/>
            <w:vAlign w:val="bottom"/>
          </w:tcPr>
          <w:p>
            <w:pPr>
              <w:ind w:left="32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c>
          <w:tcPr>
            <w:tcW w:w="2700" w:type="dxa"/>
            <w:vAlign w:val="bottom"/>
          </w:tcPr>
          <w:p>
            <w:pPr>
              <w:spacing w:after="0"/>
              <w:rPr>
                <w:sz w:val="24"/>
                <w:szCs w:val="24"/>
                <w:color w:val="auto"/>
              </w:rPr>
            </w:pPr>
          </w:p>
        </w:tc>
      </w:tr>
      <w:tr>
        <w:trPr>
          <w:trHeight w:val="483"/>
        </w:trPr>
        <w:tc>
          <w:tcPr>
            <w:tcW w:w="980" w:type="dxa"/>
            <w:vAlign w:val="bottom"/>
          </w:tcPr>
          <w:p>
            <w:pPr>
              <w:spacing w:after="0"/>
              <w:rPr>
                <w:sz w:val="24"/>
                <w:szCs w:val="24"/>
                <w:color w:val="auto"/>
              </w:rPr>
            </w:pPr>
          </w:p>
        </w:tc>
        <w:tc>
          <w:tcPr>
            <w:tcW w:w="7500" w:type="dxa"/>
            <w:vAlign w:val="bottom"/>
          </w:tcPr>
          <w:p>
            <w:pPr>
              <w:ind w:left="320"/>
              <w:spacing w:after="0"/>
              <w:rPr>
                <w:sz w:val="20"/>
                <w:szCs w:val="20"/>
                <w:color w:val="auto"/>
              </w:rPr>
            </w:pPr>
            <w:r>
              <w:rPr>
                <w:rFonts w:ascii="Arial" w:cs="Arial" w:eastAsia="Arial" w:hAnsi="Arial"/>
                <w:sz w:val="22"/>
                <w:szCs w:val="22"/>
                <w:color w:val="auto"/>
              </w:rPr>
              <w:t>This Item 6 is not applicable.</w:t>
            </w:r>
          </w:p>
        </w:tc>
        <w:tc>
          <w:tcPr>
            <w:tcW w:w="2700" w:type="dxa"/>
            <w:vAlign w:val="bottom"/>
          </w:tcPr>
          <w:p>
            <w:pPr>
              <w:spacing w:after="0"/>
              <w:rPr>
                <w:sz w:val="24"/>
                <w:szCs w:val="24"/>
                <w:color w:val="auto"/>
              </w:rPr>
            </w:pPr>
          </w:p>
        </w:tc>
      </w:tr>
      <w:tr>
        <w:trPr>
          <w:trHeight w:val="363"/>
        </w:trPr>
        <w:tc>
          <w:tcPr>
            <w:tcW w:w="9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200" w:type="dxa"/>
            <w:vAlign w:val="bottom"/>
            <w:gridSpan w:val="2"/>
          </w:tcPr>
          <w:p>
            <w:pPr>
              <w:ind w:left="320"/>
              <w:spacing w:after="0"/>
              <w:rPr>
                <w:sz w:val="20"/>
                <w:szCs w:val="20"/>
                <w:color w:val="auto"/>
              </w:rPr>
            </w:pPr>
            <w:r>
              <w:rPr>
                <w:rFonts w:ascii="Arial" w:cs="Arial" w:eastAsia="Arial" w:hAnsi="Arial"/>
                <w:sz w:val="18"/>
                <w:szCs w:val="18"/>
                <w:b w:val="1"/>
                <w:bCs w:val="1"/>
                <w:color w:val="auto"/>
                <w:w w:val="95"/>
              </w:rPr>
              <w:t>Identification and Classification of the Subsidiary Which Acquired the Security Being Reported on By the Parent Holding</w:t>
            </w:r>
          </w:p>
        </w:tc>
      </w:tr>
      <w:tr>
        <w:trPr>
          <w:trHeight w:val="234"/>
        </w:trPr>
        <w:tc>
          <w:tcPr>
            <w:tcW w:w="980" w:type="dxa"/>
            <w:vAlign w:val="bottom"/>
          </w:tcPr>
          <w:p>
            <w:pPr>
              <w:spacing w:after="0"/>
              <w:rPr>
                <w:sz w:val="20"/>
                <w:szCs w:val="20"/>
                <w:color w:val="auto"/>
              </w:rPr>
            </w:pPr>
          </w:p>
        </w:tc>
        <w:tc>
          <w:tcPr>
            <w:tcW w:w="7500" w:type="dxa"/>
            <w:vAlign w:val="bottom"/>
          </w:tcPr>
          <w:p>
            <w:pPr>
              <w:ind w:left="320"/>
              <w:spacing w:after="0"/>
              <w:rPr>
                <w:sz w:val="20"/>
                <w:szCs w:val="20"/>
                <w:color w:val="auto"/>
              </w:rPr>
            </w:pPr>
            <w:r>
              <w:rPr>
                <w:rFonts w:ascii="Arial" w:cs="Arial" w:eastAsia="Arial" w:hAnsi="Arial"/>
                <w:sz w:val="18"/>
                <w:szCs w:val="18"/>
                <w:b w:val="1"/>
                <w:bCs w:val="1"/>
                <w:color w:val="auto"/>
              </w:rPr>
              <w:t>Company or Control Person:</w:t>
            </w:r>
          </w:p>
        </w:tc>
        <w:tc>
          <w:tcPr>
            <w:tcW w:w="2700" w:type="dxa"/>
            <w:vAlign w:val="bottom"/>
          </w:tcPr>
          <w:p>
            <w:pPr>
              <w:spacing w:after="0"/>
              <w:rPr>
                <w:sz w:val="20"/>
                <w:szCs w:val="20"/>
                <w:color w:val="auto"/>
              </w:rPr>
            </w:pPr>
          </w:p>
        </w:tc>
      </w:tr>
      <w:tr>
        <w:trPr>
          <w:trHeight w:val="442"/>
        </w:trPr>
        <w:tc>
          <w:tcPr>
            <w:tcW w:w="980" w:type="dxa"/>
            <w:vAlign w:val="bottom"/>
          </w:tcPr>
          <w:p>
            <w:pPr>
              <w:spacing w:after="0"/>
              <w:rPr>
                <w:sz w:val="24"/>
                <w:szCs w:val="24"/>
                <w:color w:val="auto"/>
              </w:rPr>
            </w:pPr>
          </w:p>
        </w:tc>
        <w:tc>
          <w:tcPr>
            <w:tcW w:w="7500" w:type="dxa"/>
            <w:vAlign w:val="bottom"/>
          </w:tcPr>
          <w:p>
            <w:pPr>
              <w:ind w:left="320"/>
              <w:spacing w:after="0"/>
              <w:rPr>
                <w:sz w:val="20"/>
                <w:szCs w:val="20"/>
                <w:color w:val="auto"/>
              </w:rPr>
            </w:pPr>
            <w:r>
              <w:rPr>
                <w:rFonts w:ascii="Arial" w:cs="Arial" w:eastAsia="Arial" w:hAnsi="Arial"/>
                <w:sz w:val="22"/>
                <w:szCs w:val="22"/>
                <w:color w:val="auto"/>
              </w:rPr>
              <w:t>See disclosure in Item 2 hereof.</w:t>
            </w:r>
          </w:p>
        </w:tc>
        <w:tc>
          <w:tcPr>
            <w:tcW w:w="2700" w:type="dxa"/>
            <w:vAlign w:val="bottom"/>
          </w:tcPr>
          <w:p>
            <w:pPr>
              <w:spacing w:after="0"/>
              <w:rPr>
                <w:sz w:val="24"/>
                <w:szCs w:val="24"/>
                <w:color w:val="auto"/>
              </w:rPr>
            </w:pPr>
          </w:p>
        </w:tc>
      </w:tr>
      <w:tr>
        <w:trPr>
          <w:trHeight w:val="382"/>
        </w:trPr>
        <w:tc>
          <w:tcPr>
            <w:tcW w:w="9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500" w:type="dxa"/>
            <w:vAlign w:val="bottom"/>
          </w:tcPr>
          <w:p>
            <w:pPr>
              <w:ind w:left="320"/>
              <w:spacing w:after="0"/>
              <w:rPr>
                <w:sz w:val="20"/>
                <w:szCs w:val="20"/>
                <w:color w:val="auto"/>
              </w:rPr>
            </w:pPr>
            <w:r>
              <w:rPr>
                <w:rFonts w:ascii="Arial" w:cs="Arial" w:eastAsia="Arial" w:hAnsi="Arial"/>
                <w:sz w:val="18"/>
                <w:szCs w:val="18"/>
                <w:b w:val="1"/>
                <w:bCs w:val="1"/>
                <w:color w:val="auto"/>
              </w:rPr>
              <w:t>Identification and Classification of Members of the Group:</w:t>
            </w:r>
          </w:p>
        </w:tc>
        <w:tc>
          <w:tcPr>
            <w:tcW w:w="2700" w:type="dxa"/>
            <w:vAlign w:val="bottom"/>
          </w:tcPr>
          <w:p>
            <w:pPr>
              <w:spacing w:after="0"/>
              <w:rPr>
                <w:sz w:val="24"/>
                <w:szCs w:val="24"/>
                <w:color w:val="auto"/>
              </w:rPr>
            </w:pPr>
          </w:p>
        </w:tc>
      </w:tr>
      <w:tr>
        <w:trPr>
          <w:trHeight w:val="496"/>
        </w:trPr>
        <w:tc>
          <w:tcPr>
            <w:tcW w:w="980" w:type="dxa"/>
            <w:vAlign w:val="bottom"/>
          </w:tcPr>
          <w:p>
            <w:pPr>
              <w:spacing w:after="0"/>
              <w:rPr>
                <w:sz w:val="24"/>
                <w:szCs w:val="24"/>
                <w:color w:val="auto"/>
              </w:rPr>
            </w:pPr>
          </w:p>
        </w:tc>
        <w:tc>
          <w:tcPr>
            <w:tcW w:w="7500" w:type="dxa"/>
            <w:vAlign w:val="bottom"/>
          </w:tcPr>
          <w:p>
            <w:pPr>
              <w:ind w:left="320"/>
              <w:spacing w:after="0"/>
              <w:rPr>
                <w:sz w:val="20"/>
                <w:szCs w:val="20"/>
                <w:color w:val="auto"/>
              </w:rPr>
            </w:pPr>
            <w:r>
              <w:rPr>
                <w:rFonts w:ascii="Arial" w:cs="Arial" w:eastAsia="Arial" w:hAnsi="Arial"/>
                <w:sz w:val="22"/>
                <w:szCs w:val="22"/>
                <w:color w:val="auto"/>
              </w:rPr>
              <w:t>This Item 8 is not applicable.</w:t>
            </w:r>
          </w:p>
        </w:tc>
        <w:tc>
          <w:tcPr>
            <w:tcW w:w="2700" w:type="dxa"/>
            <w:vAlign w:val="bottom"/>
          </w:tcPr>
          <w:p>
            <w:pPr>
              <w:spacing w:after="0"/>
              <w:rPr>
                <w:sz w:val="24"/>
                <w:szCs w:val="24"/>
                <w:color w:val="auto"/>
              </w:rPr>
            </w:pPr>
          </w:p>
        </w:tc>
      </w:tr>
      <w:tr>
        <w:trPr>
          <w:trHeight w:val="449"/>
        </w:trPr>
        <w:tc>
          <w:tcPr>
            <w:tcW w:w="9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7500" w:type="dxa"/>
            <w:vAlign w:val="bottom"/>
          </w:tcPr>
          <w:p>
            <w:pPr>
              <w:ind w:left="320"/>
              <w:spacing w:after="0"/>
              <w:rPr>
                <w:sz w:val="20"/>
                <w:szCs w:val="20"/>
                <w:color w:val="auto"/>
              </w:rPr>
            </w:pPr>
            <w:r>
              <w:rPr>
                <w:rFonts w:ascii="Arial" w:cs="Arial" w:eastAsia="Arial" w:hAnsi="Arial"/>
                <w:sz w:val="18"/>
                <w:szCs w:val="18"/>
                <w:b w:val="1"/>
                <w:bCs w:val="1"/>
                <w:color w:val="auto"/>
              </w:rPr>
              <w:t>Notice of Dissolution of Group:</w:t>
            </w:r>
          </w:p>
        </w:tc>
        <w:tc>
          <w:tcPr>
            <w:tcW w:w="2700" w:type="dxa"/>
            <w:vAlign w:val="bottom"/>
          </w:tcPr>
          <w:p>
            <w:pPr>
              <w:spacing w:after="0"/>
              <w:rPr>
                <w:sz w:val="24"/>
                <w:szCs w:val="24"/>
                <w:color w:val="auto"/>
              </w:rPr>
            </w:pPr>
          </w:p>
        </w:tc>
      </w:tr>
      <w:tr>
        <w:trPr>
          <w:trHeight w:val="496"/>
        </w:trPr>
        <w:tc>
          <w:tcPr>
            <w:tcW w:w="980" w:type="dxa"/>
            <w:vAlign w:val="bottom"/>
          </w:tcPr>
          <w:p>
            <w:pPr>
              <w:spacing w:after="0"/>
              <w:rPr>
                <w:sz w:val="24"/>
                <w:szCs w:val="24"/>
                <w:color w:val="auto"/>
              </w:rPr>
            </w:pPr>
          </w:p>
        </w:tc>
        <w:tc>
          <w:tcPr>
            <w:tcW w:w="7500" w:type="dxa"/>
            <w:vAlign w:val="bottom"/>
          </w:tcPr>
          <w:p>
            <w:pPr>
              <w:ind w:left="320"/>
              <w:spacing w:after="0"/>
              <w:rPr>
                <w:sz w:val="20"/>
                <w:szCs w:val="20"/>
                <w:color w:val="auto"/>
              </w:rPr>
            </w:pPr>
            <w:r>
              <w:rPr>
                <w:rFonts w:ascii="Arial" w:cs="Arial" w:eastAsia="Arial" w:hAnsi="Arial"/>
                <w:sz w:val="22"/>
                <w:szCs w:val="22"/>
                <w:color w:val="auto"/>
              </w:rPr>
              <w:t>This Item 9 is not applicable.</w:t>
            </w:r>
          </w:p>
        </w:tc>
        <w:tc>
          <w:tcPr>
            <w:tcW w:w="2700" w:type="dxa"/>
            <w:vAlign w:val="bottom"/>
          </w:tcPr>
          <w:p>
            <w:pPr>
              <w:spacing w:after="0"/>
              <w:rPr>
                <w:sz w:val="24"/>
                <w:szCs w:val="24"/>
                <w:color w:val="auto"/>
              </w:rPr>
            </w:pPr>
          </w:p>
        </w:tc>
      </w:tr>
      <w:tr>
        <w:trPr>
          <w:trHeight w:val="449"/>
        </w:trPr>
        <w:tc>
          <w:tcPr>
            <w:tcW w:w="9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7500" w:type="dxa"/>
            <w:vAlign w:val="bottom"/>
          </w:tcPr>
          <w:p>
            <w:pPr>
              <w:ind w:left="320"/>
              <w:spacing w:after="0"/>
              <w:rPr>
                <w:sz w:val="20"/>
                <w:szCs w:val="20"/>
                <w:color w:val="auto"/>
              </w:rPr>
            </w:pPr>
            <w:r>
              <w:rPr>
                <w:rFonts w:ascii="Arial" w:cs="Arial" w:eastAsia="Arial" w:hAnsi="Arial"/>
                <w:sz w:val="18"/>
                <w:szCs w:val="18"/>
                <w:b w:val="1"/>
                <w:bCs w:val="1"/>
                <w:color w:val="auto"/>
              </w:rPr>
              <w:t>Certification:</w:t>
            </w:r>
          </w:p>
        </w:tc>
        <w:tc>
          <w:tcPr>
            <w:tcW w:w="2700" w:type="dxa"/>
            <w:vAlign w:val="bottom"/>
          </w:tcPr>
          <w:p>
            <w:pPr>
              <w:spacing w:after="0"/>
              <w:rPr>
                <w:sz w:val="24"/>
                <w:szCs w:val="24"/>
                <w:color w:val="auto"/>
              </w:rPr>
            </w:pPr>
          </w:p>
        </w:tc>
      </w:tr>
    </w:tbl>
    <w:p>
      <w:pPr>
        <w:spacing w:after="0" w:line="208" w:lineRule="exact"/>
        <w:rPr>
          <w:sz w:val="20"/>
          <w:szCs w:val="20"/>
          <w:color w:val="auto"/>
        </w:rPr>
      </w:pPr>
    </w:p>
    <w:p>
      <w:pPr>
        <w:ind w:right="60" w:firstLine="1296"/>
        <w:spacing w:after="0" w:line="219" w:lineRule="auto"/>
        <w:rPr>
          <w:sz w:val="20"/>
          <w:szCs w:val="20"/>
          <w:color w:val="auto"/>
        </w:rPr>
      </w:pPr>
      <w:r>
        <w:rPr>
          <w:rFonts w:ascii="Arial" w:cs="Arial" w:eastAsia="Arial" w:hAnsi="Arial"/>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Page 9 of 11 Pages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185" w:lineRule="exact"/>
        <w:rPr>
          <w:sz w:val="20"/>
          <w:szCs w:val="20"/>
          <w:color w:val="auto"/>
        </w:rPr>
      </w:pPr>
    </w:p>
    <w:p>
      <w:pPr>
        <w:ind w:right="340"/>
        <w:spacing w:after="0" w:line="226"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BASSO SPAC FUND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Howard I.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Howard I. Fischer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BASSO MANAGEMENT,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Howard I.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Howard I. Fischer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Member</w:t>
      </w:r>
    </w:p>
    <w:p>
      <w:pPr>
        <w:spacing w:after="0" w:line="200" w:lineRule="exact"/>
        <w:rPr>
          <w:sz w:val="20"/>
          <w:szCs w:val="20"/>
          <w:color w:val="auto"/>
        </w:rPr>
      </w:pP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BASSO CAPITAL MANAGEMENT,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Howard I.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Howard I. Fischer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&amp; Founding Managing</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Partner</w:t>
      </w:r>
    </w:p>
    <w:p>
      <w:pPr>
        <w:spacing w:after="0" w:line="200" w:lineRule="exact"/>
        <w:rPr>
          <w:sz w:val="20"/>
          <w:szCs w:val="20"/>
          <w:color w:val="auto"/>
        </w:rPr>
      </w:pP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BASSO GP,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Howard I.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Howard I. Fischer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Member</w:t>
      </w:r>
    </w:p>
    <w:p>
      <w:pPr>
        <w:spacing w:after="0" w:line="200" w:lineRule="exact"/>
        <w:rPr>
          <w:sz w:val="20"/>
          <w:szCs w:val="20"/>
          <w:color w:val="auto"/>
        </w:rPr>
      </w:pP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HOWARD I. FISCHER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Howard I.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May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701675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660" w:type="dxa"/>
            <w:vAlign w:val="bottom"/>
            <w:gridSpan w:val="3"/>
          </w:tcPr>
          <w:p>
            <w:pPr>
              <w:ind w:left="6200"/>
              <w:spacing w:after="0"/>
              <w:rPr>
                <w:sz w:val="20"/>
                <w:szCs w:val="20"/>
                <w:color w:val="auto"/>
              </w:rPr>
            </w:pPr>
            <w:r>
              <w:rPr>
                <w:rFonts w:ascii="Arial" w:cs="Arial" w:eastAsia="Arial" w:hAnsi="Arial"/>
                <w:sz w:val="18"/>
                <w:szCs w:val="18"/>
                <w:color w:val="auto"/>
                <w:w w:val="85"/>
              </w:rPr>
              <w:t>Page 10 of 11 Pages</w:t>
            </w:r>
          </w:p>
        </w:tc>
      </w:tr>
      <w:tr>
        <w:trPr>
          <w:trHeight w:val="469"/>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660" w:type="dxa"/>
            <w:vAlign w:val="bottom"/>
            <w:gridSpan w:val="3"/>
          </w:tcPr>
          <w:p>
            <w:pPr>
              <w:ind w:left="1200"/>
              <w:spacing w:after="0"/>
              <w:rPr>
                <w:sz w:val="20"/>
                <w:szCs w:val="20"/>
                <w:color w:val="auto"/>
              </w:rPr>
            </w:pPr>
            <w:r>
              <w:rPr>
                <w:rFonts w:ascii="Arial" w:cs="Arial" w:eastAsia="Arial" w:hAnsi="Arial"/>
                <w:sz w:val="22"/>
                <w:szCs w:val="22"/>
                <w:b w:val="1"/>
                <w:bCs w:val="1"/>
                <w:color w:val="auto"/>
              </w:rPr>
              <w:t>EXHIBIT INDEX</w:t>
            </w:r>
          </w:p>
        </w:tc>
      </w:tr>
      <w:tr>
        <w:trPr>
          <w:trHeight w:val="395"/>
        </w:trPr>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Ex.</w:t>
            </w:r>
          </w:p>
        </w:tc>
        <w:tc>
          <w:tcPr>
            <w:tcW w:w="2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Page No.</w:t>
            </w:r>
          </w:p>
        </w:tc>
        <w:tc>
          <w:tcPr>
            <w:tcW w:w="20" w:type="dxa"/>
            <w:vAlign w:val="bottom"/>
          </w:tcPr>
          <w:p>
            <w:pPr>
              <w:spacing w:after="0"/>
              <w:rPr>
                <w:sz w:val="24"/>
                <w:szCs w:val="24"/>
                <w:color w:val="auto"/>
              </w:rPr>
            </w:pPr>
          </w:p>
        </w:tc>
      </w:tr>
      <w:tr>
        <w:trPr>
          <w:trHeight w:val="560"/>
        </w:trPr>
        <w:tc>
          <w:tcPr>
            <w:tcW w:w="4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A</w:t>
            </w:r>
          </w:p>
        </w:tc>
        <w:tc>
          <w:tcPr>
            <w:tcW w:w="3100" w:type="dxa"/>
            <w:vAlign w:val="bottom"/>
          </w:tcPr>
          <w:p>
            <w:pPr>
              <w:ind w:left="220"/>
              <w:spacing w:after="0"/>
              <w:rPr>
                <w:sz w:val="20"/>
                <w:szCs w:val="20"/>
                <w:color w:val="auto"/>
              </w:rPr>
            </w:pPr>
            <w:r>
              <w:rPr>
                <w:rFonts w:ascii="Arial" w:cs="Arial" w:eastAsia="Arial" w:hAnsi="Arial"/>
                <w:sz w:val="18"/>
                <w:szCs w:val="18"/>
                <w:color w:val="auto"/>
              </w:rPr>
              <w:t>Joint Filing Agreement</w:t>
            </w:r>
          </w:p>
        </w:tc>
        <w:tc>
          <w:tcPr>
            <w:tcW w:w="766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r>
      <w:tr>
        <w:trPr>
          <w:trHeight w:val="3233"/>
        </w:trPr>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9"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Page 11 of 11 Pages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158" w:lineRule="exact"/>
        <w:rPr>
          <w:sz w:val="20"/>
          <w:szCs w:val="20"/>
          <w:color w:val="auto"/>
        </w:rPr>
      </w:pPr>
    </w:p>
    <w:p>
      <w:pPr>
        <w:jc w:val="both"/>
        <w:ind w:right="400" w:firstLine="1296"/>
        <w:spacing w:after="0" w:line="229" w:lineRule="auto"/>
        <w:rPr>
          <w:sz w:val="20"/>
          <w:szCs w:val="20"/>
          <w:color w:val="auto"/>
        </w:rPr>
      </w:pPr>
      <w:r>
        <w:rPr>
          <w:rFonts w:ascii="Arial" w:cs="Arial" w:eastAsia="Arial" w:hAnsi="Arial"/>
          <w:sz w:val="21"/>
          <w:szCs w:val="21"/>
          <w:color w:val="auto"/>
        </w:rPr>
        <w:t>The undersigned hereby agree that the statement on Schedule 13G with respect to the common stock of Silver Spike Acquisition Corp. dated as of May 15, 2020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16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BASSO SPAC FUND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Howard I.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Howard I. Fischer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BASSO MANAGEMENT,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Howard I.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Howard I. Fischer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Member</w:t>
      </w:r>
    </w:p>
    <w:p>
      <w:pPr>
        <w:spacing w:after="0" w:line="200" w:lineRule="exact"/>
        <w:rPr>
          <w:sz w:val="20"/>
          <w:szCs w:val="20"/>
          <w:color w:val="auto"/>
        </w:rPr>
      </w:pP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BASSO CAPITAL MANAGEMENT,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Howard I.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Howard I. Fischer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&amp; Founding Managing</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Partner</w:t>
      </w:r>
    </w:p>
    <w:p>
      <w:pPr>
        <w:spacing w:after="0" w:line="200" w:lineRule="exact"/>
        <w:rPr>
          <w:sz w:val="20"/>
          <w:szCs w:val="20"/>
          <w:color w:val="auto"/>
        </w:rPr>
      </w:pP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BASSO GP,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Howard I.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Howard I. Fischer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Member</w:t>
      </w:r>
    </w:p>
    <w:p>
      <w:pPr>
        <w:spacing w:after="0" w:line="200" w:lineRule="exact"/>
        <w:rPr>
          <w:sz w:val="20"/>
          <w:szCs w:val="20"/>
          <w:color w:val="auto"/>
        </w:rPr>
      </w:pP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HOWARD I. FISCHER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Howard I.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May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2020-05-15T11:31:23Z</dcterms:created>
  <dcterms:modified xsi:type="dcterms:W3CDTF">2020-05-15T11:31:23Z</dcterms:modified>
</cp:coreProperties>
</file>