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Luxor Capital Group, LP</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07/16/2021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WM TECHNOLOGY,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MAPS</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3">
            <w:col w:w="2960" w:space="400"/>
            <w:col w:w="136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57"/>
        <w:spacing w:after="0" w:line="331" w:lineRule="auto"/>
        <w:rPr>
          <w:sz w:val="20"/>
          <w:szCs w:val="20"/>
          <w:color w:val="auto"/>
        </w:rPr>
      </w:pPr>
      <w:r>
        <w:rPr>
          <w:rFonts w:ascii="Arial" w:cs="Arial" w:eastAsia="Arial" w:hAnsi="Arial"/>
          <w:sz w:val="20"/>
          <w:szCs w:val="20"/>
          <w:color w:val="0000FF"/>
        </w:rPr>
        <w:t>1114 AVENUE OF THE AMERICAS 28TH FLOOR</w:t>
      </w:r>
    </w:p>
    <w:p>
      <w:pPr>
        <w:spacing w:after="0" w:line="230"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10036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400" w:type="dxa"/>
            <w:vAlign w:val="bottom"/>
            <w:gridSpan w:val="3"/>
          </w:tcPr>
          <w:p>
            <w:pPr>
              <w:ind w:left="22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9"/>
              </w:rPr>
              <w:t>Beneficially Owned (Instr.</w:t>
            </w:r>
          </w:p>
        </w:tc>
        <w:tc>
          <w:tcPr>
            <w:tcW w:w="1400" w:type="dxa"/>
            <w:vAlign w:val="bottom"/>
            <w:gridSpan w:val="3"/>
          </w:tcPr>
          <w:p>
            <w:pPr>
              <w:ind w:left="22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400" w:type="dxa"/>
            <w:vAlign w:val="bottom"/>
            <w:gridSpan w:val="3"/>
          </w:tcPr>
          <w:p>
            <w:pPr>
              <w:ind w:left="22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0" w:type="dxa"/>
            <w:vAlign w:val="bottom"/>
            <w:gridSpan w:val="3"/>
          </w:tcPr>
          <w:p>
            <w:pPr>
              <w:ind w:left="22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84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w w:val="92"/>
              </w:rPr>
              <w:t>Class A Common Stock, par value $0.0001 per share</w:t>
            </w:r>
            <w:r>
              <w:rPr>
                <w:rFonts w:ascii="Arial" w:cs="Arial" w:eastAsia="Arial" w:hAnsi="Arial"/>
                <w:sz w:val="25"/>
                <w:szCs w:val="25"/>
                <w:color w:val="008000"/>
                <w:w w:val="92"/>
                <w:vertAlign w:val="superscript"/>
              </w:rPr>
              <w:t>(1)(2)</w:t>
            </w:r>
          </w:p>
        </w:tc>
        <w:tc>
          <w:tcPr>
            <w:tcW w:w="1900" w:type="dxa"/>
            <w:vAlign w:val="bottom"/>
            <w:tcBorders>
              <w:bottom w:val="single" w:sz="8" w:color="2C2C2C"/>
            </w:tcBorders>
          </w:tcPr>
          <w:p>
            <w:pPr>
              <w:jc w:val="center"/>
              <w:ind w:left="9"/>
              <w:spacing w:after="0"/>
              <w:rPr>
                <w:sz w:val="20"/>
                <w:szCs w:val="20"/>
                <w:color w:val="auto"/>
              </w:rPr>
            </w:pPr>
            <w:r>
              <w:rPr>
                <w:rFonts w:ascii="Arial" w:cs="Arial" w:eastAsia="Arial" w:hAnsi="Arial"/>
                <w:sz w:val="20"/>
                <w:szCs w:val="20"/>
                <w:color w:val="0000FF"/>
                <w:w w:val="84"/>
              </w:rPr>
              <w:t>46,073</w:t>
            </w:r>
          </w:p>
        </w:tc>
        <w:tc>
          <w:tcPr>
            <w:tcW w:w="840" w:type="dxa"/>
            <w:vAlign w:val="bottom"/>
            <w:tcBorders>
              <w:bottom w:val="single" w:sz="8" w:color="2C2C2C"/>
            </w:tcBorders>
            <w:gridSpan w:val="2"/>
          </w:tcPr>
          <w:p>
            <w:pPr>
              <w:ind w:left="640"/>
              <w:spacing w:after="0" w:line="359" w:lineRule="exact"/>
              <w:rPr>
                <w:sz w:val="20"/>
                <w:szCs w:val="20"/>
                <w:color w:val="auto"/>
              </w:rPr>
            </w:pPr>
            <w:r>
              <w:rPr>
                <w:rFonts w:ascii="Arial" w:cs="Arial" w:eastAsia="Arial" w:hAnsi="Arial"/>
                <w:sz w:val="39"/>
                <w:szCs w:val="39"/>
                <w:color w:val="0000FF"/>
                <w:w w:val="77"/>
                <w:vertAlign w:val="subscript"/>
              </w:rPr>
              <w:t>I</w:t>
            </w:r>
            <w:r>
              <w:rPr>
                <w:rFonts w:ascii="Arial" w:cs="Arial" w:eastAsia="Arial" w:hAnsi="Arial"/>
                <w:sz w:val="13"/>
                <w:szCs w:val="13"/>
                <w:color w:val="008000"/>
                <w:w w:val="77"/>
              </w:rPr>
              <w:t>(3)</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Arial" w:cs="Arial" w:eastAsia="Arial" w:hAnsi="Arial"/>
                <w:sz w:val="20"/>
                <w:szCs w:val="20"/>
                <w:color w:val="0000FF"/>
              </w:rPr>
              <w:t>By: Luxor Capital Partners, LP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84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w w:val="92"/>
              </w:rPr>
              <w:t>Class A Common Stock, par value $0.0001 per share</w:t>
            </w:r>
            <w:r>
              <w:rPr>
                <w:rFonts w:ascii="Arial" w:cs="Arial" w:eastAsia="Arial" w:hAnsi="Arial"/>
                <w:sz w:val="25"/>
                <w:szCs w:val="25"/>
                <w:color w:val="008000"/>
                <w:w w:val="92"/>
                <w:vertAlign w:val="superscript"/>
              </w:rPr>
              <w:t>(1)(2)</w:t>
            </w:r>
          </w:p>
        </w:tc>
        <w:tc>
          <w:tcPr>
            <w:tcW w:w="1900" w:type="dxa"/>
            <w:vAlign w:val="bottom"/>
            <w:tcBorders>
              <w:bottom w:val="single" w:sz="8" w:color="2C2C2C"/>
            </w:tcBorders>
          </w:tcPr>
          <w:p>
            <w:pPr>
              <w:jc w:val="center"/>
              <w:ind w:left="9"/>
              <w:spacing w:after="0"/>
              <w:rPr>
                <w:sz w:val="20"/>
                <w:szCs w:val="20"/>
                <w:color w:val="auto"/>
              </w:rPr>
            </w:pPr>
            <w:r>
              <w:rPr>
                <w:rFonts w:ascii="Arial" w:cs="Arial" w:eastAsia="Arial" w:hAnsi="Arial"/>
                <w:sz w:val="20"/>
                <w:szCs w:val="20"/>
                <w:color w:val="0000FF"/>
                <w:w w:val="84"/>
              </w:rPr>
              <w:t>11,796</w:t>
            </w:r>
          </w:p>
        </w:tc>
        <w:tc>
          <w:tcPr>
            <w:tcW w:w="840" w:type="dxa"/>
            <w:vAlign w:val="bottom"/>
            <w:tcBorders>
              <w:bottom w:val="single" w:sz="8" w:color="2C2C2C"/>
            </w:tcBorders>
            <w:gridSpan w:val="2"/>
          </w:tcPr>
          <w:p>
            <w:pPr>
              <w:ind w:left="640"/>
              <w:spacing w:after="0" w:line="359" w:lineRule="exact"/>
              <w:rPr>
                <w:sz w:val="20"/>
                <w:szCs w:val="20"/>
                <w:color w:val="auto"/>
              </w:rPr>
            </w:pPr>
            <w:r>
              <w:rPr>
                <w:rFonts w:ascii="Arial" w:cs="Arial" w:eastAsia="Arial" w:hAnsi="Arial"/>
                <w:sz w:val="39"/>
                <w:szCs w:val="39"/>
                <w:color w:val="0000FF"/>
                <w:w w:val="77"/>
                <w:vertAlign w:val="subscript"/>
              </w:rPr>
              <w:t>I</w:t>
            </w:r>
            <w:r>
              <w:rPr>
                <w:rFonts w:ascii="Arial" w:cs="Arial" w:eastAsia="Arial" w:hAnsi="Arial"/>
                <w:sz w:val="13"/>
                <w:szCs w:val="13"/>
                <w:color w:val="008000"/>
                <w:w w:val="77"/>
              </w:rPr>
              <w:t>(4)</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Arial" w:cs="Arial" w:eastAsia="Arial" w:hAnsi="Arial"/>
                <w:sz w:val="20"/>
                <w:szCs w:val="20"/>
                <w:color w:val="0000FF"/>
              </w:rPr>
              <w:t>By: Luxor Wavefront, LP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840" w:type="dxa"/>
            <w:vAlign w:val="bottom"/>
            <w:gridSpan w:val="4"/>
            <w:vMerge w:val="restart"/>
          </w:tcPr>
          <w:p>
            <w:pPr>
              <w:ind w:left="80"/>
              <w:spacing w:after="0"/>
              <w:rPr>
                <w:sz w:val="20"/>
                <w:szCs w:val="20"/>
                <w:color w:val="auto"/>
              </w:rPr>
            </w:pPr>
            <w:r>
              <w:rPr>
                <w:rFonts w:ascii="Arial" w:cs="Arial" w:eastAsia="Arial" w:hAnsi="Arial"/>
                <w:sz w:val="20"/>
                <w:szCs w:val="20"/>
                <w:color w:val="0000FF"/>
                <w:w w:val="92"/>
              </w:rPr>
              <w:t>Class A Common Stock, par value $0.0001 per share</w:t>
            </w:r>
            <w:r>
              <w:rPr>
                <w:rFonts w:ascii="Arial" w:cs="Arial" w:eastAsia="Arial" w:hAnsi="Arial"/>
                <w:sz w:val="25"/>
                <w:szCs w:val="25"/>
                <w:color w:val="008000"/>
                <w:w w:val="92"/>
                <w:vertAlign w:val="superscript"/>
              </w:rPr>
              <w:t>(1)(2)</w:t>
            </w:r>
          </w:p>
        </w:tc>
        <w:tc>
          <w:tcPr>
            <w:tcW w:w="1900" w:type="dxa"/>
            <w:vAlign w:val="bottom"/>
            <w:vMerge w:val="restart"/>
          </w:tcPr>
          <w:p>
            <w:pPr>
              <w:jc w:val="center"/>
              <w:ind w:left="9"/>
              <w:spacing w:after="0"/>
              <w:rPr>
                <w:sz w:val="20"/>
                <w:szCs w:val="20"/>
                <w:color w:val="auto"/>
              </w:rPr>
            </w:pPr>
            <w:r>
              <w:rPr>
                <w:rFonts w:ascii="Arial" w:cs="Arial" w:eastAsia="Arial" w:hAnsi="Arial"/>
                <w:sz w:val="20"/>
                <w:szCs w:val="20"/>
                <w:color w:val="0000FF"/>
                <w:w w:val="84"/>
              </w:rPr>
              <w:t>28,797</w:t>
            </w:r>
          </w:p>
        </w:tc>
        <w:tc>
          <w:tcPr>
            <w:tcW w:w="840" w:type="dxa"/>
            <w:vAlign w:val="bottom"/>
            <w:gridSpan w:val="2"/>
            <w:vMerge w:val="restart"/>
          </w:tcPr>
          <w:p>
            <w:pPr>
              <w:ind w:left="640"/>
              <w:spacing w:after="0"/>
              <w:rPr>
                <w:sz w:val="20"/>
                <w:szCs w:val="20"/>
                <w:color w:val="auto"/>
              </w:rPr>
            </w:pPr>
            <w:r>
              <w:rPr>
                <w:rFonts w:ascii="Arial" w:cs="Arial" w:eastAsia="Arial" w:hAnsi="Arial"/>
                <w:sz w:val="39"/>
                <w:szCs w:val="39"/>
                <w:color w:val="0000FF"/>
                <w:w w:val="77"/>
                <w:vertAlign w:val="subscript"/>
              </w:rPr>
              <w:t>I</w:t>
            </w:r>
            <w:r>
              <w:rPr>
                <w:rFonts w:ascii="Arial" w:cs="Arial" w:eastAsia="Arial" w:hAnsi="Arial"/>
                <w:sz w:val="13"/>
                <w:szCs w:val="13"/>
                <w:color w:val="008000"/>
                <w:w w:val="77"/>
              </w:rPr>
              <w:t>(5)</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By: Luxor Capital Partners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40" w:type="dxa"/>
            <w:vAlign w:val="bottom"/>
            <w:gridSpan w:val="4"/>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780" w:type="dxa"/>
            <w:vAlign w:val="bottom"/>
            <w:gridSpan w:val="4"/>
            <w:vMerge w:val="restart"/>
          </w:tcPr>
          <w:p>
            <w:pPr>
              <w:spacing w:after="0"/>
              <w:rPr>
                <w:sz w:val="20"/>
                <w:szCs w:val="20"/>
                <w:color w:val="auto"/>
              </w:rPr>
            </w:pPr>
            <w:r>
              <w:rPr>
                <w:rFonts w:ascii="Arial" w:cs="Arial" w:eastAsia="Arial" w:hAnsi="Arial"/>
                <w:sz w:val="20"/>
                <w:szCs w:val="20"/>
                <w:color w:val="0000FF"/>
              </w:rPr>
              <w:t>Offshore Master Fund, LP</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7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840" w:type="dxa"/>
            <w:vAlign w:val="bottom"/>
            <w:gridSpan w:val="4"/>
            <w:vMerge w:val="restart"/>
          </w:tcPr>
          <w:p>
            <w:pPr>
              <w:ind w:left="80"/>
              <w:spacing w:after="0"/>
              <w:rPr>
                <w:sz w:val="20"/>
                <w:szCs w:val="20"/>
                <w:color w:val="auto"/>
              </w:rPr>
            </w:pPr>
            <w:r>
              <w:rPr>
                <w:rFonts w:ascii="Arial" w:cs="Arial" w:eastAsia="Arial" w:hAnsi="Arial"/>
                <w:sz w:val="20"/>
                <w:szCs w:val="20"/>
                <w:color w:val="0000FF"/>
                <w:w w:val="92"/>
              </w:rPr>
              <w:t>Class A Common Stock, par value $0.0001 per share</w:t>
            </w:r>
            <w:r>
              <w:rPr>
                <w:rFonts w:ascii="Arial" w:cs="Arial" w:eastAsia="Arial" w:hAnsi="Arial"/>
                <w:sz w:val="25"/>
                <w:szCs w:val="25"/>
                <w:color w:val="008000"/>
                <w:w w:val="92"/>
                <w:vertAlign w:val="superscript"/>
              </w:rPr>
              <w:t>(1)(2)</w:t>
            </w:r>
          </w:p>
        </w:tc>
        <w:tc>
          <w:tcPr>
            <w:tcW w:w="1900" w:type="dxa"/>
            <w:vAlign w:val="bottom"/>
            <w:vMerge w:val="restart"/>
          </w:tcPr>
          <w:p>
            <w:pPr>
              <w:jc w:val="center"/>
              <w:ind w:left="29"/>
              <w:spacing w:after="0"/>
              <w:rPr>
                <w:sz w:val="20"/>
                <w:szCs w:val="20"/>
                <w:color w:val="auto"/>
              </w:rPr>
            </w:pPr>
            <w:r>
              <w:rPr>
                <w:rFonts w:ascii="Arial" w:cs="Arial" w:eastAsia="Arial" w:hAnsi="Arial"/>
                <w:sz w:val="20"/>
                <w:szCs w:val="20"/>
                <w:color w:val="0000FF"/>
                <w:w w:val="87"/>
              </w:rPr>
              <w:t>5,601,344</w:t>
            </w:r>
          </w:p>
        </w:tc>
        <w:tc>
          <w:tcPr>
            <w:tcW w:w="840" w:type="dxa"/>
            <w:vAlign w:val="bottom"/>
            <w:gridSpan w:val="2"/>
            <w:vMerge w:val="restart"/>
          </w:tcPr>
          <w:p>
            <w:pPr>
              <w:ind w:left="640"/>
              <w:spacing w:after="0"/>
              <w:rPr>
                <w:sz w:val="20"/>
                <w:szCs w:val="20"/>
                <w:color w:val="auto"/>
              </w:rPr>
            </w:pPr>
            <w:r>
              <w:rPr>
                <w:rFonts w:ascii="Arial" w:cs="Arial" w:eastAsia="Arial" w:hAnsi="Arial"/>
                <w:sz w:val="39"/>
                <w:szCs w:val="39"/>
                <w:color w:val="0000FF"/>
                <w:w w:val="77"/>
                <w:vertAlign w:val="subscript"/>
              </w:rPr>
              <w:t>I</w:t>
            </w:r>
            <w:r>
              <w:rPr>
                <w:rFonts w:ascii="Arial" w:cs="Arial" w:eastAsia="Arial" w:hAnsi="Arial"/>
                <w:sz w:val="13"/>
                <w:szCs w:val="13"/>
                <w:color w:val="008000"/>
                <w:w w:val="77"/>
              </w:rPr>
              <w:t>(6)</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w w:val="96"/>
              </w:rPr>
              <w:t>By: Lugard Road Capital Master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40" w:type="dxa"/>
            <w:vAlign w:val="bottom"/>
            <w:gridSpan w:val="4"/>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gridSpan w:val="2"/>
            <w:vMerge w:val="restart"/>
          </w:tcPr>
          <w:p>
            <w:pPr>
              <w:spacing w:after="0"/>
              <w:rPr>
                <w:sz w:val="20"/>
                <w:szCs w:val="20"/>
                <w:color w:val="auto"/>
              </w:rPr>
            </w:pPr>
            <w:r>
              <w:rPr>
                <w:rFonts w:ascii="Arial" w:cs="Arial" w:eastAsia="Arial" w:hAnsi="Arial"/>
                <w:sz w:val="20"/>
                <w:szCs w:val="20"/>
                <w:color w:val="0000FF"/>
              </w:rPr>
              <w:t>Fund, LP</w:t>
            </w: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5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2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gridSpan w:val="2"/>
          </w:tcPr>
          <w:p>
            <w:pPr>
              <w:ind w:left="6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900" w:type="dxa"/>
            <w:vAlign w:val="bottom"/>
          </w:tcPr>
          <w:p>
            <w:pPr>
              <w:spacing w:after="0"/>
              <w:rPr>
                <w:sz w:val="14"/>
                <w:szCs w:val="14"/>
                <w:color w:val="auto"/>
              </w:rPr>
            </w:pPr>
          </w:p>
        </w:tc>
        <w:tc>
          <w:tcPr>
            <w:tcW w:w="8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20"/>
              <w:spacing w:after="0"/>
              <w:rPr>
                <w:sz w:val="20"/>
                <w:szCs w:val="20"/>
                <w:color w:val="auto"/>
              </w:rPr>
            </w:pPr>
            <w:r>
              <w:rPr>
                <w:rFonts w:ascii="Arial" w:cs="Arial" w:eastAsia="Arial" w:hAnsi="Arial"/>
                <w:sz w:val="15"/>
                <w:szCs w:val="15"/>
                <w:b w:val="1"/>
                <w:bCs w:val="1"/>
                <w:color w:val="auto"/>
              </w:rPr>
              <w:t>Title</w:t>
            </w:r>
          </w:p>
        </w:tc>
        <w:tc>
          <w:tcPr>
            <w:tcW w:w="84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Call Option (right to buy)</w:t>
            </w:r>
          </w:p>
        </w:tc>
        <w:tc>
          <w:tcPr>
            <w:tcW w:w="1240" w:type="dxa"/>
            <w:vAlign w:val="bottom"/>
            <w:gridSpan w:val="2"/>
          </w:tcPr>
          <w:p>
            <w:pPr>
              <w:ind w:left="400"/>
              <w:spacing w:after="0"/>
              <w:rPr>
                <w:sz w:val="20"/>
                <w:szCs w:val="20"/>
                <w:color w:val="auto"/>
              </w:rPr>
            </w:pPr>
            <w:r>
              <w:rPr>
                <w:rFonts w:ascii="Arial" w:cs="Arial" w:eastAsia="Arial" w:hAnsi="Arial"/>
                <w:sz w:val="15"/>
                <w:szCs w:val="15"/>
                <w:color w:val="0000FF"/>
              </w:rPr>
              <w:t>07/16/2021</w:t>
            </w:r>
          </w:p>
        </w:tc>
        <w:tc>
          <w:tcPr>
            <w:tcW w:w="840" w:type="dxa"/>
            <w:vAlign w:val="bottom"/>
          </w:tcPr>
          <w:p>
            <w:pPr>
              <w:jc w:val="center"/>
              <w:spacing w:after="0"/>
              <w:rPr>
                <w:sz w:val="20"/>
                <w:szCs w:val="20"/>
                <w:color w:val="auto"/>
              </w:rPr>
            </w:pPr>
            <w:r>
              <w:rPr>
                <w:rFonts w:ascii="Arial" w:cs="Arial" w:eastAsia="Arial" w:hAnsi="Arial"/>
                <w:sz w:val="15"/>
                <w:szCs w:val="15"/>
                <w:color w:val="0000FF"/>
                <w:w w:val="90"/>
              </w:rPr>
              <w:t>01/21/2022</w:t>
            </w:r>
          </w:p>
        </w:tc>
        <w:tc>
          <w:tcPr>
            <w:tcW w:w="1900" w:type="dxa"/>
            <w:vAlign w:val="bottom"/>
          </w:tcPr>
          <w:p>
            <w:pPr>
              <w:jc w:val="center"/>
              <w:spacing w:after="0"/>
              <w:rPr>
                <w:sz w:val="20"/>
                <w:szCs w:val="20"/>
                <w:color w:val="auto"/>
              </w:rPr>
            </w:pPr>
            <w:r>
              <w:rPr>
                <w:rFonts w:ascii="Arial" w:cs="Arial" w:eastAsia="Arial" w:hAnsi="Arial"/>
                <w:sz w:val="20"/>
                <w:szCs w:val="20"/>
                <w:color w:val="0000FF"/>
                <w:w w:val="87"/>
              </w:rPr>
              <w:t>Stock, par value</w:t>
            </w:r>
          </w:p>
        </w:tc>
        <w:tc>
          <w:tcPr>
            <w:tcW w:w="780" w:type="dxa"/>
            <w:vAlign w:val="bottom"/>
          </w:tcPr>
          <w:p>
            <w:pPr>
              <w:jc w:val="center"/>
              <w:spacing w:after="0"/>
              <w:rPr>
                <w:sz w:val="20"/>
                <w:szCs w:val="20"/>
                <w:color w:val="auto"/>
              </w:rPr>
            </w:pPr>
            <w:r>
              <w:rPr>
                <w:rFonts w:ascii="Arial" w:cs="Arial" w:eastAsia="Arial" w:hAnsi="Arial"/>
                <w:sz w:val="20"/>
                <w:szCs w:val="20"/>
                <w:color w:val="0000FF"/>
                <w:w w:val="87"/>
              </w:rPr>
              <w:t>6,600</w:t>
            </w:r>
          </w:p>
        </w:tc>
        <w:tc>
          <w:tcPr>
            <w:tcW w:w="6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20"/>
                <w:szCs w:val="20"/>
                <w:color w:val="0000FF"/>
              </w:rPr>
              <w:t>17.5</w:t>
            </w:r>
          </w:p>
        </w:tc>
        <w:tc>
          <w:tcPr>
            <w:tcW w:w="940" w:type="dxa"/>
            <w:vAlign w:val="bottom"/>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(3)</w:t>
            </w: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w w:val="93"/>
              </w:rPr>
              <w:t>Capital Partners,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0000FF"/>
                <w:w w:val="86"/>
              </w:rPr>
              <w:t>$0.0001 per share</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Warrant (right to buy)</w:t>
            </w:r>
          </w:p>
        </w:tc>
        <w:tc>
          <w:tcPr>
            <w:tcW w:w="1240" w:type="dxa"/>
            <w:vAlign w:val="bottom"/>
            <w:gridSpan w:val="2"/>
          </w:tcPr>
          <w:p>
            <w:pPr>
              <w:ind w:left="400"/>
              <w:spacing w:after="0"/>
              <w:rPr>
                <w:sz w:val="20"/>
                <w:szCs w:val="20"/>
                <w:color w:val="auto"/>
              </w:rPr>
            </w:pPr>
            <w:r>
              <w:rPr>
                <w:rFonts w:ascii="Arial" w:cs="Arial" w:eastAsia="Arial" w:hAnsi="Arial"/>
                <w:sz w:val="15"/>
                <w:szCs w:val="15"/>
                <w:color w:val="0000FF"/>
              </w:rPr>
              <w:t>07/16/2021</w:t>
            </w:r>
          </w:p>
        </w:tc>
        <w:tc>
          <w:tcPr>
            <w:tcW w:w="840" w:type="dxa"/>
            <w:vAlign w:val="bottom"/>
          </w:tcPr>
          <w:p>
            <w:pPr>
              <w:jc w:val="center"/>
              <w:spacing w:after="0"/>
              <w:rPr>
                <w:sz w:val="20"/>
                <w:szCs w:val="20"/>
                <w:color w:val="auto"/>
              </w:rPr>
            </w:pPr>
            <w:r>
              <w:rPr>
                <w:rFonts w:ascii="Arial" w:cs="Arial" w:eastAsia="Arial" w:hAnsi="Arial"/>
                <w:sz w:val="15"/>
                <w:szCs w:val="15"/>
                <w:color w:val="0000FF"/>
                <w:w w:val="90"/>
              </w:rPr>
              <w:t>12/31/2024</w:t>
            </w:r>
          </w:p>
        </w:tc>
        <w:tc>
          <w:tcPr>
            <w:tcW w:w="1900" w:type="dxa"/>
            <w:vAlign w:val="bottom"/>
          </w:tcPr>
          <w:p>
            <w:pPr>
              <w:jc w:val="center"/>
              <w:spacing w:after="0"/>
              <w:rPr>
                <w:sz w:val="20"/>
                <w:szCs w:val="20"/>
                <w:color w:val="auto"/>
              </w:rPr>
            </w:pPr>
            <w:r>
              <w:rPr>
                <w:rFonts w:ascii="Arial" w:cs="Arial" w:eastAsia="Arial" w:hAnsi="Arial"/>
                <w:sz w:val="20"/>
                <w:szCs w:val="20"/>
                <w:color w:val="0000FF"/>
                <w:w w:val="87"/>
              </w:rPr>
              <w:t>Stock, par value</w:t>
            </w:r>
          </w:p>
        </w:tc>
        <w:tc>
          <w:tcPr>
            <w:tcW w:w="780" w:type="dxa"/>
            <w:vAlign w:val="bottom"/>
          </w:tcPr>
          <w:p>
            <w:pPr>
              <w:jc w:val="center"/>
              <w:spacing w:after="0"/>
              <w:rPr>
                <w:sz w:val="20"/>
                <w:szCs w:val="20"/>
                <w:color w:val="auto"/>
              </w:rPr>
            </w:pPr>
            <w:r>
              <w:rPr>
                <w:rFonts w:ascii="Arial" w:cs="Arial" w:eastAsia="Arial" w:hAnsi="Arial"/>
                <w:sz w:val="20"/>
                <w:szCs w:val="20"/>
                <w:color w:val="0000FF"/>
                <w:w w:val="87"/>
              </w:rPr>
              <w:t>2,984</w:t>
            </w:r>
          </w:p>
        </w:tc>
        <w:tc>
          <w:tcPr>
            <w:tcW w:w="6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20"/>
                <w:szCs w:val="20"/>
                <w:color w:val="0000FF"/>
              </w:rPr>
              <w:t>11.5</w:t>
            </w:r>
          </w:p>
        </w:tc>
        <w:tc>
          <w:tcPr>
            <w:tcW w:w="940" w:type="dxa"/>
            <w:vAlign w:val="bottom"/>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(3)</w:t>
            </w: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w w:val="93"/>
              </w:rPr>
              <w:t>Capital Partners,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0000FF"/>
                <w:w w:val="86"/>
              </w:rPr>
              <w:t>$0.0001 per share</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Call Option (right to buy)</w:t>
            </w:r>
          </w:p>
        </w:tc>
        <w:tc>
          <w:tcPr>
            <w:tcW w:w="1240" w:type="dxa"/>
            <w:vAlign w:val="bottom"/>
            <w:gridSpan w:val="2"/>
            <w:vMerge w:val="restart"/>
          </w:tcPr>
          <w:p>
            <w:pPr>
              <w:ind w:left="400"/>
              <w:spacing w:after="0"/>
              <w:rPr>
                <w:sz w:val="20"/>
                <w:szCs w:val="20"/>
                <w:color w:val="auto"/>
              </w:rPr>
            </w:pPr>
            <w:r>
              <w:rPr>
                <w:rFonts w:ascii="Arial" w:cs="Arial" w:eastAsia="Arial" w:hAnsi="Arial"/>
                <w:sz w:val="15"/>
                <w:szCs w:val="15"/>
                <w:color w:val="0000FF"/>
              </w:rPr>
              <w:t>07/16/2021</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0000FF"/>
                <w:w w:val="90"/>
              </w:rPr>
              <w:t>01/21/2022</w:t>
            </w: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 par value</w:t>
            </w:r>
          </w:p>
        </w:tc>
        <w:tc>
          <w:tcPr>
            <w:tcW w:w="780" w:type="dxa"/>
            <w:vAlign w:val="bottom"/>
            <w:vMerge w:val="restart"/>
          </w:tcPr>
          <w:p>
            <w:pPr>
              <w:jc w:val="center"/>
              <w:spacing w:after="0"/>
              <w:rPr>
                <w:sz w:val="20"/>
                <w:szCs w:val="20"/>
                <w:color w:val="auto"/>
              </w:rPr>
            </w:pPr>
            <w:r>
              <w:rPr>
                <w:rFonts w:ascii="Arial" w:cs="Arial" w:eastAsia="Arial" w:hAnsi="Arial"/>
                <w:sz w:val="20"/>
                <w:szCs w:val="20"/>
                <w:color w:val="0000FF"/>
                <w:w w:val="87"/>
              </w:rPr>
              <w:t>1,500</w:t>
            </w:r>
          </w:p>
        </w:tc>
        <w:tc>
          <w:tcPr>
            <w:tcW w:w="60" w:type="dxa"/>
            <w:vAlign w:val="bottom"/>
          </w:tcPr>
          <w:p>
            <w:pPr>
              <w:spacing w:after="0"/>
              <w:rPr>
                <w:sz w:val="10"/>
                <w:szCs w:val="10"/>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20"/>
                <w:szCs w:val="20"/>
                <w:color w:val="0000FF"/>
              </w:rPr>
              <w:t>17.5</w:t>
            </w:r>
          </w:p>
        </w:tc>
        <w:tc>
          <w:tcPr>
            <w:tcW w:w="94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(4)</w:t>
            </w: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rPr>
              <w:t>Wavefront, LP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6"/>
              </w:rPr>
              <w:t>$0.0001 per share</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Warrant (right to buy)</w:t>
            </w:r>
          </w:p>
        </w:tc>
        <w:tc>
          <w:tcPr>
            <w:tcW w:w="1240" w:type="dxa"/>
            <w:vAlign w:val="bottom"/>
            <w:gridSpan w:val="2"/>
            <w:vMerge w:val="restart"/>
          </w:tcPr>
          <w:p>
            <w:pPr>
              <w:ind w:left="400"/>
              <w:spacing w:after="0"/>
              <w:rPr>
                <w:sz w:val="20"/>
                <w:szCs w:val="20"/>
                <w:color w:val="auto"/>
              </w:rPr>
            </w:pPr>
            <w:r>
              <w:rPr>
                <w:rFonts w:ascii="Arial" w:cs="Arial" w:eastAsia="Arial" w:hAnsi="Arial"/>
                <w:sz w:val="15"/>
                <w:szCs w:val="15"/>
                <w:color w:val="0000FF"/>
              </w:rPr>
              <w:t>07/16/2021</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0000FF"/>
                <w:w w:val="90"/>
              </w:rPr>
              <w:t>12/31/2024</w:t>
            </w: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 par value</w:t>
            </w:r>
          </w:p>
        </w:tc>
        <w:tc>
          <w:tcPr>
            <w:tcW w:w="780" w:type="dxa"/>
            <w:vAlign w:val="bottom"/>
            <w:vMerge w:val="restart"/>
          </w:tcPr>
          <w:p>
            <w:pPr>
              <w:jc w:val="center"/>
              <w:spacing w:after="0"/>
              <w:rPr>
                <w:sz w:val="20"/>
                <w:szCs w:val="20"/>
                <w:color w:val="auto"/>
              </w:rPr>
            </w:pPr>
            <w:r>
              <w:rPr>
                <w:rFonts w:ascii="Arial" w:cs="Arial" w:eastAsia="Arial" w:hAnsi="Arial"/>
                <w:sz w:val="20"/>
                <w:szCs w:val="20"/>
                <w:color w:val="0000FF"/>
                <w:w w:val="89"/>
              </w:rPr>
              <w:t>609</w:t>
            </w:r>
          </w:p>
        </w:tc>
        <w:tc>
          <w:tcPr>
            <w:tcW w:w="60" w:type="dxa"/>
            <w:vAlign w:val="bottom"/>
          </w:tcPr>
          <w:p>
            <w:pPr>
              <w:spacing w:after="0"/>
              <w:rPr>
                <w:sz w:val="10"/>
                <w:szCs w:val="10"/>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20"/>
                <w:szCs w:val="20"/>
                <w:color w:val="0000FF"/>
              </w:rPr>
              <w:t>11.5</w:t>
            </w:r>
          </w:p>
        </w:tc>
        <w:tc>
          <w:tcPr>
            <w:tcW w:w="94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(4)</w:t>
            </w: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rPr>
              <w:t>Wavefront, LP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6"/>
              </w:rPr>
              <w:t>$0.0001 per share</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9"/>
              </w:rPr>
              <w:t>Class A Common</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w w:val="97"/>
              </w:rPr>
              <w:t>Capital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Call Option (right to buy)</w:t>
            </w:r>
          </w:p>
        </w:tc>
        <w:tc>
          <w:tcPr>
            <w:tcW w:w="1240" w:type="dxa"/>
            <w:vAlign w:val="bottom"/>
            <w:gridSpan w:val="2"/>
            <w:vMerge w:val="restart"/>
          </w:tcPr>
          <w:p>
            <w:pPr>
              <w:ind w:left="400"/>
              <w:spacing w:after="0"/>
              <w:rPr>
                <w:sz w:val="20"/>
                <w:szCs w:val="20"/>
                <w:color w:val="auto"/>
              </w:rPr>
            </w:pPr>
            <w:r>
              <w:rPr>
                <w:rFonts w:ascii="Arial" w:cs="Arial" w:eastAsia="Arial" w:hAnsi="Arial"/>
                <w:sz w:val="15"/>
                <w:szCs w:val="15"/>
                <w:color w:val="0000FF"/>
              </w:rPr>
              <w:t>07/16/2021</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0000FF"/>
                <w:w w:val="90"/>
              </w:rPr>
              <w:t>01/21/2022</w:t>
            </w: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 par value</w:t>
            </w:r>
          </w:p>
        </w:tc>
        <w:tc>
          <w:tcPr>
            <w:tcW w:w="780" w:type="dxa"/>
            <w:vAlign w:val="bottom"/>
            <w:vMerge w:val="restart"/>
          </w:tcPr>
          <w:p>
            <w:pPr>
              <w:jc w:val="center"/>
              <w:spacing w:after="0"/>
              <w:rPr>
                <w:sz w:val="20"/>
                <w:szCs w:val="20"/>
                <w:color w:val="auto"/>
              </w:rPr>
            </w:pPr>
            <w:r>
              <w:rPr>
                <w:rFonts w:ascii="Arial" w:cs="Arial" w:eastAsia="Arial" w:hAnsi="Arial"/>
                <w:sz w:val="20"/>
                <w:szCs w:val="20"/>
                <w:color w:val="0000FF"/>
                <w:w w:val="87"/>
              </w:rPr>
              <w:t>3,900</w:t>
            </w:r>
          </w:p>
        </w:tc>
        <w:tc>
          <w:tcPr>
            <w:tcW w:w="60" w:type="dxa"/>
            <w:vAlign w:val="bottom"/>
          </w:tcPr>
          <w:p>
            <w:pPr>
              <w:spacing w:after="0"/>
              <w:rPr>
                <w:sz w:val="10"/>
                <w:szCs w:val="10"/>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20"/>
                <w:szCs w:val="20"/>
                <w:color w:val="0000FF"/>
              </w:rPr>
              <w:t>17.5</w:t>
            </w:r>
          </w:p>
        </w:tc>
        <w:tc>
          <w:tcPr>
            <w:tcW w:w="94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(5)</w:t>
            </w: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w w:val="97"/>
              </w:rPr>
              <w:t>Offshore Master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6"/>
              </w:rPr>
              <w:t>$0.0001 per share</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19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20" w:type="dxa"/>
            <w:vAlign w:val="bottom"/>
            <w:gridSpan w:val="8"/>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20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9"/>
              </w:rPr>
              <w:t>Class A Common</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w w:val="97"/>
              </w:rPr>
              <w:t>Capital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20" w:type="dxa"/>
            <w:vAlign w:val="bottom"/>
            <w:gridSpan w:val="8"/>
            <w:vMerge w:val="restart"/>
          </w:tcPr>
          <w:p>
            <w:pPr>
              <w:ind w:left="80"/>
              <w:spacing w:after="0"/>
              <w:rPr>
                <w:sz w:val="20"/>
                <w:szCs w:val="20"/>
                <w:color w:val="auto"/>
              </w:rPr>
            </w:pPr>
            <w:r>
              <w:rPr>
                <w:rFonts w:ascii="Arial" w:cs="Arial" w:eastAsia="Arial" w:hAnsi="Arial"/>
                <w:sz w:val="20"/>
                <w:szCs w:val="20"/>
                <w:color w:val="0000FF"/>
              </w:rPr>
              <w:t>Warrant (right to buy)</w:t>
            </w:r>
          </w:p>
        </w:tc>
        <w:tc>
          <w:tcPr>
            <w:tcW w:w="1180" w:type="dxa"/>
            <w:vAlign w:val="bottom"/>
            <w:gridSpan w:val="2"/>
            <w:vMerge w:val="restart"/>
          </w:tcPr>
          <w:p>
            <w:pPr>
              <w:ind w:left="340"/>
              <w:spacing w:after="0"/>
              <w:rPr>
                <w:sz w:val="20"/>
                <w:szCs w:val="20"/>
                <w:color w:val="auto"/>
              </w:rPr>
            </w:pPr>
            <w:r>
              <w:rPr>
                <w:rFonts w:ascii="Arial" w:cs="Arial" w:eastAsia="Arial" w:hAnsi="Arial"/>
                <w:sz w:val="15"/>
                <w:szCs w:val="15"/>
                <w:color w:val="0000FF"/>
              </w:rPr>
              <w:t>07/16/2021</w:t>
            </w:r>
          </w:p>
        </w:tc>
        <w:tc>
          <w:tcPr>
            <w:tcW w:w="880" w:type="dxa"/>
            <w:vAlign w:val="bottom"/>
            <w:gridSpan w:val="3"/>
            <w:vMerge w:val="restart"/>
          </w:tcPr>
          <w:p>
            <w:pPr>
              <w:ind w:left="100"/>
              <w:spacing w:after="0"/>
              <w:rPr>
                <w:sz w:val="20"/>
                <w:szCs w:val="20"/>
                <w:color w:val="auto"/>
              </w:rPr>
            </w:pPr>
            <w:r>
              <w:rPr>
                <w:rFonts w:ascii="Arial" w:cs="Arial" w:eastAsia="Arial" w:hAnsi="Arial"/>
                <w:sz w:val="15"/>
                <w:szCs w:val="15"/>
                <w:color w:val="0000FF"/>
              </w:rPr>
              <w:t>12/31/2024</w:t>
            </w:r>
          </w:p>
        </w:tc>
        <w:tc>
          <w:tcPr>
            <w:tcW w:w="1760" w:type="dxa"/>
            <w:vAlign w:val="bottom"/>
            <w:vMerge w:val="restart"/>
          </w:tcPr>
          <w:p>
            <w:pPr>
              <w:jc w:val="center"/>
              <w:ind w:left="9"/>
              <w:spacing w:after="0"/>
              <w:rPr>
                <w:sz w:val="20"/>
                <w:szCs w:val="20"/>
                <w:color w:val="auto"/>
              </w:rPr>
            </w:pPr>
            <w:r>
              <w:rPr>
                <w:rFonts w:ascii="Arial" w:cs="Arial" w:eastAsia="Arial" w:hAnsi="Arial"/>
                <w:sz w:val="20"/>
                <w:szCs w:val="20"/>
                <w:color w:val="0000FF"/>
                <w:w w:val="87"/>
              </w:rPr>
              <w:t>Stock, par value</w:t>
            </w:r>
          </w:p>
        </w:tc>
        <w:tc>
          <w:tcPr>
            <w:tcW w:w="880" w:type="dxa"/>
            <w:vAlign w:val="bottom"/>
            <w:vMerge w:val="restart"/>
          </w:tcPr>
          <w:p>
            <w:pPr>
              <w:jc w:val="center"/>
              <w:spacing w:after="0"/>
              <w:rPr>
                <w:sz w:val="20"/>
                <w:szCs w:val="20"/>
                <w:color w:val="auto"/>
              </w:rPr>
            </w:pPr>
            <w:r>
              <w:rPr>
                <w:rFonts w:ascii="Arial" w:cs="Arial" w:eastAsia="Arial" w:hAnsi="Arial"/>
                <w:sz w:val="20"/>
                <w:szCs w:val="20"/>
                <w:color w:val="0000FF"/>
                <w:w w:val="87"/>
              </w:rPr>
              <w:t>1,798</w:t>
            </w:r>
          </w:p>
        </w:tc>
        <w:tc>
          <w:tcPr>
            <w:tcW w:w="980" w:type="dxa"/>
            <w:vAlign w:val="bottom"/>
            <w:vMerge w:val="restart"/>
          </w:tcPr>
          <w:p>
            <w:pPr>
              <w:ind w:left="320"/>
              <w:spacing w:after="0"/>
              <w:rPr>
                <w:sz w:val="20"/>
                <w:szCs w:val="20"/>
                <w:color w:val="auto"/>
              </w:rPr>
            </w:pPr>
            <w:r>
              <w:rPr>
                <w:rFonts w:ascii="Arial" w:cs="Arial" w:eastAsia="Arial" w:hAnsi="Arial"/>
                <w:sz w:val="20"/>
                <w:szCs w:val="20"/>
                <w:color w:val="0000FF"/>
              </w:rPr>
              <w:t>11.5</w:t>
            </w:r>
          </w:p>
        </w:tc>
        <w:tc>
          <w:tcPr>
            <w:tcW w:w="94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(5)</w:t>
            </w: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20" w:type="dxa"/>
            <w:vAlign w:val="bottom"/>
            <w:gridSpan w:val="8"/>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w w:val="97"/>
              </w:rPr>
              <w:t>Offshore Master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6"/>
              </w:rPr>
              <w:t>$0.0001 per share</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By: Lugard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20" w:type="dxa"/>
            <w:vAlign w:val="bottom"/>
            <w:gridSpan w:val="8"/>
          </w:tcPr>
          <w:p>
            <w:pPr>
              <w:ind w:left="80"/>
              <w:spacing w:after="0"/>
              <w:rPr>
                <w:sz w:val="20"/>
                <w:szCs w:val="20"/>
                <w:color w:val="auto"/>
              </w:rPr>
            </w:pPr>
            <w:r>
              <w:rPr>
                <w:rFonts w:ascii="Arial" w:cs="Arial" w:eastAsia="Arial" w:hAnsi="Arial"/>
                <w:sz w:val="20"/>
                <w:szCs w:val="20"/>
                <w:color w:val="0000FF"/>
              </w:rPr>
              <w:t>Call Option (right to buy)</w:t>
            </w:r>
          </w:p>
        </w:tc>
        <w:tc>
          <w:tcPr>
            <w:tcW w:w="1180" w:type="dxa"/>
            <w:vAlign w:val="bottom"/>
            <w:gridSpan w:val="2"/>
          </w:tcPr>
          <w:p>
            <w:pPr>
              <w:ind w:left="340"/>
              <w:spacing w:after="0"/>
              <w:rPr>
                <w:sz w:val="20"/>
                <w:szCs w:val="20"/>
                <w:color w:val="auto"/>
              </w:rPr>
            </w:pPr>
            <w:r>
              <w:rPr>
                <w:rFonts w:ascii="Arial" w:cs="Arial" w:eastAsia="Arial" w:hAnsi="Arial"/>
                <w:sz w:val="15"/>
                <w:szCs w:val="15"/>
                <w:color w:val="0000FF"/>
              </w:rPr>
              <w:t>07/16/2021</w:t>
            </w:r>
          </w:p>
        </w:tc>
        <w:tc>
          <w:tcPr>
            <w:tcW w:w="880" w:type="dxa"/>
            <w:vAlign w:val="bottom"/>
            <w:gridSpan w:val="3"/>
          </w:tcPr>
          <w:p>
            <w:pPr>
              <w:ind w:left="100"/>
              <w:spacing w:after="0"/>
              <w:rPr>
                <w:sz w:val="20"/>
                <w:szCs w:val="20"/>
                <w:color w:val="auto"/>
              </w:rPr>
            </w:pPr>
            <w:r>
              <w:rPr>
                <w:rFonts w:ascii="Arial" w:cs="Arial" w:eastAsia="Arial" w:hAnsi="Arial"/>
                <w:sz w:val="15"/>
                <w:szCs w:val="15"/>
                <w:color w:val="0000FF"/>
              </w:rPr>
              <w:t>01/21/2022</w:t>
            </w:r>
          </w:p>
        </w:tc>
        <w:tc>
          <w:tcPr>
            <w:tcW w:w="1760" w:type="dxa"/>
            <w:vAlign w:val="bottom"/>
          </w:tcPr>
          <w:p>
            <w:pPr>
              <w:jc w:val="center"/>
              <w:ind w:left="9"/>
              <w:spacing w:after="0"/>
              <w:rPr>
                <w:sz w:val="20"/>
                <w:szCs w:val="20"/>
                <w:color w:val="auto"/>
              </w:rPr>
            </w:pPr>
            <w:r>
              <w:rPr>
                <w:rFonts w:ascii="Arial" w:cs="Arial" w:eastAsia="Arial" w:hAnsi="Arial"/>
                <w:sz w:val="20"/>
                <w:szCs w:val="20"/>
                <w:color w:val="0000FF"/>
                <w:w w:val="87"/>
              </w:rPr>
              <w:t>Stock, par value</w:t>
            </w:r>
          </w:p>
        </w:tc>
        <w:tc>
          <w:tcPr>
            <w:tcW w:w="880" w:type="dxa"/>
            <w:vAlign w:val="bottom"/>
          </w:tcPr>
          <w:p>
            <w:pPr>
              <w:jc w:val="center"/>
              <w:spacing w:after="0"/>
              <w:rPr>
                <w:sz w:val="20"/>
                <w:szCs w:val="20"/>
                <w:color w:val="auto"/>
              </w:rPr>
            </w:pPr>
            <w:r>
              <w:rPr>
                <w:rFonts w:ascii="Arial" w:cs="Arial" w:eastAsia="Arial" w:hAnsi="Arial"/>
                <w:sz w:val="20"/>
                <w:szCs w:val="20"/>
                <w:color w:val="0000FF"/>
                <w:w w:val="88"/>
              </w:rPr>
              <w:t>788,000</w:t>
            </w:r>
          </w:p>
        </w:tc>
        <w:tc>
          <w:tcPr>
            <w:tcW w:w="980" w:type="dxa"/>
            <w:vAlign w:val="bottom"/>
          </w:tcPr>
          <w:p>
            <w:pPr>
              <w:ind w:left="320"/>
              <w:spacing w:after="0"/>
              <w:rPr>
                <w:sz w:val="20"/>
                <w:szCs w:val="20"/>
                <w:color w:val="auto"/>
              </w:rPr>
            </w:pPr>
            <w:r>
              <w:rPr>
                <w:rFonts w:ascii="Arial" w:cs="Arial" w:eastAsia="Arial" w:hAnsi="Arial"/>
                <w:sz w:val="20"/>
                <w:szCs w:val="20"/>
                <w:color w:val="0000FF"/>
              </w:rPr>
              <w:t>17.5</w:t>
            </w:r>
          </w:p>
        </w:tc>
        <w:tc>
          <w:tcPr>
            <w:tcW w:w="940" w:type="dxa"/>
            <w:vAlign w:val="bottom"/>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(6)</w:t>
            </w: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Road Capital</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0000FF"/>
                <w:w w:val="86"/>
              </w:rPr>
              <w:t>$0.0001 per share</w:t>
            </w: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w w:val="94"/>
              </w:rPr>
              <w:t>Master Fund, 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By: Lugard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20" w:type="dxa"/>
            <w:vAlign w:val="bottom"/>
            <w:gridSpan w:val="8"/>
          </w:tcPr>
          <w:p>
            <w:pPr>
              <w:ind w:left="80"/>
              <w:spacing w:after="0"/>
              <w:rPr>
                <w:sz w:val="20"/>
                <w:szCs w:val="20"/>
                <w:color w:val="auto"/>
              </w:rPr>
            </w:pPr>
            <w:r>
              <w:rPr>
                <w:rFonts w:ascii="Arial" w:cs="Arial" w:eastAsia="Arial" w:hAnsi="Arial"/>
                <w:sz w:val="20"/>
                <w:szCs w:val="20"/>
                <w:color w:val="0000FF"/>
              </w:rPr>
              <w:t>Warrant (right to buy)</w:t>
            </w:r>
          </w:p>
        </w:tc>
        <w:tc>
          <w:tcPr>
            <w:tcW w:w="1180" w:type="dxa"/>
            <w:vAlign w:val="bottom"/>
            <w:gridSpan w:val="2"/>
          </w:tcPr>
          <w:p>
            <w:pPr>
              <w:ind w:left="340"/>
              <w:spacing w:after="0"/>
              <w:rPr>
                <w:sz w:val="20"/>
                <w:szCs w:val="20"/>
                <w:color w:val="auto"/>
              </w:rPr>
            </w:pPr>
            <w:r>
              <w:rPr>
                <w:rFonts w:ascii="Arial" w:cs="Arial" w:eastAsia="Arial" w:hAnsi="Arial"/>
                <w:sz w:val="15"/>
                <w:szCs w:val="15"/>
                <w:color w:val="0000FF"/>
              </w:rPr>
              <w:t>07/16/2021</w:t>
            </w:r>
          </w:p>
        </w:tc>
        <w:tc>
          <w:tcPr>
            <w:tcW w:w="880" w:type="dxa"/>
            <w:vAlign w:val="bottom"/>
            <w:gridSpan w:val="3"/>
          </w:tcPr>
          <w:p>
            <w:pPr>
              <w:ind w:left="100"/>
              <w:spacing w:after="0"/>
              <w:rPr>
                <w:sz w:val="20"/>
                <w:szCs w:val="20"/>
                <w:color w:val="auto"/>
              </w:rPr>
            </w:pPr>
            <w:r>
              <w:rPr>
                <w:rFonts w:ascii="Arial" w:cs="Arial" w:eastAsia="Arial" w:hAnsi="Arial"/>
                <w:sz w:val="15"/>
                <w:szCs w:val="15"/>
                <w:color w:val="0000FF"/>
              </w:rPr>
              <w:t>12/31/2024</w:t>
            </w:r>
          </w:p>
        </w:tc>
        <w:tc>
          <w:tcPr>
            <w:tcW w:w="1760" w:type="dxa"/>
            <w:vAlign w:val="bottom"/>
          </w:tcPr>
          <w:p>
            <w:pPr>
              <w:jc w:val="center"/>
              <w:ind w:left="9"/>
              <w:spacing w:after="0"/>
              <w:rPr>
                <w:sz w:val="20"/>
                <w:szCs w:val="20"/>
                <w:color w:val="auto"/>
              </w:rPr>
            </w:pPr>
            <w:r>
              <w:rPr>
                <w:rFonts w:ascii="Arial" w:cs="Arial" w:eastAsia="Arial" w:hAnsi="Arial"/>
                <w:sz w:val="20"/>
                <w:szCs w:val="20"/>
                <w:color w:val="0000FF"/>
                <w:w w:val="87"/>
              </w:rPr>
              <w:t>Stock, par value</w:t>
            </w:r>
          </w:p>
        </w:tc>
        <w:tc>
          <w:tcPr>
            <w:tcW w:w="880" w:type="dxa"/>
            <w:vAlign w:val="bottom"/>
          </w:tcPr>
          <w:p>
            <w:pPr>
              <w:jc w:val="center"/>
              <w:spacing w:after="0"/>
              <w:rPr>
                <w:sz w:val="20"/>
                <w:szCs w:val="20"/>
                <w:color w:val="auto"/>
              </w:rPr>
            </w:pPr>
            <w:r>
              <w:rPr>
                <w:rFonts w:ascii="Arial" w:cs="Arial" w:eastAsia="Arial" w:hAnsi="Arial"/>
                <w:sz w:val="20"/>
                <w:szCs w:val="20"/>
                <w:color w:val="0000FF"/>
                <w:w w:val="88"/>
              </w:rPr>
              <w:t>364,365</w:t>
            </w:r>
          </w:p>
        </w:tc>
        <w:tc>
          <w:tcPr>
            <w:tcW w:w="980" w:type="dxa"/>
            <w:vAlign w:val="bottom"/>
          </w:tcPr>
          <w:p>
            <w:pPr>
              <w:ind w:left="320"/>
              <w:spacing w:after="0"/>
              <w:rPr>
                <w:sz w:val="20"/>
                <w:szCs w:val="20"/>
                <w:color w:val="auto"/>
              </w:rPr>
            </w:pPr>
            <w:r>
              <w:rPr>
                <w:rFonts w:ascii="Arial" w:cs="Arial" w:eastAsia="Arial" w:hAnsi="Arial"/>
                <w:sz w:val="20"/>
                <w:szCs w:val="20"/>
                <w:color w:val="0000FF"/>
              </w:rPr>
              <w:t>11.5</w:t>
            </w:r>
          </w:p>
        </w:tc>
        <w:tc>
          <w:tcPr>
            <w:tcW w:w="940" w:type="dxa"/>
            <w:vAlign w:val="bottom"/>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(6)</w:t>
            </w: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rPr>
              <w:t>Road Capital</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0000FF"/>
                <w:w w:val="86"/>
              </w:rPr>
              <w:t>$0.0001 per share</w:t>
            </w: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w w:val="94"/>
              </w:rPr>
              <w:t>Master Fund, LP</w:t>
            </w: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gridSpan w:val="2"/>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000" w:type="dxa"/>
            <w:vAlign w:val="bottom"/>
            <w:tcBorders>
              <w:top w:val="single" w:sz="8" w:color="2C2C2C"/>
            </w:tcBorders>
            <w:gridSpan w:val="10"/>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6"/>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Luxor Capital Group, LP</w:t>
              </w:r>
            </w:hyperlink>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5"/>
          </w:tcPr>
          <w:p>
            <w:pPr>
              <w:ind w:left="120"/>
              <w:spacing w:after="0"/>
              <w:rPr>
                <w:sz w:val="20"/>
                <w:szCs w:val="20"/>
                <w:color w:val="auto"/>
              </w:rPr>
            </w:pPr>
            <w:r>
              <w:rPr>
                <w:rFonts w:ascii="Arial" w:cs="Arial" w:eastAsia="Arial" w:hAnsi="Arial"/>
                <w:sz w:val="15"/>
                <w:szCs w:val="15"/>
                <w:color w:val="auto"/>
              </w:rPr>
              <w:t>(First)</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8"/>
          </w:tcPr>
          <w:p>
            <w:pPr>
              <w:spacing w:after="0"/>
              <w:rPr>
                <w:sz w:val="20"/>
                <w:szCs w:val="20"/>
                <w:color w:val="auto"/>
              </w:rPr>
            </w:pPr>
            <w:r>
              <w:rPr>
                <w:rFonts w:ascii="Arial" w:cs="Arial" w:eastAsia="Arial" w:hAnsi="Arial"/>
                <w:sz w:val="20"/>
                <w:szCs w:val="20"/>
                <w:color w:val="0000FF"/>
              </w:rPr>
              <w:t>1114 AVENUE OF THE AMERICAS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28TH FLOOR</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NEW YORK</w:t>
            </w:r>
          </w:p>
        </w:tc>
        <w:tc>
          <w:tcPr>
            <w:tcW w:w="1440" w:type="dxa"/>
            <w:vAlign w:val="bottom"/>
            <w:gridSpan w:val="5"/>
          </w:tcPr>
          <w:p>
            <w:pPr>
              <w:ind w:left="120"/>
              <w:spacing w:after="0"/>
              <w:rPr>
                <w:sz w:val="20"/>
                <w:szCs w:val="20"/>
                <w:color w:val="auto"/>
              </w:rPr>
            </w:pPr>
            <w:r>
              <w:rPr>
                <w:rFonts w:ascii="Arial" w:cs="Arial" w:eastAsia="Arial" w:hAnsi="Arial"/>
                <w:sz w:val="20"/>
                <w:szCs w:val="20"/>
                <w:color w:val="0000FF"/>
              </w:rPr>
              <w:t>NY</w:t>
            </w:r>
          </w:p>
        </w:tc>
        <w:tc>
          <w:tcPr>
            <w:tcW w:w="1180" w:type="dxa"/>
            <w:vAlign w:val="bottom"/>
            <w:gridSpan w:val="2"/>
          </w:tcPr>
          <w:p>
            <w:pPr>
              <w:ind w:left="60"/>
              <w:spacing w:after="0"/>
              <w:rPr>
                <w:sz w:val="20"/>
                <w:szCs w:val="20"/>
                <w:color w:val="auto"/>
              </w:rPr>
            </w:pPr>
            <w:r>
              <w:rPr>
                <w:rFonts w:ascii="Arial" w:cs="Arial" w:eastAsia="Arial" w:hAnsi="Arial"/>
                <w:sz w:val="20"/>
                <w:szCs w:val="20"/>
                <w:color w:val="0000FF"/>
              </w:rPr>
              <w:t>10036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gridSpan w:val="2"/>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5"/>
          </w:tcPr>
          <w:p>
            <w:pPr>
              <w:ind w:left="120"/>
              <w:spacing w:after="0"/>
              <w:rPr>
                <w:sz w:val="20"/>
                <w:szCs w:val="20"/>
                <w:color w:val="auto"/>
              </w:rPr>
            </w:pPr>
            <w:r>
              <w:rPr>
                <w:rFonts w:ascii="Arial" w:cs="Arial" w:eastAsia="Arial" w:hAnsi="Arial"/>
                <w:sz w:val="15"/>
                <w:szCs w:val="15"/>
                <w:color w:val="auto"/>
              </w:rPr>
              <w:t>(State)</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00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6"/>
          </w:tcPr>
          <w:p>
            <w:pPr>
              <w:spacing w:after="0" w:line="249" w:lineRule="exact"/>
              <w:rPr>
                <w:rFonts w:ascii="Arial" w:cs="Arial" w:eastAsia="Arial" w:hAnsi="Arial"/>
                <w:sz w:val="24"/>
                <w:szCs w:val="24"/>
                <w:color w:val="0000EE"/>
              </w:rPr>
            </w:pPr>
            <w:hyperlink r:id="rId13">
              <w:r>
                <w:rPr>
                  <w:rFonts w:ascii="Arial" w:cs="Arial" w:eastAsia="Arial" w:hAnsi="Arial"/>
                  <w:sz w:val="24"/>
                  <w:szCs w:val="24"/>
                  <w:color w:val="0000EE"/>
                </w:rPr>
                <w:t>LCG HOLDINGS LLC</w:t>
              </w:r>
            </w:hyperlink>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5"/>
          </w:tcPr>
          <w:p>
            <w:pPr>
              <w:ind w:left="120"/>
              <w:spacing w:after="0"/>
              <w:rPr>
                <w:sz w:val="20"/>
                <w:szCs w:val="20"/>
                <w:color w:val="auto"/>
              </w:rPr>
            </w:pPr>
            <w:r>
              <w:rPr>
                <w:rFonts w:ascii="Arial" w:cs="Arial" w:eastAsia="Arial" w:hAnsi="Arial"/>
                <w:sz w:val="15"/>
                <w:szCs w:val="15"/>
                <w:color w:val="auto"/>
              </w:rPr>
              <w:t>(First)</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8"/>
          </w:tcPr>
          <w:p>
            <w:pPr>
              <w:spacing w:after="0"/>
              <w:rPr>
                <w:sz w:val="20"/>
                <w:szCs w:val="20"/>
                <w:color w:val="auto"/>
              </w:rPr>
            </w:pPr>
            <w:r>
              <w:rPr>
                <w:rFonts w:ascii="Arial" w:cs="Arial" w:eastAsia="Arial" w:hAnsi="Arial"/>
                <w:sz w:val="20"/>
                <w:szCs w:val="20"/>
                <w:color w:val="0000FF"/>
              </w:rPr>
              <w:t>1114 AVENUE OF THE AMERICAS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28TH FLOOR</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NEW YORK</w:t>
            </w:r>
          </w:p>
        </w:tc>
        <w:tc>
          <w:tcPr>
            <w:tcW w:w="1440" w:type="dxa"/>
            <w:vAlign w:val="bottom"/>
            <w:gridSpan w:val="5"/>
          </w:tcPr>
          <w:p>
            <w:pPr>
              <w:ind w:left="120"/>
              <w:spacing w:after="0"/>
              <w:rPr>
                <w:sz w:val="20"/>
                <w:szCs w:val="20"/>
                <w:color w:val="auto"/>
              </w:rPr>
            </w:pPr>
            <w:r>
              <w:rPr>
                <w:rFonts w:ascii="Arial" w:cs="Arial" w:eastAsia="Arial" w:hAnsi="Arial"/>
                <w:sz w:val="20"/>
                <w:szCs w:val="20"/>
                <w:color w:val="0000FF"/>
              </w:rPr>
              <w:t>NY</w:t>
            </w:r>
          </w:p>
        </w:tc>
        <w:tc>
          <w:tcPr>
            <w:tcW w:w="1180" w:type="dxa"/>
            <w:vAlign w:val="bottom"/>
            <w:gridSpan w:val="2"/>
          </w:tcPr>
          <w:p>
            <w:pPr>
              <w:ind w:left="60"/>
              <w:spacing w:after="0"/>
              <w:rPr>
                <w:sz w:val="20"/>
                <w:szCs w:val="20"/>
                <w:color w:val="auto"/>
              </w:rPr>
            </w:pPr>
            <w:r>
              <w:rPr>
                <w:rFonts w:ascii="Arial" w:cs="Arial" w:eastAsia="Arial" w:hAnsi="Arial"/>
                <w:sz w:val="20"/>
                <w:szCs w:val="20"/>
                <w:color w:val="0000FF"/>
              </w:rPr>
              <w:t>10036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gridSpan w:val="2"/>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5"/>
          </w:tcPr>
          <w:p>
            <w:pPr>
              <w:ind w:left="120"/>
              <w:spacing w:after="0"/>
              <w:rPr>
                <w:sz w:val="20"/>
                <w:szCs w:val="20"/>
                <w:color w:val="auto"/>
              </w:rPr>
            </w:pPr>
            <w:r>
              <w:rPr>
                <w:rFonts w:ascii="Arial" w:cs="Arial" w:eastAsia="Arial" w:hAnsi="Arial"/>
                <w:sz w:val="15"/>
                <w:szCs w:val="15"/>
                <w:color w:val="auto"/>
              </w:rPr>
              <w:t>(State)</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00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6"/>
          </w:tcPr>
          <w:p>
            <w:pPr>
              <w:spacing w:after="0" w:line="249" w:lineRule="exact"/>
              <w:rPr>
                <w:rFonts w:ascii="Arial" w:cs="Arial" w:eastAsia="Arial" w:hAnsi="Arial"/>
                <w:sz w:val="24"/>
                <w:szCs w:val="24"/>
                <w:color w:val="0000EE"/>
              </w:rPr>
            </w:pPr>
            <w:hyperlink r:id="rId14">
              <w:r>
                <w:rPr>
                  <w:rFonts w:ascii="Arial" w:cs="Arial" w:eastAsia="Arial" w:hAnsi="Arial"/>
                  <w:sz w:val="24"/>
                  <w:szCs w:val="24"/>
                  <w:color w:val="0000EE"/>
                </w:rPr>
                <w:t>Luxor Wavefront, LP</w:t>
              </w:r>
            </w:hyperlink>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5"/>
          </w:tcPr>
          <w:p>
            <w:pPr>
              <w:ind w:left="120"/>
              <w:spacing w:after="0"/>
              <w:rPr>
                <w:sz w:val="20"/>
                <w:szCs w:val="20"/>
                <w:color w:val="auto"/>
              </w:rPr>
            </w:pPr>
            <w:r>
              <w:rPr>
                <w:rFonts w:ascii="Arial" w:cs="Arial" w:eastAsia="Arial" w:hAnsi="Arial"/>
                <w:sz w:val="15"/>
                <w:szCs w:val="15"/>
                <w:color w:val="auto"/>
              </w:rPr>
              <w:t>(First)</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8"/>
          </w:tcPr>
          <w:p>
            <w:pPr>
              <w:spacing w:after="0"/>
              <w:rPr>
                <w:sz w:val="20"/>
                <w:szCs w:val="20"/>
                <w:color w:val="auto"/>
              </w:rPr>
            </w:pPr>
            <w:r>
              <w:rPr>
                <w:rFonts w:ascii="Arial" w:cs="Arial" w:eastAsia="Arial" w:hAnsi="Arial"/>
                <w:sz w:val="20"/>
                <w:szCs w:val="20"/>
                <w:color w:val="0000FF"/>
              </w:rPr>
              <w:t>1114 AVENUE OF THE AMERICAS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28TH FLOOR</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NEW YORK</w:t>
            </w:r>
          </w:p>
        </w:tc>
        <w:tc>
          <w:tcPr>
            <w:tcW w:w="1440" w:type="dxa"/>
            <w:vAlign w:val="bottom"/>
            <w:gridSpan w:val="5"/>
          </w:tcPr>
          <w:p>
            <w:pPr>
              <w:ind w:left="120"/>
              <w:spacing w:after="0"/>
              <w:rPr>
                <w:sz w:val="20"/>
                <w:szCs w:val="20"/>
                <w:color w:val="auto"/>
              </w:rPr>
            </w:pPr>
            <w:r>
              <w:rPr>
                <w:rFonts w:ascii="Arial" w:cs="Arial" w:eastAsia="Arial" w:hAnsi="Arial"/>
                <w:sz w:val="20"/>
                <w:szCs w:val="20"/>
                <w:color w:val="0000FF"/>
              </w:rPr>
              <w:t>NY</w:t>
            </w:r>
          </w:p>
        </w:tc>
        <w:tc>
          <w:tcPr>
            <w:tcW w:w="1180" w:type="dxa"/>
            <w:vAlign w:val="bottom"/>
            <w:gridSpan w:val="2"/>
          </w:tcPr>
          <w:p>
            <w:pPr>
              <w:ind w:left="60"/>
              <w:spacing w:after="0"/>
              <w:rPr>
                <w:sz w:val="20"/>
                <w:szCs w:val="20"/>
                <w:color w:val="auto"/>
              </w:rPr>
            </w:pPr>
            <w:r>
              <w:rPr>
                <w:rFonts w:ascii="Arial" w:cs="Arial" w:eastAsia="Arial" w:hAnsi="Arial"/>
                <w:sz w:val="20"/>
                <w:szCs w:val="20"/>
                <w:color w:val="0000FF"/>
              </w:rPr>
              <w:t>10036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gridSpan w:val="2"/>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5"/>
          </w:tcPr>
          <w:p>
            <w:pPr>
              <w:ind w:left="120"/>
              <w:spacing w:after="0"/>
              <w:rPr>
                <w:sz w:val="20"/>
                <w:szCs w:val="20"/>
                <w:color w:val="auto"/>
              </w:rPr>
            </w:pPr>
            <w:r>
              <w:rPr>
                <w:rFonts w:ascii="Arial" w:cs="Arial" w:eastAsia="Arial" w:hAnsi="Arial"/>
                <w:sz w:val="15"/>
                <w:szCs w:val="15"/>
                <w:color w:val="auto"/>
              </w:rPr>
              <w:t>(State)</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00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6"/>
          </w:tcPr>
          <w:p>
            <w:pPr>
              <w:spacing w:after="0" w:line="249" w:lineRule="exact"/>
              <w:rPr>
                <w:rFonts w:ascii="Arial" w:cs="Arial" w:eastAsia="Arial" w:hAnsi="Arial"/>
                <w:sz w:val="24"/>
                <w:szCs w:val="24"/>
                <w:color w:val="0000EE"/>
                <w:w w:val="95"/>
              </w:rPr>
            </w:pPr>
            <w:hyperlink r:id="rId15">
              <w:r>
                <w:rPr>
                  <w:rFonts w:ascii="Arial" w:cs="Arial" w:eastAsia="Arial" w:hAnsi="Arial"/>
                  <w:sz w:val="24"/>
                  <w:szCs w:val="24"/>
                  <w:color w:val="0000EE"/>
                  <w:w w:val="95"/>
                </w:rPr>
                <w:t>Luxor Capital Partners, LP</w:t>
              </w:r>
            </w:hyperlink>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5"/>
          </w:tcPr>
          <w:p>
            <w:pPr>
              <w:ind w:left="120"/>
              <w:spacing w:after="0"/>
              <w:rPr>
                <w:sz w:val="20"/>
                <w:szCs w:val="20"/>
                <w:color w:val="auto"/>
              </w:rPr>
            </w:pPr>
            <w:r>
              <w:rPr>
                <w:rFonts w:ascii="Arial" w:cs="Arial" w:eastAsia="Arial" w:hAnsi="Arial"/>
                <w:sz w:val="15"/>
                <w:szCs w:val="15"/>
                <w:color w:val="auto"/>
              </w:rPr>
              <w:t>(First)</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1114 AVENUE OF THE AMERICAS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28TH FLOOR</w:t>
      </w:r>
    </w:p>
    <w:p>
      <w:pPr>
        <w:sectPr>
          <w:pgSz w:w="11900" w:h="16838" w:orient="portrait"/>
          <w:cols w:equalWidth="0" w:num="1">
            <w:col w:w="10940"/>
          </w:cols>
          <w:pgMar w:left="480" w:top="194" w:right="479" w:bottom="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17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10036</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3052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798445" cy="30524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LUXOR CAPITAL PARTNERS</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OFFSHORE LTD</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C/O MAPLES CORPORATE SERVICES LTD.</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PO BOX 309, UGLAND HOUSE</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GEORGE</w:t>
            </w:r>
          </w:p>
        </w:tc>
        <w:tc>
          <w:tcPr>
            <w:tcW w:w="1220" w:type="dxa"/>
            <w:vAlign w:val="bottom"/>
            <w:vMerge w:val="restart"/>
          </w:tcPr>
          <w:p>
            <w:pPr>
              <w:ind w:left="300"/>
              <w:spacing w:after="0"/>
              <w:rPr>
                <w:sz w:val="20"/>
                <w:szCs w:val="20"/>
                <w:color w:val="auto"/>
              </w:rPr>
            </w:pPr>
            <w:r>
              <w:rPr>
                <w:rFonts w:ascii="Arial" w:cs="Arial" w:eastAsia="Arial" w:hAnsi="Arial"/>
                <w:sz w:val="20"/>
                <w:szCs w:val="20"/>
                <w:color w:val="0000FF"/>
              </w:rPr>
              <w:t>E9</w:t>
            </w:r>
          </w:p>
        </w:tc>
        <w:tc>
          <w:tcPr>
            <w:tcW w:w="1800" w:type="dxa"/>
            <w:vAlign w:val="bottom"/>
            <w:vMerge w:val="restart"/>
          </w:tcPr>
          <w:p>
            <w:pPr>
              <w:ind w:left="460"/>
              <w:spacing w:after="0"/>
              <w:rPr>
                <w:sz w:val="20"/>
                <w:szCs w:val="20"/>
                <w:color w:val="auto"/>
              </w:rPr>
            </w:pPr>
            <w:r>
              <w:rPr>
                <w:rFonts w:ascii="Arial" w:cs="Arial" w:eastAsia="Arial" w:hAnsi="Arial"/>
                <w:sz w:val="20"/>
                <w:szCs w:val="20"/>
                <w:color w:val="0000FF"/>
              </w:rPr>
              <w:t>KY1-1104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vMerge w:val="restart"/>
          </w:tcPr>
          <w:p>
            <w:pPr>
              <w:ind w:left="20"/>
              <w:spacing w:after="0"/>
              <w:rPr>
                <w:sz w:val="20"/>
                <w:szCs w:val="20"/>
                <w:color w:val="auto"/>
              </w:rPr>
            </w:pPr>
            <w:r>
              <w:rPr>
                <w:rFonts w:ascii="Arial" w:cs="Arial" w:eastAsia="Arial" w:hAnsi="Arial"/>
                <w:sz w:val="20"/>
                <w:szCs w:val="20"/>
                <w:color w:val="0000FF"/>
              </w:rPr>
              <w:t>TOWN</w:t>
            </w:r>
          </w:p>
        </w:tc>
        <w:tc>
          <w:tcPr>
            <w:tcW w:w="122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Form 3 is filed jointly by Luxor Capital Group, LP ("Luxor Capital Group"), Luxor Capital Partners, LP ("Onshore Fund"), Luxor Capital Partners Offshore, Ltd. ("Offshore Feeder Fund"), Luxor Wavefront, LP ("Wavefront Fund"), LCG Holdings, LLC ("LCG Holdings"), Luxor Management, LLC ("Luxor Management"), Lugard Road Capital GP, LLC ("Lugard GP"), Jonathan Green and Christian Leone (collectively, the "Reporting Persons").</w:t>
      </w:r>
    </w:p>
    <w:p>
      <w:pPr>
        <w:spacing w:after="0" w:line="35" w:lineRule="exact"/>
        <w:rPr>
          <w:rFonts w:ascii="Arial" w:cs="Arial" w:eastAsia="Arial" w:hAnsi="Arial"/>
          <w:sz w:val="15"/>
          <w:szCs w:val="15"/>
          <w:color w:val="008000"/>
        </w:rPr>
      </w:pPr>
    </w:p>
    <w:p>
      <w:pPr>
        <w:jc w:val="both"/>
        <w:ind w:right="120" w:firstLine="5"/>
        <w:spacing w:after="0" w:line="260"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of the Reporting Persons may be deemed to be a member of a Section 13(d) group that may be deemed to collectively beneficially own more than 10% of the Issuer's outstanding shares of Class A Common Stock. Each of the Reporting Persons disclaims beneficial ownership of the securities reported herein except to the extent of his or its pecuniary interest therein. The filing of this Form 3 shall not be deemed an admission that the Reporting Persons are, for purposes of Section 13(d) of the Securities Exchange Act of 1934, as amended, the beneficial owners of any securities of the Issuer he or it does not directly own.</w:t>
      </w:r>
    </w:p>
    <w:p>
      <w:pPr>
        <w:spacing w:after="0" w:line="22" w:lineRule="exact"/>
        <w:rPr>
          <w:rFonts w:ascii="Arial" w:cs="Arial" w:eastAsia="Arial" w:hAnsi="Arial"/>
          <w:sz w:val="14"/>
          <w:szCs w:val="14"/>
          <w:color w:val="008000"/>
        </w:rPr>
      </w:pPr>
    </w:p>
    <w:p>
      <w:pPr>
        <w:ind w:firstLine="5"/>
        <w:spacing w:after="0" w:line="267"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Securities owned directly by Onshore Fund. Each of LCG Holdings and Luxor Capital Group, as the general partner and investment manager, respectively, of Onshore Fund, may be deemed to beneficially own the securities owned directly by Onshore Fund. Luxor Management, as the general partner of Luxor Capital Group, and Christian Leone, as the managing member of each of LCG Holdings and Luxor Management, may be deemed to beneficially own the securities owned directly by Onshore Fund.</w:t>
      </w:r>
    </w:p>
    <w:p>
      <w:pPr>
        <w:spacing w:after="0" w:line="17" w:lineRule="exact"/>
        <w:rPr>
          <w:rFonts w:ascii="Arial" w:cs="Arial" w:eastAsia="Arial" w:hAnsi="Arial"/>
          <w:sz w:val="14"/>
          <w:szCs w:val="14"/>
          <w:color w:val="008000"/>
        </w:rPr>
      </w:pPr>
    </w:p>
    <w:p>
      <w:pPr>
        <w:ind w:right="40" w:firstLine="5"/>
        <w:spacing w:after="0" w:line="267"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Securities owned directly by Wavefront Fund. Each of LCG Holdings and Luxor Capital Group, as the general partner and investment manager, respectively, of Wavefront Fund, may be deemed to beneficially own the securities owned directly by Wavefront Fund. Luxor Management, as the general partner of Luxor Capital Group, and Christian Leone, as the managing member of each of LCG Holdings and Luxor Management, may be deemed to beneficially own the securities owned directly by Wavefront Fund.</w:t>
      </w:r>
    </w:p>
    <w:p>
      <w:pPr>
        <w:spacing w:after="0" w:line="17" w:lineRule="exact"/>
        <w:rPr>
          <w:rFonts w:ascii="Arial" w:cs="Arial" w:eastAsia="Arial" w:hAnsi="Arial"/>
          <w:sz w:val="14"/>
          <w:szCs w:val="14"/>
          <w:color w:val="008000"/>
        </w:rPr>
      </w:pPr>
    </w:p>
    <w:p>
      <w:pPr>
        <w:ind w:right="60" w:firstLine="5"/>
        <w:spacing w:after="0" w:line="236"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owned directly by Luxor Capital Partners Offshore Master Fund, LP ("Offshore Master Fund"). Offshore Feeder Fund, as the owner of a controlling interest in Offshore Master Fund, may be deemed to beneficially own the securities owned directly by Offshore Master Fund. Each of LCG Holdings and Luxor Capital Group, as the general partner and investment manager, respectively, of Offshore Master Fund, may be deemed to beneficially own the securities owned directly by Offshore Master Fund. Luxor Management, as the general partner of Luxor Capital Group, and Christian Leone, as the managing member of each of LCG Holdings and Luxor Management, may be deemed to beneficially own the securities owned directly by Offshore Master Fund.</w:t>
      </w:r>
    </w:p>
    <w:p>
      <w:pPr>
        <w:spacing w:after="0" w:line="37" w:lineRule="exact"/>
        <w:rPr>
          <w:rFonts w:ascii="Arial" w:cs="Arial" w:eastAsia="Arial" w:hAnsi="Arial"/>
          <w:sz w:val="15"/>
          <w:szCs w:val="15"/>
          <w:color w:val="008000"/>
        </w:rPr>
      </w:pPr>
    </w:p>
    <w:p>
      <w:pPr>
        <w:jc w:val="both"/>
        <w:ind w:right="40" w:firstLine="5"/>
        <w:spacing w:after="0" w:line="236"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owned directly by Lugard Road Capital Master Fund, LP ("Lugard Master Fund"). Each of Lugard GP and Luxor Capital Group, as the general partner and investment manager, respectively of Lugard Master Fund, may be deemed to beneficially own the securities owned directly by Lugard Master Fund. Luxor Management, as the general partner of Luxor Capital Group, and Christian Leone, as the managing member of Luxor Management, and as a managing member and controlling person of Lugard GP, may be deemed to beneficially own the securities owned directly by Lugard Master Fund. Jonathan Green as a managing member and controlling person of Lugard GP may be deemed to beneficially own the securities owned by Lugard Master Fund.</w:t>
      </w:r>
    </w:p>
    <w:p>
      <w:pPr>
        <w:sectPr>
          <w:pgSz w:w="11900" w:h="16838" w:orient="portrait"/>
          <w:cols w:equalWidth="0" w:num="1">
            <w:col w:w="10840"/>
          </w:cols>
          <w:pgMar w:left="520" w:top="140" w:right="539" w:bottom="0" w:gutter="0" w:footer="0" w:header="0"/>
        </w:sectPr>
      </w:pPr>
    </w:p>
    <w:p>
      <w:pPr>
        <w:spacing w:after="0" w:line="68"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709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9709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LP By: LCG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Holdings,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28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1728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29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629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LUXOR WAVEFRONT,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2745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2745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 By: LCG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93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493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539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553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777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123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91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709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709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0937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LTD. By: 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253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925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Group, LP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426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709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9709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GROUP, LP By: Luxor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633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234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855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12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991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LCG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0777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00" w:space="120"/>
            <w:col w:w="2120"/>
          </w:cols>
          <w:pgMar w:left="520" w:top="140" w:right="53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20"/>
          <w:szCs w:val="20"/>
          <w:color w:val="0000FF"/>
        </w:rPr>
        <w:t>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5255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LUGARD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9789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CAPITAL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4239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342390"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Arial" w:cs="Arial" w:eastAsia="Arial" w:hAnsi="Arial"/>
          <w:sz w:val="20"/>
          <w:szCs w:val="20"/>
          <w:color w:val="0000FF"/>
        </w:rPr>
        <w:t>Jonathan Green Name:</w:t>
      </w:r>
      <w:r>
        <w:rPr>
          <w:sz w:val="20"/>
          <w:szCs w:val="20"/>
          <w:color w:val="auto"/>
        </w:rPr>
        <w:tab/>
      </w: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Jonathan Green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LUXOR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42672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4267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110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181100"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Arial" w:cs="Arial" w:eastAsia="Arial" w:hAnsi="Arial"/>
          <w:sz w:val="20"/>
          <w:szCs w:val="20"/>
          <w:color w:val="0000FF"/>
        </w:rPr>
        <w:t>By: /s/ Norris Nissim</w:t>
      </w:r>
      <w:r>
        <w:rPr>
          <w:sz w:val="20"/>
          <w:szCs w:val="20"/>
          <w:color w:val="auto"/>
        </w:rPr>
        <w:tab/>
      </w: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5255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Arial" w:cs="Arial" w:eastAsia="Arial" w:hAnsi="Arial"/>
          <w:sz w:val="20"/>
          <w:szCs w:val="20"/>
          <w:color w:val="0000FF"/>
        </w:rPr>
        <w:t>Name: Norris Nissim, as</w:t>
      </w:r>
      <w:r>
        <w:rPr>
          <w:sz w:val="20"/>
          <w:szCs w:val="20"/>
          <w:color w:val="auto"/>
        </w:rPr>
        <w:tab/>
      </w: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Agent for Jonathan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333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Arial" w:cs="Arial" w:eastAsia="Arial" w:hAnsi="Arial"/>
          <w:sz w:val="20"/>
          <w:szCs w:val="20"/>
          <w:color w:val="0000FF"/>
        </w:rPr>
        <w:t>Name: Norris Nissim as</w:t>
      </w:r>
      <w:r>
        <w:rPr>
          <w:sz w:val="20"/>
          <w:szCs w:val="20"/>
          <w:color w:val="auto"/>
        </w:rPr>
        <w:tab/>
      </w:r>
      <w:r>
        <w:rPr>
          <w:rFonts w:ascii="Arial" w:cs="Arial" w:eastAsia="Arial" w:hAnsi="Arial"/>
          <w:sz w:val="17"/>
          <w:szCs w:val="17"/>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Agent for 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0365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6"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10" Type="http://schemas.openxmlformats.org/officeDocument/2006/relationships/hyperlink" Target="http://www.sec.gov/cgi-bin/browse-edgar?action=getcompany&amp;CIK=0001316580" TargetMode="External"/><Relationship Id="rId11" Type="http://schemas.openxmlformats.org/officeDocument/2006/relationships/hyperlink" Target="http://www.sec.gov/cgi-bin/browse-edgar?action=getcompany&amp;CIK=0001779474" TargetMode="External"/><Relationship Id="rId13" Type="http://schemas.openxmlformats.org/officeDocument/2006/relationships/hyperlink" Target="http://www.sec.gov/cgi-bin/browse-edgar?action=getcompany&amp;CIK=0001270742" TargetMode="External"/><Relationship Id="rId14" Type="http://schemas.openxmlformats.org/officeDocument/2006/relationships/hyperlink" Target="http://www.sec.gov/cgi-bin/browse-edgar?action=getcompany&amp;CIK=0001479129" TargetMode="External"/><Relationship Id="rId15" Type="http://schemas.openxmlformats.org/officeDocument/2006/relationships/hyperlink" Target="http://www.sec.gov/cgi-bin/browse-edgar?action=getcompany&amp;CIK=0001393021" TargetMode="External"/><Relationship Id="rId17" Type="http://schemas.openxmlformats.org/officeDocument/2006/relationships/hyperlink" Target="http://www.sec.gov/cgi-bin/browse-edgar?action=getcompany&amp;CIK=00013569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2021-07-20T20:45:09Z</dcterms:created>
  <dcterms:modified xsi:type="dcterms:W3CDTF">2021-07-20T20:45:09Z</dcterms:modified>
</cp:coreProperties>
</file>