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4"/>
          <w:szCs w:val="24"/>
          <w:color w:val="auto"/>
        </w:rPr>
      </w:pPr>
    </w:p>
    <w:p>
      <w:pPr>
        <w:spacing w:after="0" w:line="235"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4, 2024</w:t>
      </w:r>
    </w:p>
    <w:p>
      <w:pPr>
        <w:spacing w:after="0" w:line="3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333-261466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97155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6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47625</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2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POST-EFFECTIVE AMENDMENT NO. 6</w:t>
      </w:r>
    </w:p>
    <w:p>
      <w:pPr>
        <w:spacing w:after="0" w:line="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ON</w:t>
      </w:r>
    </w:p>
    <w:p>
      <w:pPr>
        <w:jc w:val="center"/>
        <w:ind w:right="40"/>
        <w:spacing w:after="0" w:line="236" w:lineRule="auto"/>
        <w:rPr>
          <w:sz w:val="20"/>
          <w:szCs w:val="20"/>
          <w:color w:val="auto"/>
        </w:rPr>
      </w:pPr>
      <w:r>
        <w:rPr>
          <w:rFonts w:ascii="Times New Roman" w:cs="Times New Roman" w:eastAsia="Times New Roman" w:hAnsi="Times New Roman"/>
          <w:sz w:val="20"/>
          <w:szCs w:val="20"/>
          <w:b w:val="1"/>
          <w:bCs w:val="1"/>
          <w:color w:val="auto"/>
        </w:rPr>
        <w:t>FORM S-1</w:t>
      </w:r>
    </w:p>
    <w:p>
      <w:pPr>
        <w:jc w:val="center"/>
        <w:ind w:right="40"/>
        <w:spacing w:after="0" w:line="231" w:lineRule="auto"/>
        <w:rPr>
          <w:sz w:val="20"/>
          <w:szCs w:val="20"/>
          <w:color w:val="auto"/>
        </w:rPr>
      </w:pPr>
      <w:r>
        <w:rPr>
          <w:rFonts w:ascii="Times New Roman" w:cs="Times New Roman" w:eastAsia="Times New Roman" w:hAnsi="Times New Roman"/>
          <w:sz w:val="22"/>
          <w:szCs w:val="22"/>
          <w:b w:val="1"/>
          <w:bCs w:val="1"/>
          <w:color w:val="auto"/>
        </w:rPr>
        <w:t>REGISTRATION STATEMENT</w:t>
      </w:r>
    </w:p>
    <w:p>
      <w:pPr>
        <w:jc w:val="center"/>
        <w:ind w:right="40"/>
        <w:spacing w:after="0" w:line="230" w:lineRule="auto"/>
        <w:rPr>
          <w:sz w:val="20"/>
          <w:szCs w:val="20"/>
          <w:color w:val="auto"/>
        </w:rPr>
      </w:pPr>
      <w:r>
        <w:rPr>
          <w:rFonts w:ascii="Times New Roman" w:cs="Times New Roman" w:eastAsia="Times New Roman" w:hAnsi="Times New Roman"/>
          <w:sz w:val="22"/>
          <w:szCs w:val="22"/>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29845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8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WM Technology,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47625</wp:posOffset>
            </wp:positionV>
            <wp:extent cx="1097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300" w:type="dxa"/>
            <w:vAlign w:val="bottom"/>
            <w:gridSpan w:val="2"/>
          </w:tcPr>
          <w:p>
            <w:pPr>
              <w:ind w:left="126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100" w:type="dxa"/>
            <w:vAlign w:val="bottom"/>
          </w:tcPr>
          <w:p>
            <w:pPr>
              <w:jc w:val="right"/>
              <w:ind w:right="1325"/>
              <w:spacing w:after="0"/>
              <w:rPr>
                <w:sz w:val="20"/>
                <w:szCs w:val="20"/>
                <w:color w:val="auto"/>
              </w:rPr>
            </w:pPr>
            <w:r>
              <w:rPr>
                <w:rFonts w:ascii="Times New Roman" w:cs="Times New Roman" w:eastAsia="Times New Roman" w:hAnsi="Times New Roman"/>
                <w:sz w:val="14"/>
                <w:szCs w:val="14"/>
                <w:b w:val="1"/>
                <w:bCs w:val="1"/>
                <w:color w:val="auto"/>
              </w:rPr>
              <w:t>7372</w:t>
            </w:r>
          </w:p>
        </w:tc>
        <w:tc>
          <w:tcPr>
            <w:tcW w:w="200" w:type="dxa"/>
            <w:vAlign w:val="bottom"/>
          </w:tcPr>
          <w:p>
            <w:pPr>
              <w:spacing w:after="0"/>
              <w:rPr>
                <w:sz w:val="16"/>
                <w:szCs w:val="16"/>
                <w:color w:val="auto"/>
              </w:rPr>
            </w:pPr>
          </w:p>
        </w:tc>
        <w:tc>
          <w:tcPr>
            <w:tcW w:w="3120" w:type="dxa"/>
            <w:vAlign w:val="bottom"/>
          </w:tcPr>
          <w:p>
            <w:pPr>
              <w:jc w:val="right"/>
              <w:ind w:right="1145"/>
              <w:spacing w:after="0"/>
              <w:rPr>
                <w:sz w:val="20"/>
                <w:szCs w:val="20"/>
                <w:color w:val="auto"/>
              </w:rPr>
            </w:pPr>
            <w:r>
              <w:rPr>
                <w:rFonts w:ascii="Times New Roman" w:cs="Times New Roman" w:eastAsia="Times New Roman" w:hAnsi="Times New Roman"/>
                <w:sz w:val="14"/>
                <w:szCs w:val="14"/>
                <w:b w:val="1"/>
                <w:bCs w:val="1"/>
                <w:color w:val="auto"/>
              </w:rPr>
              <w:t>98-1605615</w:t>
            </w:r>
          </w:p>
        </w:tc>
      </w:tr>
      <w:tr>
        <w:trPr>
          <w:trHeight w:val="37"/>
        </w:trPr>
        <w:tc>
          <w:tcPr>
            <w:tcW w:w="31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120" w:type="dxa"/>
            <w:vAlign w:val="bottom"/>
            <w:tcBorders>
              <w:bottom w:val="single" w:sz="8" w:color="auto"/>
            </w:tcBorders>
          </w:tcPr>
          <w:p>
            <w:pPr>
              <w:spacing w:after="0"/>
              <w:rPr>
                <w:sz w:val="3"/>
                <w:szCs w:val="3"/>
                <w:color w:val="auto"/>
              </w:rPr>
            </w:pPr>
          </w:p>
        </w:tc>
      </w:tr>
      <w:tr>
        <w:trPr>
          <w:trHeight w:val="192"/>
        </w:trPr>
        <w:tc>
          <w:tcPr>
            <w:tcW w:w="330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(State or Other Jurisdiction of</w:t>
            </w:r>
          </w:p>
        </w:tc>
        <w:tc>
          <w:tcPr>
            <w:tcW w:w="3300" w:type="dxa"/>
            <w:vAlign w:val="bottom"/>
            <w:gridSpan w:val="2"/>
          </w:tcPr>
          <w:p>
            <w:pPr>
              <w:ind w:left="660"/>
              <w:spacing w:after="0"/>
              <w:rPr>
                <w:sz w:val="20"/>
                <w:szCs w:val="20"/>
                <w:color w:val="auto"/>
              </w:rPr>
            </w:pPr>
            <w:r>
              <w:rPr>
                <w:rFonts w:ascii="Times New Roman" w:cs="Times New Roman" w:eastAsia="Times New Roman" w:hAnsi="Times New Roman"/>
                <w:sz w:val="15"/>
                <w:szCs w:val="15"/>
                <w:color w:val="auto"/>
              </w:rPr>
              <w:t>(Primary Standard Industrial</w:t>
            </w:r>
          </w:p>
        </w:tc>
        <w:tc>
          <w:tcPr>
            <w:tcW w:w="3120" w:type="dxa"/>
            <w:vAlign w:val="bottom"/>
          </w:tcPr>
          <w:p>
            <w:pPr>
              <w:ind w:left="1020"/>
              <w:spacing w:after="0"/>
              <w:rPr>
                <w:sz w:val="20"/>
                <w:szCs w:val="20"/>
                <w:color w:val="auto"/>
              </w:rPr>
            </w:pPr>
            <w:r>
              <w:rPr>
                <w:rFonts w:ascii="Times New Roman" w:cs="Times New Roman" w:eastAsia="Times New Roman" w:hAnsi="Times New Roman"/>
                <w:sz w:val="15"/>
                <w:szCs w:val="15"/>
                <w:color w:val="auto"/>
              </w:rPr>
              <w:t>(I.R.S. Employer</w:t>
            </w:r>
          </w:p>
        </w:tc>
      </w:tr>
      <w:tr>
        <w:trPr>
          <w:trHeight w:val="198"/>
        </w:trPr>
        <w:tc>
          <w:tcPr>
            <w:tcW w:w="330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Incorporation or Organization)</w:t>
            </w:r>
          </w:p>
        </w:tc>
        <w:tc>
          <w:tcPr>
            <w:tcW w:w="33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rPr>
              <w:t>Classification Code No.)</w:t>
            </w:r>
          </w:p>
        </w:tc>
        <w:tc>
          <w:tcPr>
            <w:tcW w:w="3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Identification No.)</w:t>
            </w:r>
          </w:p>
        </w:tc>
      </w:tr>
    </w:tbl>
    <w:p>
      <w:pPr>
        <w:spacing w:after="0" w:line="54" w:lineRule="exact"/>
        <w:rPr>
          <w:sz w:val="24"/>
          <w:szCs w:val="24"/>
          <w:color w:val="auto"/>
        </w:rPr>
      </w:pPr>
    </w:p>
    <w:p>
      <w:pPr>
        <w:ind w:left="4620" w:hanging="193"/>
        <w:spacing w:after="0"/>
        <w:tabs>
          <w:tab w:leader="none" w:pos="4620" w:val="left"/>
        </w:tabs>
        <w:numPr>
          <w:ilvl w:val="0"/>
          <w:numId w:val="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Discovery</w:t>
      </w:r>
    </w:p>
    <w:p>
      <w:pPr>
        <w:spacing w:after="0" w:line="9" w:lineRule="exact"/>
        <w:rPr>
          <w:rFonts w:ascii="Times New Roman" w:cs="Times New Roman" w:eastAsia="Times New Roman" w:hAnsi="Times New Roman"/>
          <w:sz w:val="15"/>
          <w:szCs w:val="15"/>
          <w:b w:val="1"/>
          <w:bCs w:val="1"/>
          <w:color w:val="auto"/>
        </w:rPr>
      </w:pPr>
    </w:p>
    <w:p>
      <w:pPr>
        <w:ind w:left="4060"/>
        <w:spacing w:after="0" w:line="225"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Irvine, California 92618</w:t>
      </w:r>
    </w:p>
    <w:p>
      <w:pPr>
        <w:ind w:left="4220"/>
        <w:spacing w:after="0" w:line="225"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Tel: (844) 933-3627</w:t>
      </w:r>
    </w:p>
    <w:p>
      <w:pPr>
        <w:jc w:val="center"/>
        <w:spacing w:after="0"/>
        <w:rPr>
          <w:sz w:val="20"/>
          <w:szCs w:val="20"/>
          <w:color w:val="auto"/>
        </w:rPr>
      </w:pPr>
      <w:r>
        <w:rPr>
          <w:rFonts w:ascii="Times New Roman" w:cs="Times New Roman" w:eastAsia="Times New Roman" w:hAnsi="Times New Roman"/>
          <w:sz w:val="15"/>
          <w:szCs w:val="15"/>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62865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Brian Camire</w:t>
      </w: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General Counsel</w:t>
      </w:r>
    </w:p>
    <w:p>
      <w:pPr>
        <w:jc w:val="center"/>
        <w:ind w:right="40"/>
        <w:spacing w:after="0" w:line="225" w:lineRule="auto"/>
        <w:rPr>
          <w:sz w:val="20"/>
          <w:szCs w:val="20"/>
          <w:color w:val="auto"/>
        </w:rPr>
      </w:pPr>
      <w:r>
        <w:rPr>
          <w:rFonts w:ascii="Times New Roman" w:cs="Times New Roman" w:eastAsia="Times New Roman" w:hAnsi="Times New Roman"/>
          <w:sz w:val="15"/>
          <w:szCs w:val="15"/>
          <w:b w:val="1"/>
          <w:bCs w:val="1"/>
          <w:color w:val="auto"/>
        </w:rPr>
        <w:t>WM Technology, Inc.</w:t>
      </w:r>
    </w:p>
    <w:p>
      <w:pPr>
        <w:ind w:left="4620" w:hanging="193"/>
        <w:spacing w:after="0" w:line="225" w:lineRule="auto"/>
        <w:tabs>
          <w:tab w:leader="none" w:pos="4620" w:val="left"/>
        </w:tabs>
        <w:numPr>
          <w:ilvl w:val="0"/>
          <w:numId w:val="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Discovery</w:t>
      </w:r>
    </w:p>
    <w:p>
      <w:pPr>
        <w:ind w:left="4060"/>
        <w:spacing w:after="0" w:line="225"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Irvine, California 92618</w:t>
      </w:r>
    </w:p>
    <w:p>
      <w:pPr>
        <w:ind w:left="4220"/>
        <w:spacing w:after="0" w:line="225"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Tel: (844) 933-3627</w:t>
      </w:r>
    </w:p>
    <w:p>
      <w:pPr>
        <w:jc w:val="center"/>
        <w:spacing w:after="0"/>
        <w:rPr>
          <w:sz w:val="20"/>
          <w:szCs w:val="20"/>
          <w:color w:val="auto"/>
        </w:rPr>
      </w:pPr>
      <w:r>
        <w:rPr>
          <w:rFonts w:ascii="Times New Roman" w:cs="Times New Roman" w:eastAsia="Times New Roman" w:hAnsi="Times New Roman"/>
          <w:sz w:val="15"/>
          <w:szCs w:val="15"/>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53975</wp:posOffset>
            </wp:positionV>
            <wp:extent cx="1097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Copies to:</w:t>
      </w: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Dave Peinsipp</w:t>
      </w:r>
    </w:p>
    <w:p>
      <w:pPr>
        <w:jc w:val="center"/>
        <w:ind w:right="20"/>
        <w:spacing w:after="0" w:line="225" w:lineRule="auto"/>
        <w:rPr>
          <w:sz w:val="20"/>
          <w:szCs w:val="20"/>
          <w:color w:val="auto"/>
        </w:rPr>
      </w:pPr>
      <w:r>
        <w:rPr>
          <w:rFonts w:ascii="Times New Roman" w:cs="Times New Roman" w:eastAsia="Times New Roman" w:hAnsi="Times New Roman"/>
          <w:sz w:val="15"/>
          <w:szCs w:val="15"/>
          <w:b w:val="1"/>
          <w:bCs w:val="1"/>
          <w:color w:val="auto"/>
        </w:rPr>
        <w:t>Kristin VanderPas</w:t>
      </w:r>
    </w:p>
    <w:p>
      <w:pPr>
        <w:jc w:val="center"/>
        <w:ind w:right="40"/>
        <w:spacing w:after="0" w:line="225" w:lineRule="auto"/>
        <w:rPr>
          <w:sz w:val="20"/>
          <w:szCs w:val="20"/>
          <w:color w:val="auto"/>
        </w:rPr>
      </w:pPr>
      <w:r>
        <w:rPr>
          <w:rFonts w:ascii="Times New Roman" w:cs="Times New Roman" w:eastAsia="Times New Roman" w:hAnsi="Times New Roman"/>
          <w:sz w:val="15"/>
          <w:szCs w:val="15"/>
          <w:b w:val="1"/>
          <w:bCs w:val="1"/>
          <w:color w:val="auto"/>
        </w:rPr>
        <w:t>Peter Byrne</w:t>
      </w:r>
    </w:p>
    <w:p>
      <w:pPr>
        <w:jc w:val="center"/>
        <w:ind w:right="20"/>
        <w:spacing w:after="0" w:line="220" w:lineRule="auto"/>
        <w:rPr>
          <w:sz w:val="20"/>
          <w:szCs w:val="20"/>
          <w:color w:val="auto"/>
        </w:rPr>
      </w:pPr>
      <w:r>
        <w:rPr>
          <w:rFonts w:ascii="Times New Roman" w:cs="Times New Roman" w:eastAsia="Times New Roman" w:hAnsi="Times New Roman"/>
          <w:sz w:val="15"/>
          <w:szCs w:val="15"/>
          <w:b w:val="1"/>
          <w:bCs w:val="1"/>
          <w:color w:val="auto"/>
        </w:rPr>
        <w:t>Cooley LLP</w:t>
      </w:r>
    </w:p>
    <w:p>
      <w:pPr>
        <w:jc w:val="center"/>
        <w:ind w:right="40"/>
        <w:spacing w:after="0" w:line="183" w:lineRule="auto"/>
        <w:rPr>
          <w:sz w:val="20"/>
          <w:szCs w:val="20"/>
          <w:color w:val="auto"/>
        </w:rPr>
      </w:pPr>
      <w:r>
        <w:rPr>
          <w:rFonts w:ascii="Times New Roman" w:cs="Times New Roman" w:eastAsia="Times New Roman" w:hAnsi="Times New Roman"/>
          <w:sz w:val="14"/>
          <w:szCs w:val="14"/>
          <w:b w:val="1"/>
          <w:bCs w:val="1"/>
          <w:color w:val="auto"/>
        </w:rPr>
        <w:t>3 Embarcadero Center, 20</w:t>
      </w:r>
      <w:r>
        <w:rPr>
          <w:rFonts w:ascii="Times New Roman" w:cs="Times New Roman" w:eastAsia="Times New Roman" w:hAnsi="Times New Roman"/>
          <w:sz w:val="22"/>
          <w:szCs w:val="22"/>
          <w:b w:val="1"/>
          <w:bCs w:val="1"/>
          <w:color w:val="auto"/>
          <w:vertAlign w:val="superscript"/>
        </w:rPr>
        <w:t>th</w:t>
      </w:r>
      <w:r>
        <w:rPr>
          <w:rFonts w:ascii="Times New Roman" w:cs="Times New Roman" w:eastAsia="Times New Roman" w:hAnsi="Times New Roman"/>
          <w:sz w:val="14"/>
          <w:szCs w:val="14"/>
          <w:b w:val="1"/>
          <w:bCs w:val="1"/>
          <w:color w:val="auto"/>
        </w:rPr>
        <w:t xml:space="preserve"> Floor</w:t>
      </w:r>
    </w:p>
    <w:p>
      <w:pPr>
        <w:jc w:val="center"/>
        <w:ind w:right="40"/>
        <w:spacing w:after="0" w:line="226" w:lineRule="auto"/>
        <w:rPr>
          <w:sz w:val="20"/>
          <w:szCs w:val="20"/>
          <w:color w:val="auto"/>
        </w:rPr>
      </w:pPr>
      <w:r>
        <w:rPr>
          <w:rFonts w:ascii="Times New Roman" w:cs="Times New Roman" w:eastAsia="Times New Roman" w:hAnsi="Times New Roman"/>
          <w:sz w:val="15"/>
          <w:szCs w:val="15"/>
          <w:b w:val="1"/>
          <w:bCs w:val="1"/>
          <w:color w:val="auto"/>
        </w:rPr>
        <w:t>San Francisco, California 94111</w:t>
      </w:r>
    </w:p>
    <w:p>
      <w:pPr>
        <w:jc w:val="center"/>
        <w:spacing w:after="0"/>
        <w:rPr>
          <w:sz w:val="20"/>
          <w:szCs w:val="20"/>
          <w:color w:val="auto"/>
        </w:rPr>
      </w:pPr>
      <w:r>
        <w:rPr>
          <w:rFonts w:ascii="Times New Roman" w:cs="Times New Roman" w:eastAsia="Times New Roman" w:hAnsi="Times New Roman"/>
          <w:sz w:val="15"/>
          <w:szCs w:val="15"/>
          <w:b w:val="1"/>
          <w:bCs w:val="1"/>
          <w:color w:val="auto"/>
        </w:rPr>
        <w:t>Tel: (415) 693-2000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53975</wp:posOffset>
            </wp:positionV>
            <wp:extent cx="1097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03" w:lineRule="exact"/>
        <w:rPr>
          <w:sz w:val="24"/>
          <w:szCs w:val="24"/>
          <w:color w:val="auto"/>
        </w:rPr>
      </w:pPr>
    </w:p>
    <w:p>
      <w:pPr>
        <w:jc w:val="both"/>
        <w:ind w:firstLine="360"/>
        <w:spacing w:after="0" w:line="291" w:lineRule="auto"/>
        <w:rPr>
          <w:sz w:val="20"/>
          <w:szCs w:val="20"/>
          <w:color w:val="auto"/>
        </w:rPr>
      </w:pPr>
      <w:r>
        <w:rPr>
          <w:rFonts w:ascii="Times New Roman" w:cs="Times New Roman" w:eastAsia="Times New Roman" w:hAnsi="Times New Roman"/>
          <w:sz w:val="16"/>
          <w:szCs w:val="16"/>
          <w:b w:val="1"/>
          <w:bCs w:val="1"/>
          <w:color w:val="auto"/>
        </w:rPr>
        <w:t>Approximate date of commencement of proposed sale to the public: From time to time after the effective date of this registration statement.</w:t>
      </w:r>
    </w:p>
    <w:p>
      <w:pPr>
        <w:spacing w:after="0" w:line="1" w:lineRule="exact"/>
        <w:rPr>
          <w:sz w:val="24"/>
          <w:szCs w:val="24"/>
          <w:color w:val="auto"/>
        </w:rPr>
      </w:pPr>
    </w:p>
    <w:p>
      <w:pPr>
        <w:jc w:val="both"/>
        <w:ind w:firstLine="360"/>
        <w:spacing w:after="0" w:line="220"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jc w:val="both"/>
        <w:ind w:firstLine="360"/>
        <w:spacing w:after="0" w:line="264" w:lineRule="auto"/>
        <w:rPr>
          <w:sz w:val="20"/>
          <w:szCs w:val="20"/>
          <w:color w:val="auto"/>
        </w:rPr>
      </w:pPr>
      <w:r>
        <w:rPr>
          <w:rFonts w:ascii="Times New Roman" w:cs="Times New Roman" w:eastAsia="Times New Roman" w:hAnsi="Times New Roman"/>
          <w:sz w:val="16"/>
          <w:szCs w:val="16"/>
          <w:color w:val="auto"/>
        </w:rPr>
        <w:t>If any of the securities being registered on this Form are to be offered on a delayed or continuous basis pursuant to Rule 415 under the Securities Act of 1933, other than securities offered only in connection with dividend or interest reinvestment plans, please check the following box.</w:t>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75" w:lineRule="exact"/>
        <w:rPr>
          <w:sz w:val="24"/>
          <w:szCs w:val="24"/>
          <w:color w:val="auto"/>
        </w:rPr>
      </w:pPr>
    </w:p>
    <w:p>
      <w:pPr>
        <w:jc w:val="both"/>
        <w:ind w:firstLine="3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 w:lineRule="exact"/>
        <w:rPr>
          <w:sz w:val="24"/>
          <w:szCs w:val="24"/>
          <w:color w:val="auto"/>
        </w:rPr>
      </w:pPr>
    </w:p>
    <w:p>
      <w:pPr>
        <w:jc w:val="both"/>
        <w:ind w:firstLine="3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jc w:val="both"/>
        <w:ind w:firstLine="36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8" w:lineRule="exact"/>
        <w:rPr>
          <w:sz w:val="24"/>
          <w:szCs w:val="24"/>
          <w:color w:val="auto"/>
        </w:rPr>
      </w:pPr>
    </w:p>
    <w:p>
      <w:pPr>
        <w:jc w:val="both"/>
        <w:ind w:firstLine="3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jc w:val="both"/>
        <w:ind w:firstLine="360"/>
        <w:spacing w:after="0" w:line="264"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under the Securities Exchange Act of 1934:</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980" w:type="dxa"/>
            <w:vAlign w:val="bottom"/>
          </w:tcPr>
          <w:p>
            <w:pPr>
              <w:ind w:left="1040"/>
              <w:spacing w:after="0" w:line="161" w:lineRule="exact"/>
              <w:rPr>
                <w:sz w:val="20"/>
                <w:szCs w:val="20"/>
                <w:color w:val="auto"/>
              </w:rPr>
            </w:pPr>
            <w:r>
              <w:rPr>
                <w:rFonts w:ascii="MS PGothic" w:cs="MS PGothic" w:eastAsia="MS PGothic" w:hAnsi="MS PGothic"/>
                <w:sz w:val="16"/>
                <w:szCs w:val="16"/>
                <w:color w:val="auto"/>
              </w:rPr>
              <w:t>☐</w:t>
            </w:r>
          </w:p>
        </w:tc>
        <w:tc>
          <w:tcPr>
            <w:tcW w:w="336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Accelerated filer</w:t>
            </w:r>
          </w:p>
        </w:tc>
        <w:tc>
          <w:tcPr>
            <w:tcW w:w="92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980" w:type="dxa"/>
            <w:vAlign w:val="bottom"/>
          </w:tcPr>
          <w:p>
            <w:pPr>
              <w:ind w:left="1040"/>
              <w:spacing w:after="0" w:line="161" w:lineRule="exact"/>
              <w:rPr>
                <w:sz w:val="20"/>
                <w:szCs w:val="20"/>
                <w:color w:val="auto"/>
              </w:rPr>
            </w:pPr>
            <w:r>
              <w:rPr>
                <w:rFonts w:ascii="MS PGothic" w:cs="MS PGothic" w:eastAsia="MS PGothic" w:hAnsi="MS PGothic"/>
                <w:sz w:val="16"/>
                <w:szCs w:val="16"/>
                <w:color w:val="auto"/>
              </w:rPr>
              <w:t>☐</w:t>
            </w:r>
          </w:p>
        </w:tc>
        <w:tc>
          <w:tcPr>
            <w:tcW w:w="336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2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5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336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Emerging growth company</w:t>
            </w:r>
          </w:p>
        </w:tc>
        <w:tc>
          <w:tcPr>
            <w:tcW w:w="92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1" w:lineRule="exact"/>
        <w:rPr>
          <w:sz w:val="24"/>
          <w:szCs w:val="24"/>
          <w:color w:val="auto"/>
        </w:rPr>
      </w:pPr>
    </w:p>
    <w:p>
      <w:pPr>
        <w:jc w:val="both"/>
        <w:ind w:firstLine="3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jc w:val="both"/>
        <w:ind w:firstLine="360"/>
        <w:spacing w:after="0" w:line="272" w:lineRule="auto"/>
        <w:rPr>
          <w:sz w:val="20"/>
          <w:szCs w:val="20"/>
          <w:color w:val="auto"/>
        </w:rPr>
      </w:pPr>
      <w:r>
        <w:rPr>
          <w:rFonts w:ascii="Times New Roman" w:cs="Times New Roman" w:eastAsia="Times New Roman" w:hAnsi="Times New Roman"/>
          <w:sz w:val="16"/>
          <w:szCs w:val="16"/>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323215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134620</wp:posOffset>
            </wp:positionV>
            <wp:extent cx="6172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194945</wp:posOffset>
            </wp:positionV>
            <wp:extent cx="617220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720"/>
          </w:cols>
          <w:pgMar w:left="1080" w:top="223" w:right="1099"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WM Technology, Inc., a Delaware corporation (the “Company”), filed a Registration Statement on Form S-1 on December 2, 2021, which was declared effective on December 10, 2021, as amended by (i) Post-Effective Amendment No. 1 to Form S-1, which was filed on March 7, 2022, as further amended by (ii) Post-Effective Amendment No. 2 to Form S-1, which was filed on March 11, 2022, and subsequently declared effective by the Securities and Exchange Commission (the “SEC”) on March 15, 2022 (as amended and supplemented, the “Form S-1 Registration Statement”). On October 5, 2022, the Company filed Post-Effective Amendment No. 3 to the Form S-1 Registration Statement on Form S-3 to convert the Form S-1 Registration Statement into a registration statement on Form S-3, which was subsequently declared effective by the SEC on October 19, 2022 (the “Form S-3 Registration Statement”).</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Post-Effective Amendment No. 4 to the Form S-3 Registration Statement on Form S-1 was filed by the Company on July 29, 2024 to convert the Form S-3 Registration Statement into a registration statement on Form S-1 (“Post-Effective Amendment No. 4”). Post-Effective Amendment No. 5 (“Post-Effective Amendment No. 5”) was filed by the Company on September 3, 2024 to include our unaudited condensed consolidated financial statements as of and for the three and six months ended June 30, 2024.</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This Post-Effective Amendment No. 6 (“Post-Effective Amendment No. 6”) is being filed to include our unaudited condensed consolidated financial statements as of and for the three and nine months ended September 30, 2024.</w:t>
      </w:r>
    </w:p>
    <w:p>
      <w:pPr>
        <w:spacing w:after="0" w:line="54"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information included in this filing amends the Form S-3 Registration Statement and the prospectus contained therein. No additional securities are being registered under this Post-Effective Amendment No. 6. All applicable registration fees were paid at the time of the original filing of the Form S-1 Registration Statement.</w:t>
      </w:r>
    </w:p>
    <w:p>
      <w:pPr>
        <w:spacing w:after="0" w:line="6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On May 24, 2024, the Company filed its Annual Report on Form 10-K for the fiscal year ended December 31, 2023, as amended on August 30, 2024 (the “Annual Report on Form 10-K”) and its Quarterly Report on Form 10-Q for the quarter ended March 31, 2024 (the “Q1 Quarterly Report on Form 10-Q”), on August 8, 2024, the Company filed its Quarterly Report on Form 10-Q for the quarter ended June 30, 2024 (the “Q2 Quarterly Report on Form 10-Q” and on November 12, 2024, the Company filed its Quarterly Report on Form 10-Q for the quarter ended September 30, 2024 (the “Q3 Quarterly Report on Form 10-Q’and together with the Q1 Quarterly Report and Q2 Quarterly Report on Form 10-Q, the “Quarterly Reports on Form 10-Q”). Interested parties should refer to such Annual Report on Form 10-K and the Quarterly Reports on Form 10-Q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116205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400" w:right="439"/>
        <w:spacing w:after="0" w:line="246" w:lineRule="auto"/>
        <w:rPr>
          <w:sz w:val="20"/>
          <w:szCs w:val="20"/>
          <w:color w:val="auto"/>
        </w:rPr>
      </w:pPr>
      <w:r>
        <w:rPr>
          <w:rFonts w:ascii="Arial" w:cs="Arial" w:eastAsia="Arial" w:hAnsi="Arial"/>
          <w:sz w:val="18"/>
          <w:szCs w:val="18"/>
          <w:b w:val="1"/>
          <w:bCs w:val="1"/>
          <w:color w:val="FC0014"/>
        </w:rPr>
        <w:t>The information in this preliminary prospectus is not complete and may be changed. Neither we nor the selling securityholders may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272" w:lineRule="exact"/>
        <w:rPr>
          <w:sz w:val="20"/>
          <w:szCs w:val="20"/>
          <w:color w:val="auto"/>
        </w:rPr>
      </w:pPr>
    </w:p>
    <w:p>
      <w:pPr>
        <w:ind w:left="400"/>
        <w:spacing w:after="0"/>
        <w:tabs>
          <w:tab w:leader="none" w:pos="3720" w:val="left"/>
        </w:tabs>
        <w:rPr>
          <w:sz w:val="20"/>
          <w:szCs w:val="20"/>
          <w:color w:val="auto"/>
        </w:rPr>
      </w:pPr>
      <w:r>
        <w:rPr>
          <w:rFonts w:ascii="Times New Roman" w:cs="Times New Roman" w:eastAsia="Times New Roman" w:hAnsi="Times New Roman"/>
          <w:sz w:val="18"/>
          <w:szCs w:val="18"/>
          <w:b w:val="1"/>
          <w:bCs w:val="1"/>
          <w:color w:val="FC0014"/>
        </w:rPr>
        <w:t>PRELIMINARY PROSPECTUS</w:t>
      </w:r>
      <w:r>
        <w:rPr>
          <w:sz w:val="20"/>
          <w:szCs w:val="20"/>
          <w:color w:val="auto"/>
        </w:rPr>
        <w:tab/>
      </w:r>
      <w:r>
        <w:rPr>
          <w:rFonts w:ascii="Times New Roman" w:cs="Times New Roman" w:eastAsia="Times New Roman" w:hAnsi="Times New Roman"/>
          <w:sz w:val="17"/>
          <w:szCs w:val="17"/>
          <w:b w:val="1"/>
          <w:bCs w:val="1"/>
          <w:color w:val="FC0014"/>
        </w:rPr>
        <w:t>SUBJECT TO COMPLETION—DATED DECEMBER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234315</wp:posOffset>
            </wp:positionV>
            <wp:extent cx="3429000" cy="10198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00" cy="101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Up to 1,938,798 Shares of Class A Common Stock</w:t>
      </w:r>
    </w:p>
    <w:p>
      <w:pPr>
        <w:spacing w:after="0" w:line="4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5"/>
          <w:szCs w:val="25"/>
          <w:b w:val="1"/>
          <w:bCs w:val="1"/>
          <w:color w:val="auto"/>
        </w:rPr>
        <w:t> </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Offered by the Selling Securityholders</w:t>
      </w:r>
    </w:p>
    <w:p>
      <w:pPr>
        <w:spacing w:after="0" w:line="310" w:lineRule="exact"/>
        <w:rPr>
          <w:sz w:val="20"/>
          <w:szCs w:val="20"/>
          <w:color w:val="auto"/>
        </w:rPr>
      </w:pPr>
    </w:p>
    <w:p>
      <w:pPr>
        <w:jc w:val="both"/>
        <w:ind w:left="400" w:right="419"/>
        <w:spacing w:after="0" w:line="252" w:lineRule="auto"/>
        <w:rPr>
          <w:sz w:val="20"/>
          <w:szCs w:val="20"/>
          <w:color w:val="auto"/>
        </w:rPr>
      </w:pPr>
      <w:r>
        <w:rPr>
          <w:rFonts w:ascii="Times New Roman" w:cs="Times New Roman" w:eastAsia="Times New Roman" w:hAnsi="Times New Roman"/>
          <w:sz w:val="18"/>
          <w:szCs w:val="18"/>
          <w:color w:val="auto"/>
        </w:rPr>
        <w:t>This prospectus relates to the offer and sale from time to time by the selling securityholders named in this prospectus (the “Selling Securityholders”) of up to 1,938,798 shares of our Class A Common Stock, par value $0.0001 per share (“Class A Common Stock”), consisting of (i) 1,244,258 shares of Class A Common Stock issued pursuant to that certain Asset Purchase Agreement, dated September 3, 2021 (the “Asset Purchase Agreement”), by and among MembersRSVP, LLC d/b/a Sprout (“Sprout”), Text Ripple, Inc. (“Text Ripple”), the Company, WM Loyalty, LLC, certain equityholders of Sprout and Text Ripple and Jaret Christopher, as sellers’ representative and (ii) 694,540 shares of Class A Common Stock issued pursuant to that certain Equity Interest Purchase Agreement, dated September 28, 2021 (the “Equity Interest Purchase Agreement” and together with the Asset Purchase Agreement, the “Purchase Agreements”), by and among Ghost Management Group, LLC, Transport Logistics Holding Company, LLC d/b/a Merry Go Jane (“TLHC”), certain securityholders of TLHC and Justin Morris, as sellers’ representative. We will not receive any proceeds from the sale of the shares of Class A Common Stock by the Selling Securityholders pursuant to this prospectus. However, we will pay the expenses, other than underwriting discounts and commissions and expenses incurred by the Selling Securityholders for brokerage, accounting, tax or legal services or any other expenses incurred by the Selling Securityholders in disposing of the securities, associated with the sale of securities pursuant to this prospectus.</w:t>
      </w:r>
    </w:p>
    <w:p>
      <w:pPr>
        <w:spacing w:after="0" w:line="196" w:lineRule="exact"/>
        <w:rPr>
          <w:sz w:val="20"/>
          <w:szCs w:val="20"/>
          <w:color w:val="auto"/>
        </w:rPr>
      </w:pPr>
    </w:p>
    <w:p>
      <w:pPr>
        <w:jc w:val="both"/>
        <w:ind w:left="400" w:right="419"/>
        <w:spacing w:after="0" w:line="255" w:lineRule="auto"/>
        <w:rPr>
          <w:sz w:val="20"/>
          <w:szCs w:val="20"/>
          <w:color w:val="auto"/>
        </w:rPr>
      </w:pPr>
      <w:r>
        <w:rPr>
          <w:rFonts w:ascii="Times New Roman" w:cs="Times New Roman" w:eastAsia="Times New Roman" w:hAnsi="Times New Roman"/>
          <w:sz w:val="18"/>
          <w:szCs w:val="18"/>
          <w:color w:val="auto"/>
        </w:rPr>
        <w:t>Our registration of the shares of Class A Common Stock covered by this prospectus does not mean that the Selling Securityholders will offer or sell any of the shares of Class A Common Stock. The Selling Securityholders may offer, sell or distribute all or a portion of their shares of Class A Common Stock publicly or through private transactions at prevailing market prices or at negotiated prices. We will not receive any proceeds from the sale of shares of Class A Common Stock by the Selling Securityholders pursuant to this prospectus. We provide more information about how the Selling Securityholders may sell the shares of Class A Common Stock in the section entitled “Plan of Distribution.”</w:t>
      </w:r>
    </w:p>
    <w:p>
      <w:pPr>
        <w:spacing w:after="0" w:line="189" w:lineRule="exact"/>
        <w:rPr>
          <w:sz w:val="20"/>
          <w:szCs w:val="20"/>
          <w:color w:val="auto"/>
        </w:rPr>
      </w:pPr>
    </w:p>
    <w:p>
      <w:pPr>
        <w:jc w:val="both"/>
        <w:ind w:left="400" w:right="419"/>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The Nasdaq Global Select Market (“Nasdaq”) under the symbol “MAPS.” On November 29, 2024, the closing price of our Class A Common Stock was $1.19.</w:t>
      </w:r>
    </w:p>
    <w:p>
      <w:pPr>
        <w:spacing w:after="0" w:line="162" w:lineRule="exact"/>
        <w:rPr>
          <w:sz w:val="20"/>
          <w:szCs w:val="20"/>
          <w:color w:val="auto"/>
        </w:rPr>
      </w:pPr>
    </w:p>
    <w:p>
      <w:pPr>
        <w:jc w:val="both"/>
        <w:ind w:left="400" w:right="419"/>
        <w:spacing w:after="0" w:line="282" w:lineRule="auto"/>
        <w:rPr>
          <w:sz w:val="20"/>
          <w:szCs w:val="20"/>
          <w:color w:val="auto"/>
        </w:rPr>
      </w:pPr>
      <w:r>
        <w:rPr>
          <w:rFonts w:ascii="Times New Roman" w:cs="Times New Roman" w:eastAsia="Times New Roman" w:hAnsi="Times New Roman"/>
          <w:sz w:val="18"/>
          <w:szCs w:val="18"/>
          <w:color w:val="auto"/>
        </w:rPr>
        <w:t xml:space="preserve">See the section entitled “Risk Factors” beginning on page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 xml:space="preserve"> of this prospectus to read about certain risks and uncertainties you should consider before investing in our securities.</w:t>
      </w:r>
    </w:p>
    <w:p>
      <w:pPr>
        <w:spacing w:after="0" w:line="162" w:lineRule="exact"/>
        <w:rPr>
          <w:sz w:val="20"/>
          <w:szCs w:val="20"/>
          <w:color w:val="auto"/>
        </w:rPr>
      </w:pPr>
    </w:p>
    <w:p>
      <w:pPr>
        <w:jc w:val="both"/>
        <w:ind w:left="400" w:right="419"/>
        <w:spacing w:after="0" w:line="266"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9019"/>
          </w:cols>
          <w:pgMar w:left="1440" w:top="263" w:right="1440" w:bottom="9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is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139700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910" w:gutter="0" w:footer="0" w:header="0"/>
          <w:type w:val="continuous"/>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50"/>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84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37"/>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ii</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EE"/>
                <w:w w:val="92"/>
              </w:rPr>
              <w:t>iii</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2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THE OFFERING</w:t>
            </w:r>
          </w:p>
        </w:tc>
        <w:tc>
          <w:tcPr>
            <w:tcW w:w="2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2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5</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2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EE"/>
              </w:rPr>
              <w:t>45</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MARKET INFORMATION FOR COMMON STOCK AND DIVIDEND POLICY</w:t>
            </w:r>
          </w:p>
        </w:tc>
        <w:tc>
          <w:tcPr>
            <w:tcW w:w="2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46</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8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668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w:t>
            </w:r>
          </w:p>
        </w:tc>
        <w:tc>
          <w:tcPr>
            <w:tcW w:w="14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180" w:type="dxa"/>
            <w:vAlign w:val="bottom"/>
          </w:tcPr>
          <w:p>
            <w:pPr>
              <w:spacing w:after="0"/>
              <w:rPr>
                <w:sz w:val="17"/>
                <w:szCs w:val="17"/>
                <w:color w:val="auto"/>
              </w:rPr>
            </w:pPr>
          </w:p>
        </w:tc>
        <w:tc>
          <w:tcPr>
            <w:tcW w:w="79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RESULTS OF OPERATIONS</w:t>
            </w:r>
          </w:p>
        </w:tc>
        <w:tc>
          <w:tcPr>
            <w:tcW w:w="280" w:type="dxa"/>
            <w:vAlign w:val="bottom"/>
            <w:gridSpan w:val="6"/>
          </w:tcPr>
          <w:p>
            <w:pPr>
              <w:jc w:val="right"/>
              <w:spacing w:after="0" w:line="196" w:lineRule="exact"/>
              <w:rPr>
                <w:sz w:val="20"/>
                <w:szCs w:val="20"/>
                <w:color w:val="auto"/>
              </w:rPr>
            </w:pPr>
            <w:r>
              <w:rPr>
                <w:rFonts w:ascii="Times New Roman" w:cs="Times New Roman" w:eastAsia="Times New Roman" w:hAnsi="Times New Roman"/>
                <w:sz w:val="18"/>
                <w:szCs w:val="18"/>
                <w:color w:val="0000EE"/>
              </w:rPr>
              <w:t>47</w:t>
            </w:r>
          </w:p>
        </w:tc>
        <w:tc>
          <w:tcPr>
            <w:tcW w:w="20" w:type="dxa"/>
            <w:vAlign w:val="bottom"/>
          </w:tcPr>
          <w:p>
            <w:pPr>
              <w:spacing w:after="0"/>
              <w:rPr>
                <w:sz w:val="17"/>
                <w:szCs w:val="17"/>
                <w:color w:val="auto"/>
              </w:rPr>
            </w:pPr>
          </w:p>
        </w:tc>
      </w:tr>
      <w:tr>
        <w:trPr>
          <w:trHeight w:val="75"/>
        </w:trPr>
        <w:tc>
          <w:tcPr>
            <w:tcW w:w="18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BUSINESS</w:t>
            </w:r>
          </w:p>
        </w:tc>
        <w:tc>
          <w:tcPr>
            <w:tcW w:w="2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72</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MANAGEMENT</w:t>
            </w:r>
          </w:p>
        </w:tc>
        <w:tc>
          <w:tcPr>
            <w:tcW w:w="2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EE"/>
              </w:rPr>
              <w:t>85</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EXECUTIVE COMPENSATION</w:t>
            </w:r>
          </w:p>
        </w:tc>
        <w:tc>
          <w:tcPr>
            <w:tcW w:w="2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94</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3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0000EE"/>
                <w:w w:val="96"/>
              </w:rPr>
              <w:t>109</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2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6"/>
              </w:rPr>
              <w:t>114</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8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SELLING SECURITYHOLDERS</w:t>
            </w:r>
          </w:p>
        </w:tc>
        <w:tc>
          <w:tcPr>
            <w:tcW w:w="2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EE"/>
                <w:w w:val="96"/>
              </w:rPr>
              <w:t>116</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SECURITIES</w:t>
            </w:r>
          </w:p>
        </w:tc>
        <w:tc>
          <w:tcPr>
            <w:tcW w:w="2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6"/>
              </w:rPr>
              <w:t>118</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MATERIAL UNITED STATES FEDERAL INCOME TAX CONSEQUENCES</w:t>
            </w:r>
          </w:p>
        </w:tc>
        <w:tc>
          <w:tcPr>
            <w:tcW w:w="3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0000EE"/>
                <w:w w:val="96"/>
              </w:rPr>
              <w:t>126</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300" w:type="dxa"/>
            <w:vAlign w:val="bottom"/>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96"/>
              </w:rPr>
              <w:t>130</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3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0000EE"/>
                <w:w w:val="96"/>
              </w:rPr>
              <w:t>132</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EXPERTS</w:t>
            </w:r>
          </w:p>
        </w:tc>
        <w:tc>
          <w:tcPr>
            <w:tcW w:w="300" w:type="dxa"/>
            <w:vAlign w:val="bottom"/>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96"/>
              </w:rPr>
              <w:t>132</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3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0000EE"/>
                <w:w w:val="96"/>
              </w:rPr>
              <w:t>132</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INDEX TO FINANCIAL STATEMENTS</w:t>
            </w:r>
          </w:p>
        </w:tc>
        <w:tc>
          <w:tcPr>
            <w:tcW w:w="20" w:type="dxa"/>
            <w:vAlign w:val="bottom"/>
            <w:shd w:val="clear" w:color="auto" w:fill="CCEEFF"/>
          </w:tcPr>
          <w:p>
            <w:pPr>
              <w:spacing w:after="0"/>
              <w:rPr>
                <w:sz w:val="19"/>
                <w:szCs w:val="19"/>
                <w:color w:val="auto"/>
              </w:rPr>
            </w:pPr>
          </w:p>
        </w:tc>
        <w:tc>
          <w:tcPr>
            <w:tcW w:w="28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95"/>
              </w:rPr>
              <w:t>F-1</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PART II INFORMATION NOT REQUIRED IN PROSPECTUS</w:t>
            </w:r>
          </w:p>
        </w:tc>
        <w:tc>
          <w:tcPr>
            <w:tcW w:w="3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0000EE"/>
                <w:w w:val="96"/>
              </w:rPr>
              <w:t>II-1</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300" w:type="dxa"/>
            <w:vAlign w:val="bottom"/>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96"/>
              </w:rPr>
              <w:t>II-7</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-4885690</wp:posOffset>
            </wp:positionV>
            <wp:extent cx="1111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provided in this prospectus and any applicable prospectus supplement. Neither we nor the Selling Securityholders have authorized anyone to provide you with different information. Neither we nor the Selling Securityholders are making an offer of these securities in any jurisdiction where the offer is not permitted. You should not assume that the information in this prospectus or any applicable prospectus supplement is accurate as of any date other than the date of the applicable document. Since the date of this prospectus, our business, financial condition, results of operations and prospects may have changed.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or provide any assurance as to the reliability of, any other information that others may give you. Neither we nor the Selling Securityholders will make an offer to sell these securities in any jurisdiction where the offer or sale is not permitted.</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entitled “Where You Can Find More Information.”</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On June 16, 2021 (the “Closing Date”), Silver Spike Acquisition Corp., our predecessor company, consummated the Business Combination (as defined below), which was previously announced, pursuant to that certain Agreement and Plan of Merger, dated December 10, 2020 (the “Merger Agreement”), by and among Silver Spike, Silver Spike Merger Sub LLC, a Delaware limited liability company and a wholly owned direct subsidiary of Silver Spike (“Merger Sub”), WM Holding Company, LLC, a Delaware limited liability company (when referred to for pre-Business Combination periods, “Legacy WMH” and when referred to for post-Business Combination periods, “WMH LLC”), and Ghost Media Group, LLC, a Nevada limited liability company, solely in its capacity as the initial holder representative (the “Holder Representative”). Pursuant to the Merger Agreement, Merger Sub merged with and into Legacy WMH, whereupon the separate limited liability company existence of Merger Sub ceased and WMH LLC became the surviving company and continued in existence as a subsidiary of Silver Spike (the transactions contemplated by the Merger Agreement, the “Business Combination”). On the Closing Date, and in connection with the closing of the Business Combination (the “Closing”), Silver Spike changed its name to WM Technology, Inc.</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Unless the context indicates otherwise, references in this prospectus to the “Company,” “WMH,” “we,” “us,” “our” and similar terms refer to WM Technology, Inc. (f/k/a Silver Spike Acquisition Corp.) and its consolidated subsidiaries (including Legacy WMH). References to “Silver Spike” refer to our predecessor company prior to the consummation of the Business Combination.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This prospectus contains forward-looking statements within the meaning of Section 27A of the Securities Act, and Section 21E of the Securities Exchange Act of 1934, as amended (the “Exchange Act.”). We have based these forward-looking statements on our current expectations and projections about future events. All statements, other than statements of present or historical fact included in this prospectus, our future financial performance, strategy, expansion plans, future operations, future operating results, estimated revenues, losses, projected costs, prospects, plans and objectives of management are forward-looking statements. Any statements that refer to projections, forecasts or other characterizations of future events or circumstances, including any underlying assumptions, are forward-looking statements. In some cases, you can identify forward-looking statements by terminology such as “anticipate,” “believe,” “continue,” “could,” “estimate,” “expect,” “intends,” “may,” “might,” “plan,” “possible,” “potential,” “predict,” “project,” “should,” “will,” “would” or the negative of such terms or other similar expressions.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forward-looking statements, all of which are expressly qualified by the statements in this section, to reflect events or circumstances after the date of this prospectus. We caution you that these forward-looking statements are subject to numerous risks and uncertainties, most of which are difficult to predict and many of which are beyond our control.</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Forward-looking statements in this prospectus may include, for example, statements about:</w:t>
      </w:r>
    </w:p>
    <w:p>
      <w:pPr>
        <w:spacing w:after="0" w:line="117" w:lineRule="exact"/>
        <w:rPr>
          <w:sz w:val="20"/>
          <w:szCs w:val="20"/>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and business performance, including key business metrics and any underlying assumptions thereunder;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 and our ability to acquire new clients and retain existing clients;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timing related to commercial product launches;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go-to-market strategy;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our business and expand our offerings;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advantages and growth strategies;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future operations;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material weaknesses in our internal controls and our ability to remediate any such material weakness on the timing we anticipate, or at all;</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listing on the Nasdaq Stock Exchange;</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restatement on our reputation and investor confidence in us and the increased possibility of legal proceedings and regulatory inquiries;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business, market, financial, political and legal conditions;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macroeconomic conditions, including but not limited to inflation, uncertain credit and global financial markets, recent and potential future disruptions in access to bank deposits or lending commitments due to bank failures; recent and potential future geopolitical events, including the military conflicts between Russia and Ukraine and Israel and Hamas and the related risk of a larger regional conflict; and the occurrence of a catastrophic event, including but not limited to severe weather, war, or terrorist attack;</w:t>
      </w:r>
    </w:p>
    <w:p>
      <w:pPr>
        <w:spacing w:after="0" w:line="7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global, regional or local economic and market conditions affecting the cannabis industry;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effects and enforcement of and changes to laws and regulations, including with respect to the cannabis industry;</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capitalize on new and existing cannabis markets, including our ability to successfully monetize our solutions in those markets;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future growth;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anticipate and address changes in the end-user market in the cannabis industry;</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solutions, bring them to market in a timely manner and make enhancements to our platform and our ability to maintain and grow our two-sided marketplace, including our ability to acquire and retain paying clients;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on our future business;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officers, key employees or directors;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and security vulnerabilities;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or competitive factors.</w:t>
      </w:r>
    </w:p>
    <w:p>
      <w:pPr>
        <w:spacing w:after="0" w:line="11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Given these risks and uncertainties, you should not place undue reliance on these forward-looking statements. Additional cautionary statements or discussions of risks and uncertainties that could affect our results or the achievement of the expectations described in forward-looking statements may also be contained in any accompanying prospectus supplement.</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Should one or more of the risks or uncertainties described in this prospectus actually occur, or should underlying assumptions prove incorrect, actual results and plans could differ materially from those expressed in any forward-looking statements. Additional information concerning these and other factors that may impact the operations and projections discussed herein can be found in the section entitled “Risk Factors” and in our periodic filings with the SEC. Our SEC filings are available publicly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You should read this prospectus and any accompanying prospectus supplement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051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3405" cy="810514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21" w:lineRule="exact"/>
        <w:rPr>
          <w:sz w:val="20"/>
          <w:szCs w:val="20"/>
          <w:color w:val="auto"/>
        </w:rPr>
      </w:pPr>
    </w:p>
    <w:p>
      <w:pPr>
        <w:jc w:val="both"/>
        <w:ind w:left="320" w:right="279"/>
        <w:spacing w:after="0" w:line="256" w:lineRule="auto"/>
        <w:rPr>
          <w:sz w:val="20"/>
          <w:szCs w:val="20"/>
          <w:color w:val="auto"/>
        </w:rPr>
      </w:pPr>
      <w:r>
        <w:rPr>
          <w:rFonts w:ascii="Times New Roman" w:cs="Times New Roman" w:eastAsia="Times New Roman" w:hAnsi="Times New Roman"/>
          <w:sz w:val="18"/>
          <w:szCs w:val="18"/>
          <w:color w:val="auto"/>
        </w:rPr>
        <w:t>This summary highlights selected information appearing in this prospectus. Because it is a summary, it may not contain all of the information that may be important to you. To understand this offering fully, you should read this entire prospectus carefully, including the information set forth in the sections entitled “Risk Factors,” “Management’s Discussion and Analysis of Financial Condition and Results of Operations,” “Business” and the consolidated financial statements and related notes included elsewhere in this prospectus before making an investment decision.</w:t>
      </w:r>
    </w:p>
    <w:p>
      <w:pPr>
        <w:spacing w:after="0" w:line="3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21" w:lineRule="exact"/>
        <w:rPr>
          <w:sz w:val="20"/>
          <w:szCs w:val="20"/>
          <w:color w:val="auto"/>
        </w:rPr>
      </w:pPr>
    </w:p>
    <w:p>
      <w:pPr>
        <w:jc w:val="both"/>
        <w:ind w:left="320" w:right="279"/>
        <w:spacing w:after="0" w:line="256"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legalized cannabis markets in states and territories of the United States. Our comprehensive business-to-consumer and business-to-business suite of products afford cannabis retailers and brands of all sizes integrated tools to compliantly run their businesses and to reach, convert, and retain consumers.</w:t>
      </w:r>
    </w:p>
    <w:p>
      <w:pPr>
        <w:spacing w:after="0" w:line="79"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by and among Silver Spike, Silver Spike Merger Sub LLC, a Delaware limited liability company and a wholly owned direct subsidiary of Silver Spike Acquisition Corp., WM Holding Company, LLC, a Delaware limited liability company (when referred to in its pre-Business Combination capacity, “Legacy WMH” and following the Business Combination, “WMH LLC”), and Ghost Media Group, LLC, a Nevada limited liability company. On the Closing Date, and in connection with the closing of the Business Combination, Silver Spike was domesticated and continues as a Delaware corporation, and changed its name to WM Technology, Inc.</w:t>
      </w:r>
    </w:p>
    <w:p>
      <w:pPr>
        <w:spacing w:after="0" w:line="84"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Our business primarily consists of our commerce-driven marketplace (“Weedmaps”), and our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(“POS”) solutions, to provide consumers with the ability to browse by strain, price, cannabinoids and other information regarding locally available cannabis products, through our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 We believe the size, loyalty and engagement of our user base and the frequency of consumption of cannabis by our user base makes the Weedmaps marketplace highly valuable to our clients.</w:t>
      </w:r>
    </w:p>
    <w:p>
      <w:pPr>
        <w:spacing w:after="0" w:line="3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121" w:lineRule="exact"/>
        <w:rPr>
          <w:sz w:val="20"/>
          <w:szCs w:val="20"/>
          <w:color w:val="auto"/>
        </w:rPr>
      </w:pPr>
    </w:p>
    <w:p>
      <w:pPr>
        <w:jc w:val="both"/>
        <w:ind w:left="320" w:right="279"/>
        <w:spacing w:after="0" w:line="266" w:lineRule="auto"/>
        <w:rPr>
          <w:sz w:val="20"/>
          <w:szCs w:val="20"/>
          <w:color w:val="auto"/>
        </w:rPr>
      </w:pPr>
      <w:r>
        <w:rPr>
          <w:rFonts w:ascii="Times New Roman" w:cs="Times New Roman" w:eastAsia="Times New Roman" w:hAnsi="Times New Roman"/>
          <w:sz w:val="18"/>
          <w:szCs w:val="18"/>
          <w:color w:val="auto"/>
        </w:rPr>
        <w:t>Our ability to implement our business strategy is subject to numerous risks that you should be aware of before making an investment decision. These risks are described more fully in the section entitled “Risk Factors,” immediately following this prospectus summary. These risks include the following, among others:</w:t>
      </w:r>
    </w:p>
    <w:p>
      <w:pPr>
        <w:spacing w:after="0" w:line="68" w:lineRule="exact"/>
        <w:rPr>
          <w:sz w:val="20"/>
          <w:szCs w:val="20"/>
          <w:color w:val="auto"/>
        </w:rPr>
      </w:pPr>
    </w:p>
    <w:p>
      <w:pPr>
        <w:ind w:left="1020" w:right="299" w:hanging="350"/>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our costs increase, we may not be able to generate sufficient revenue to achieve profitability in the future.</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retain our existing clients and consumers or to acquire new clients and consumers in a cost-effective manner, our revenue may decrease and our business may be harmed.</w:t>
      </w:r>
    </w:p>
    <w:p>
      <w:pPr>
        <w:spacing w:after="0" w:line="53"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offer the optimal pricing of our products and solutions.</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expand effectively into new markets, our revenue and business will be adversely affected.</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the illicit cannabis market could impact our ability to succeed.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8562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3405" cy="785622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1020" w:right="299" w:hanging="350"/>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concentrated in California, and, as a result, our performance may be affected by factors unique to the California market.</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law enforcement may deem our clients to be in violation of U.S. federal law, and, in particular the Controlled Substances Act (“CSA”). A change in U.S. federal policy on cannabis enforcement and strict enforcement of federal cannabis laws against our clients would undermine our business model and materially affect our business and operations.</w:t>
      </w:r>
    </w:p>
    <w:p>
      <w:pPr>
        <w:spacing w:after="0" w:line="71" w:lineRule="exact"/>
        <w:rPr>
          <w:rFonts w:ascii="Times New Roman" w:cs="Times New Roman" w:eastAsia="Times New Roman" w:hAnsi="Times New Roman"/>
          <w:sz w:val="18"/>
          <w:szCs w:val="18"/>
          <w:color w:val="auto"/>
        </w:rPr>
      </w:pPr>
    </w:p>
    <w:p>
      <w:pPr>
        <w:jc w:val="both"/>
        <w:ind w:left="1020" w:right="299" w:hanging="350"/>
        <w:spacing w:after="0" w:line="255"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80" w:lineRule="exact"/>
        <w:rPr>
          <w:rFonts w:ascii="Times New Roman" w:cs="Times New Roman" w:eastAsia="Times New Roman" w:hAnsi="Times New Roman"/>
          <w:sz w:val="18"/>
          <w:szCs w:val="18"/>
          <w:color w:val="auto"/>
        </w:rPr>
      </w:pPr>
    </w:p>
    <w:p>
      <w:pPr>
        <w:jc w:val="both"/>
        <w:ind w:left="1020" w:right="299" w:hanging="350"/>
        <w:spacing w:after="0" w:line="255"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generally do not, and cannot, ensure that our clients will conduct their business activities in a manner compliant with such regulations and requirements, despite providing features to help support our clients’ compliance with the complex, disparate and constantly evolving regulations and other legal requirements applicable to the cannabis industry.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80"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U.S. state laws and regulations.</w:t>
      </w:r>
    </w:p>
    <w:p>
      <w:pPr>
        <w:spacing w:after="0" w:line="11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rapid changes in the cannabis industry and applicable laws and regulations make predicting and evaluating our future prospects difficult, and may increase the risk that we will not be successful.</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business is dependent, in part, upon continued market acceptance of cannabis by consumers, any negative trends could adversely affect our business operations.</w:t>
      </w:r>
    </w:p>
    <w:p>
      <w:pPr>
        <w:spacing w:after="0" w:line="53"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business is dependent on the continued legalization of cannabis.</w:t>
      </w:r>
    </w:p>
    <w:p>
      <w:pPr>
        <w:spacing w:after="0" w:line="117"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clients face challenges unique to the cannabis industry that can impact their financial health and long-term viability. If our clients struggle financially or do not remain viable, it can negatively impact our ability to generate new revenue, maintain existing revenue or collect on outstanding receivables.</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clients and consumers using our platform fail to provide high-quality content that attracts consumers, we may not be able to generate sufficient consumer traffic to remain competitive.</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highly dependent upon our brand recognition and reputation, and the erosion or degradation of our brand recognition or reputation would likely adversely affect our business and operating results.</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face intense competition in the cannabis information market, and we expect competition to further intensify as the cannabis industry continues to evolve.</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employee operations and organization effectively, our brand, business and operating results could be harmed.</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recruit, train, retain and motivate key personnel, we may not achieve our business objectives.</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71"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current marketing model is not effective in attracting new clients, we may need to employ higher-cost sales and marketing methods to attract and retain clients, which could adversely affect our profitability.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3336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3405" cy="733361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1020" w:right="299" w:hanging="350"/>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67"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payment system and the payment systems of our clients depend on third-party providers and are subject to evolving laws and regulations.</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banking relations, and we may have difficulty accessing or consistently maintaining banking or other financial services due to our connection with the cannabis industry.</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drive engagement on our platform, as well as changes to our user engagement and advertising strategy and practices, pose risks to our business.</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incident, including a distributed denial of service attack, ransomware attack, security breach or unauthorized data access could impair or incapacitate our information technology systems and delay or interrupt service to our clients and consumers, harm our reputation, or subject us to significant liability.</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 of the internet continues to develop, and unfavorable changes could substantially harm our business and operating results.</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5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as of December 31, 2023. If we are unable to remediate these material weaknesses or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75"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restatement of our prior quarterly financial statements may affect investor confidence and raise reputational issues and may subject us to additional risks and uncertainties, including increased professional costs and the increased possibility of legal proceedings and regulatory inquiries.</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Class A Common Stock and certain of our Public Warrants have been, and may continue to be, volatile, and the value of our Class A Common Stock and such Warrants may decline.</w:t>
      </w:r>
    </w:p>
    <w:p>
      <w:pPr>
        <w:spacing w:after="0" w:line="3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Silver Spike, which was incorporated on June 7, 2019 as a Cayman Islands exempted company and formed for the purpose of effecting a merger, amalgamation, share exchange, asset acquisition, share purchase, reorganization or similar business combination with one or more businesses. Silver Spike completed its initial public offering in August 2019. In June 2021, Merger Sub merged with and into Legacy WMH, whereupon the separate limited liability company existence of Merger Sub ceased and Legacy WMH became the surviving company and continued in existence as a subsidiary of Silver Spike. Prior to the Closing Date, Silver Spike changed its jurisdiction of incorporation from the Cayman Islands to the State of Delaware by deregistering as an exempted company in the Cayman Islands and domesticating and continuing as a corporation formed under the laws of the State of Delaware (the “Domestication”). On the Closing Date, and in connection with the Closing, Silver Spike changed its name to WM Technology.</w:t>
      </w:r>
    </w:p>
    <w:p>
      <w:pPr>
        <w:spacing w:after="0" w:line="86" w:lineRule="exact"/>
        <w:rPr>
          <w:sz w:val="20"/>
          <w:szCs w:val="20"/>
          <w:color w:val="auto"/>
        </w:rPr>
      </w:pPr>
    </w:p>
    <w:p>
      <w:pPr>
        <w:jc w:val="both"/>
        <w:ind w:left="320" w:right="299"/>
        <w:spacing w:after="0" w:line="282" w:lineRule="auto"/>
        <w:rPr>
          <w:sz w:val="20"/>
          <w:szCs w:val="20"/>
          <w:color w:val="auto"/>
        </w:rPr>
      </w:pPr>
      <w:r>
        <w:rPr>
          <w:rFonts w:ascii="Times New Roman" w:cs="Times New Roman" w:eastAsia="Times New Roman" w:hAnsi="Times New Roman"/>
          <w:sz w:val="18"/>
          <w:szCs w:val="18"/>
          <w:color w:val="auto"/>
        </w:rPr>
        <w:t>The mailing address of our principal executive office is 41 Discovery, Irvine, California 92618. Our telephone number is (844) 933-3627.</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91440</wp:posOffset>
            </wp:positionV>
            <wp:extent cx="5653405" cy="27730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3405" cy="277304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11020"/>
          </w:cols>
          <w:pgMar w:left="440" w:top="263" w:right="439" w:bottom="1440" w:gutter="0" w:footer="0" w:header="0"/>
        </w:sectPr>
      </w:pPr>
    </w:p>
    <w:p>
      <w:pPr>
        <w:spacing w:after="0" w:line="1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158" w:lineRule="exact"/>
        <w:rPr>
          <w:sz w:val="20"/>
          <w:szCs w:val="20"/>
          <w:color w:val="auto"/>
        </w:rPr>
      </w:pPr>
    </w:p>
    <w:p>
      <w:pPr>
        <w:ind w:left="1320"/>
        <w:spacing w:after="0" w:line="286" w:lineRule="auto"/>
        <w:rPr>
          <w:sz w:val="20"/>
          <w:szCs w:val="20"/>
          <w:color w:val="auto"/>
        </w:rPr>
      </w:pPr>
      <w:r>
        <w:rPr>
          <w:rFonts w:ascii="Times New Roman" w:cs="Times New Roman" w:eastAsia="Times New Roman" w:hAnsi="Times New Roman"/>
          <w:sz w:val="18"/>
          <w:szCs w:val="18"/>
          <w:b w:val="1"/>
          <w:bCs w:val="1"/>
          <w:color w:val="auto"/>
        </w:rPr>
        <w:t>Shares of Class A Common Stock Offered by the Selling Securityholders</w:t>
      </w:r>
    </w:p>
    <w:p>
      <w:pPr>
        <w:spacing w:after="0" w:line="1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WM Technology, Inc.</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1,938,798 shares of Class A Common Stock.</w:t>
      </w:r>
    </w:p>
    <w:p>
      <w:pPr>
        <w:spacing w:after="0" w:line="158" w:lineRule="exact"/>
        <w:rPr>
          <w:sz w:val="20"/>
          <w:szCs w:val="20"/>
          <w:color w:val="auto"/>
        </w:rPr>
      </w:pPr>
    </w:p>
    <w:p>
      <w:pPr>
        <w:jc w:val="both"/>
        <w:ind w:right="1280"/>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the sale of shares of Class A Common Stock by the Selling Securityholders.</w:t>
      </w:r>
    </w:p>
    <w:p>
      <w:pPr>
        <w:spacing w:after="0" w:line="104" w:lineRule="exact"/>
        <w:rPr>
          <w:sz w:val="20"/>
          <w:szCs w:val="20"/>
          <w:color w:val="auto"/>
        </w:rPr>
      </w:pPr>
    </w:p>
    <w:p>
      <w:pPr>
        <w:sectPr>
          <w:pgSz w:w="11900" w:h="16838" w:orient="portrait"/>
          <w:cols w:equalWidth="0" w:num="2">
            <w:col w:w="5040" w:space="600"/>
            <w:col w:w="5380"/>
          </w:cols>
          <w:pgMar w:left="440" w:top="263" w:right="4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108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Market for Class A Common Stock</w:t>
            </w:r>
          </w:p>
        </w:tc>
        <w:tc>
          <w:tcPr>
            <w:tcW w:w="6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Our Class A Common Stock is currently traded on</w:t>
            </w:r>
          </w:p>
        </w:tc>
      </w:tr>
      <w:tr>
        <w:trPr>
          <w:trHeight w:val="234"/>
        </w:trPr>
        <w:tc>
          <w:tcPr>
            <w:tcW w:w="10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Nasdaq under the symbol “MAPS.”</w:t>
            </w:r>
          </w:p>
        </w:tc>
      </w:tr>
      <w:tr>
        <w:trPr>
          <w:trHeight w:val="333"/>
        </w:trPr>
        <w:tc>
          <w:tcPr>
            <w:tcW w:w="1080" w:type="dxa"/>
            <w:vAlign w:val="bottom"/>
          </w:tcPr>
          <w:p>
            <w:pPr>
              <w:spacing w:after="0"/>
              <w:rPr>
                <w:sz w:val="24"/>
                <w:szCs w:val="24"/>
                <w:color w:val="auto"/>
              </w:rPr>
            </w:pPr>
          </w:p>
        </w:tc>
        <w:tc>
          <w:tcPr>
            <w:tcW w:w="36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6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See  the  section  entitled  “Risk  Factors”  and  other</w:t>
            </w:r>
          </w:p>
        </w:tc>
      </w:tr>
      <w:tr>
        <w:trPr>
          <w:trHeight w:val="216"/>
        </w:trPr>
        <w:tc>
          <w:tcPr>
            <w:tcW w:w="10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information  included  in  this  prospectus,  and  under</w:t>
            </w:r>
          </w:p>
        </w:tc>
      </w:tr>
      <w:tr>
        <w:trPr>
          <w:trHeight w:val="216"/>
        </w:trPr>
        <w:tc>
          <w:tcPr>
            <w:tcW w:w="10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similar headings in any amendments or supplements to</w:t>
            </w:r>
          </w:p>
        </w:tc>
      </w:tr>
      <w:tr>
        <w:trPr>
          <w:trHeight w:val="216"/>
        </w:trPr>
        <w:tc>
          <w:tcPr>
            <w:tcW w:w="10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this prospectus, for a discussion of factors you should</w:t>
            </w:r>
          </w:p>
        </w:tc>
      </w:tr>
      <w:tr>
        <w:trPr>
          <w:trHeight w:val="234"/>
        </w:trPr>
        <w:tc>
          <w:tcPr>
            <w:tcW w:w="10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consider before investing in our securities.</w:t>
            </w:r>
          </w:p>
        </w:tc>
      </w:tr>
      <w:tr>
        <w:trPr>
          <w:trHeight w:val="226"/>
        </w:trPr>
        <w:tc>
          <w:tcPr>
            <w:tcW w:w="1080" w:type="dxa"/>
            <w:vAlign w:val="bottom"/>
          </w:tcPr>
          <w:p>
            <w:pPr>
              <w:spacing w:after="0"/>
              <w:rPr>
                <w:sz w:val="19"/>
                <w:szCs w:val="19"/>
                <w:color w:val="auto"/>
              </w:rPr>
            </w:pPr>
          </w:p>
        </w:tc>
        <w:tc>
          <w:tcPr>
            <w:tcW w:w="3660" w:type="dxa"/>
            <w:vAlign w:val="bottom"/>
            <w:tcBorders>
              <w:bottom w:val="single" w:sz="8" w:color="auto"/>
            </w:tcBorders>
          </w:tcPr>
          <w:p>
            <w:pPr>
              <w:spacing w:after="0"/>
              <w:rPr>
                <w:sz w:val="19"/>
                <w:szCs w:val="19"/>
                <w:color w:val="auto"/>
              </w:rPr>
            </w:pPr>
          </w:p>
        </w:tc>
        <w:tc>
          <w:tcPr>
            <w:tcW w:w="524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r>
      <w:tr>
        <w:trPr>
          <w:trHeight w:val="429"/>
        </w:trPr>
        <w:tc>
          <w:tcPr>
            <w:tcW w:w="10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tcPr>
          <w:p>
            <w:pPr>
              <w:spacing w:after="0"/>
              <w:rPr>
                <w:sz w:val="24"/>
                <w:szCs w:val="24"/>
                <w:color w:val="auto"/>
              </w:rPr>
            </w:pPr>
          </w:p>
        </w:tc>
      </w:tr>
      <w:tr>
        <w:trPr>
          <w:trHeight w:val="183"/>
        </w:trPr>
        <w:tc>
          <w:tcPr>
            <w:tcW w:w="1080" w:type="dxa"/>
            <w:vAlign w:val="bottom"/>
            <w:tcBorders>
              <w:bottom w:val="single" w:sz="8" w:color="auto"/>
            </w:tcBorders>
          </w:tcPr>
          <w:p>
            <w:pPr>
              <w:spacing w:after="0"/>
              <w:rPr>
                <w:sz w:val="15"/>
                <w:szCs w:val="15"/>
                <w:color w:val="auto"/>
              </w:rPr>
            </w:pPr>
          </w:p>
        </w:tc>
        <w:tc>
          <w:tcPr>
            <w:tcW w:w="3660" w:type="dxa"/>
            <w:vAlign w:val="bottom"/>
            <w:tcBorders>
              <w:bottom w:val="single" w:sz="8" w:color="auto"/>
            </w:tcBorders>
          </w:tcPr>
          <w:p>
            <w:pPr>
              <w:spacing w:after="0"/>
              <w:rPr>
                <w:sz w:val="15"/>
                <w:szCs w:val="15"/>
                <w:color w:val="auto"/>
              </w:rPr>
            </w:pPr>
          </w:p>
        </w:tc>
        <w:tc>
          <w:tcPr>
            <w:tcW w:w="5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type w:val="continuous"/>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As our costs increase, we may not be able to generate sufficient revenue to achieve profitability in the future.</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revenue declined in 2023 compared with 2022 and remained relatively flat when compared with 2021. Our revenue may continue to decline due to a number of factors including, but not limited to, slowdowns in the pace of issuance of new licenses to cannabis retailers and brands, and the decline in the number of new major geographic markets in which the sale of cannabis is permitted and to which we have not already expanded. Accordingly, we may not be able to generate sufficient revenue to offset potential cost increases and our ability to achieve and sustain profitability may be impacted. Additionally, we expect our costs to increase in future periods as we expend substantial financial and other resources on, among other things:</w:t>
      </w:r>
    </w:p>
    <w:p>
      <w:pPr>
        <w:spacing w:after="0" w:line="81" w:lineRule="exact"/>
        <w:rPr>
          <w:sz w:val="20"/>
          <w:szCs w:val="20"/>
          <w:color w:val="auto"/>
        </w:rPr>
      </w:pPr>
    </w:p>
    <w:p>
      <w:pPr>
        <w:ind w:left="1000" w:right="3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including continued investment in our current marketing efforts and future marketing initiatives;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of additional employees, including in our product and engineering teams;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domestically and internationally in an effort to increase our consumer and client usage, client base and our sales to our clients;</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products, and increased investment in the ongoing development of our existing products;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any acquired companies into our operations;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 including continued compliance with various regulations applicable to public companies and cannabis industry businesses and other work arising from the growth and maturity of our company.</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These expenditures may not result in additional revenue or the growth of our business. If we fail to continue to grow revenue or to achieve profitability, the market price of our securities could decline, and our business, operating results and financial condition could be adversely affected.</w:t>
      </w:r>
    </w:p>
    <w:p>
      <w:pPr>
        <w:spacing w:after="0" w:line="172"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our existing clients and consumers or to acquire new clients and consumers in a cost-effective manner, our revenue may decrease and our business may be harmed.</w:t>
      </w:r>
    </w:p>
    <w:p>
      <w:pPr>
        <w:spacing w:after="0" w:line="5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compete in a dynamic, innovative market, which we expect will continue to evolve rapidly. We believe that our success is dependent on our ability to continue identifying and anticipating the needs of our clients and consumers and growing our two-sided marketplace by retaining our existing clients and consumers and adding new clients and consumers. This two-sided marketplace may grow more slowly than we expect or than it has grown in the past. As we have become larger through organic growth, the number of paying clients and monthly revenue per client have at times slowed or declined and may similarly slow or decline in the future, even if we continue to add clients and consumers on an absolute basis. Although we expect that our growth rates will continue to slow during certain periods as our business increases in size, if we fail to retain either our existing clients or consumers, the value of our two-sided marketplace will be diminished.</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the costs associated with client and consumer retention are substantially lower than costs associated with the acquisition of new clients or consumers. We have incurred significant costs to attract clients and consumers to our platform and expect to incur significant additional costs to attract and retain clients and consumers for the foreseeable future. Because expenditures on our platform can represent a significant financial investment for our clients, our ability to retain clients depends in part on our ability to create and maintain high levels of client 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consumer satisfaction, which we may not always be capable of providing, including for reasons outside of our control. Additionally, in order to retain our clients, we may be required to identify ways to help our clients convert consumers more effectively. Our clients generally do not have long-term obligations to purchase our products and solutions and generally may cancel their use of our products and solutions at any time without penalty. Thus, any decrease in client satisfaction or other change negatively affecting our ability to retain existing clients or consumers, even if such losses are offset by an increase in revenue resulting from the acquisition of new clients or consumers, could have rapid, concentrated and adverse effect on our business and operating results.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fail to offer the optimal pricing of our products and solutions.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have limited experience in determining the optimal pricing of our products and solutions, and we have in the past changed and may in the future change our pricing model. We also have historically priced our add-on premium offerings in a bid-auction format. Our ability to continue growing depends on our ability to maintain and expand our client base. If our clients do not believe the incremental additional cost we are charging for Weedmaps for Business is justified by the additional components included in our software bundles or that our add-on offerings do not generate proper return on investment, such clients may decline to continue using our services, and our revenue and other financial results may be adversely impacted.</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If we fail to expand effectively into new markets, our revenue and business will be adversely affected.</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While a key part of our business strategy is to add clients and consumers in our existing geographic markets, we also intend to expand our operations into new markets if and as cannabis continues to be legalized. Any such expansion places us in competitive markets with which we may be unfamiliar, requires us to invest significant time and resources, including to analyze the potential applicability of new and complicated regulations regarding the usage, sale and marketing of cannabis in such markets, and involves various risks, including the possibility that returns on such investments will not be achieved for several years, if at all. As a result of new market expansions, we may incur losses or otherwise fail to enter new markets successfully. In attempting to establish a presence in new markets, we expect to incur significant expenses and face various other challenges, such as expanding our compliance efforts to cover those new markets. These efforts may prove more expensive than we currently anticipate, and we may not succeed in increasing our revenues sufficiently to offset these expenses. Our current and any future expansion plans will require significant resources and management attention.</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Competition from the illicit cannabis market could impact our ability to succeed.</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clients face competition from illegal market operators that are unlicensed and unregulated including illegal dispensaries and illicit market suppliers selling cannabis and cannabis-based products, particularly in states like California. Because these illegal market participants do not comply with the regulations governing the cannabis industry, their operations may have significantly lower costs. The perpetuation of the illegal market for cannabis may have a material adverse effect on our clients and our business, results of operations, as well as the perception of cannabis use. Furthermore, given the restrictions on regulated cannabis retail, it is possible that legal cannabis consumers revert to the illicit market as a matter of convenience. In particular, we rely on licensed cannabis businesses to drive the growth of our revenue and the use of our products, and the failure of the licensed cannabis markets to sufficiently overtake or eliminate the illegal market may have an adverse effect on our ability to grow our revenue, particularly if the slow pace of licensing allows the illegal market to gain a foothold, which may be more likely to occur in jurisdictions with an extended period of time between the authorization of consumer possession and the time at which licensed retailers become operational. In such jurisdictions, the timeline for licensed cannabis businesses overtaking the illegal market may be extended.</w:t>
      </w:r>
    </w:p>
    <w:p>
      <w:pPr>
        <w:spacing w:after="0" w:line="183"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concentrated in California, and, as a result, our performance may be affected by factors unique to the California market.</w:t>
      </w:r>
    </w:p>
    <w:p>
      <w:pPr>
        <w:spacing w:after="0" w:line="5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California represents one of the largest state legal cannabis markets in the United States, and approximately 52%, 56% and 61% of our revenue for the years ended December 31, 2023, 2022 and 2021, were generated in California. As new markets develop and our current markets expand, we anticipate that there will be a further reduction in the percentage of our revenue generated in California, but we do not know with any certainty when and to what degree, if ever, this would occur. Moreover, the cannabis market in California is rapidly evolving, and we expect our growth in California to continue as the cannabis industry continues to develop, which could further concentrate our client base. As a result, our business and results of operations are particularly susceptible to, and may be disproportionately impacted by, trends in the California cannabis market, as well as adverse economic, regulatory, political and other conditions in California.</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or legal proceedings could expose us to significant liabilities and have a negative impact on our reputation or business.</w:t>
      </w:r>
    </w:p>
    <w:p>
      <w:pPr>
        <w:spacing w:after="0" w:line="5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From time to time, we may be party to various claims and legal proceedings. For example, in August 2022, our board of directors determined to voluntarily report an internal complaint and subsequent internal investigation to the SEC. Since that date, we have responded to subpoenas from the SEC’s Division of Enforcement and on July 22, 2024, we reached an agreement in principle with the SEC staff to resolve the SEC staff’s investigation with respect to the Company. The settlement was approved by the SEC, and the administrative cease-and-desist order was entered in September 2024. In addition, on October 17, 2024, a putative shareholder class action complaint, captioned Seret Ishak v. WM Technology, Inc. et al., No. 2:24-cv-08959, was filed in the U.S. District Court for the Central District of California, naming us and certain former and current officers and/or directors of the Company and Silver Spike as defendants. The lawsuit alleges that we made material misrepresentations and/or omissions of material fact relating to historical public reporting of the Company’s monthly active users (“MAUs”) metric. In addition, on November 8, 2024, a shareholder derivative action, captioned DeGennaro v. Francis, et. al, Case No. 8:24-cv-02454, was filed in the U.S. District Court for the Central District of California against certain members of our Board of Directors and certain former and current officers. The derivative complaint alleges that the individual defendants authorized or permitted materially false statements and/or material omissions of fact relating to historical public reporting of MAUs. Further, on November 18, 2024, a shareholder derivative action, captioned Pearson v. Francis, et. al, Case No. 8:24-cv-02525 was filed in the U.S. District Court for the Central District of California against certain former and current members of our Board of Directors and certain former and current officers. The derivative complaint alleges, among other things, that the individual defendants authorized or permitted materially false statements and/or material omissions of fact relating to historical public reporting of MAUs and corporate governance matters.</w:t>
      </w:r>
    </w:p>
    <w:p>
      <w:pPr>
        <w:spacing w:after="0" w:line="8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Regardless of the outcome, such proceedings can have an adverse impact on us because of legal costs, penalties and other sanctions, diversion of management resources, negative publicity and reputational harm and other factors.</w:t>
      </w:r>
    </w:p>
    <w:p>
      <w:pPr>
        <w:spacing w:after="0" w:line="5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Even when not merited, the defense of any lawsuits or legal proceedings, including potential securities litigation, is expensive and may divert management’s attention, and we may incur significant expenses in defending any lawsuits or legal proceedings. The results of litigation and other legal proceedings are inherently uncertain, and adverse judgments or settlements in some of these legal disputes may result in adverse monetary damages, penalties or injunctive relief against us, which could negatively impact our financial position, cash flows or results of operations. We evaluate all claims and proceedings to assess the likelihood of unfavorable outcomes and to estimate, if probable and estimable,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w:t>
      </w:r>
    </w:p>
    <w:p>
      <w:pPr>
        <w:spacing w:after="0" w:line="86"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 In addition, any claims or litigation, even if fully indemnified or insured, could damage our reputation and make it more difficult to compete effectively or to obtain adequate insurance in the future.</w:t>
      </w:r>
    </w:p>
    <w:p>
      <w:pPr>
        <w:spacing w:after="0" w:line="183"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Federal law enforcement may deem our clients to be in violation of U.S. federal law, and, in particular the Controlled Substances Act (“CSA”). A change in U.S. federal policy on cannabis enforcement and strict enforcement of federal cannabis laws against our clients would undermine our business model and materially affect our business and operations.</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U.S. federal law, and more specifically the CSA, proscribes the cultivation, processing, distribution, sale, advertisement and possession of cannabis. As a result, U.S. federal law enforcement authorities, in their attempt to regulate the illegal or unauthorized production, distribution, promotion, sale, possession, or use of cannabis, may seek to bring criminal actions against our clients under the CSA. On August 4, 2021, the U.S. Attorney’s Office for the Eastern District of California withdrew a subpoena served on us in September 2019, and informed us that it had no present plan to exercise its discretion to proceed further in the matter. The U.S. Attorney’s Office for the Eastern District of California also stated that its decision was not a grant of immunity, however, and there can be no assurance that the U.S. Attorney’s Office for the Eastern District of California — either the U.S. Attorney’s Office for the Eastern District of California or another Department of Justice (“DOJ”) entity — will not initiate another investigation in the future. If our clients are found to be violating U.S. federal law relating to cannabis, they may be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subject not only to criminal charges and convictions, but also to forfeiture of property, significant fines and penalties, disgorgement of profits, administrative sanctions, cessation of business activities, or civil liabilities arising from proceedings initiated by either the U.S. government or private citizens. Any of these actions or consequences on our clients could have a material adverse effect on our business, operating results or financial condition, or could force us to cease operations, and as a result, our investors could lose their entire investment.</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Further, to the extent any law enforcement actions require us to respond to subpoenas, or undergo search warrants, for client records, cannabis businesses could elect to cease using our products. Until the U.S. federal government changes the laws with respect to cannabis, and particularly if the U.S. Congress does not extend the Omnibus Spending Bill’s protection of state medical cannabis programs, described below, to apply to all state cannabis programs, U.S. federal authorities could more strictly enforce current federal prohibitions and restrictions. An increase in federal enforcement against companies licensed under state cannabis laws could negatively impact the state cannabis industries and, in turn, our business, operating results, financial condition, brand and reputation.</w:t>
      </w:r>
    </w:p>
    <w:p>
      <w:pPr>
        <w:spacing w:after="0" w:line="18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7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Our clients are contractually required to represent, warrant and covenant to us that they conduct their business in compliance with applicable state law, which includes any applicable licensing requirements and the regulatory framework enacted by each state or province in which they do business. Clients further contractually agree to indemnify us for any damages we may suffer as a result of their noncompliance. We rely on our clients’ contractual representations, and generally do not verify them, other than with respect to the licensing information of our clients operating cannabis retail businesses, where we currently require such clients to provide evidence of a valid state or provincial cannabis license prior to their initial access and from time to time during the term of their use of such products. We require all operational cannabis retailer clients, including storefronts and delivery services, to display on their listing a valid, unexpired state-issued license number. We also currently require cannabis brand clients to provide evidence of a valid state or provincial license in order to get access to our listings and premium placement products. Additionally, many states do not require a license to sell CBD products at retail, and the illicit market could fraudulently attempt to use our CBD listings product to sell products containing THC. While we periodically audit and respond to reports related to our CBD listings, it is difficult to monitor the individual products listed, and marketing claims contained, in the listings of our CBD clients. As a result, some of our clients or their listings currently and in the future may not be in compliance with licensing and related requirements under applicable state or provincial laws and regulations. There could be legal enforcement actions against unlicensed or insufficiently licensed entities selling cannabis or CBD, which could negatively impact us.</w:t>
      </w:r>
    </w:p>
    <w:p>
      <w:pPr>
        <w:spacing w:after="0" w:line="8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Any legal or regulatory enforcement against us based on the business solutions that we offer, the third-party content available on our platform or noncompliance by our clients with licensing and other legal requirements, could subject us to various risks, including monetary penalties and the risk that we elect or are compelled to remove content from our platform and would likely cause us to experience negative publicity. Any of these developments could materially and adversely impact our business, operating results, financial condition, brand and reputation.</w:t>
      </w:r>
    </w:p>
    <w:p>
      <w:pPr>
        <w:spacing w:after="0" w:line="1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We generally do not, and cannot, ensure that our clients will conduct their business activities in a manner compliant with such regulations and requirements, despite providing features to help support our clients’ compliance with the complex, disparate and constantly evolving regulations and other legal requirements applicable to the cannabis industry.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generally do not, and cannot, ensure that our clients will conduct their business activities in a manner compliant with certain regulations and other legal requirements applicable to the cannabis industry, in whole or in part, even if our solutions provide features to support our clients’ compliance with such regulations and requirements. Their legal noncompliance could result in regulatory and even criminal actions against them, which could have a material adverse impact on our business and operating results or financial condition. For additional information, see the other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risk factors in this section entitled “Risk Factors—Risks Related to our Business and Industry,” including “Some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who engage in false or deceptive advertising practices to use our solutions may subject us to negative publicity, which could have similar adverse impacts on us.”</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dependent on U.S. state laws and regulations.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Although cannabis is a restricted controlled substance under the federal CSA, U.S. states have legalized cannabis to varying degrees through state-specific regulatory frameworks.</w:t>
      </w:r>
    </w:p>
    <w:p>
      <w:pPr>
        <w:spacing w:after="0" w:line="5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Laws and regulations affecting the cannabis industry in states and territories of the United States are continually changing. Any change or even the speed of changes could require us to incur substantial costs associated with compliance or alter our business plan, and could detrimentally affect our operations, revenue and profitability. Similarly, if the pace of issuance of new cannabis licenses is slower than expected, our ability to acquire new clients and grow our revenue could be harmed. The commercial cannabis industry is still a young industry, and we cannot predict the impact of the compliance regime to which it may be subject. We will incur ongoing costs and obligations related to regulatory compliance, and such costs may prove to be material. Failure to comply with regulations may result in additional costs for corrective measures, penalties or restrictions on our operations. In addition, changes in regulations, more vigorous enforcement thereof, or other unanticipated events could require extensive changes to our operations or increased compliance costs or give rise to material liabilities, which could have a material adverse effect on us.</w:t>
      </w:r>
    </w:p>
    <w:p>
      <w:pPr>
        <w:spacing w:after="0" w:line="8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Given the concentration of our revenue from the sale of listing products, any increase in the stringency of any applicable laws, including U.S. state, or Canadian federal laws and regulations relating to cannabis, or any escalation in the enforcement of such existing laws and regulations against the current or putative cannabis industry within any jurisdiction, could negatively impact the profitability or viability of cannabis businesses in such affected jurisdictions, which in turn could materially adversely affect our business and operating results.</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addition, although we have not yet been required to obtain any cannabis license as a result of existing cannabis regulations, it is possible that cannabis regulations may be enacted in the future that will require us to obtain such a cannabis license or otherwise seek to substantially regulate our business. Additionally, in some jurisdictions we may be required to seek and obtain a blanket approval of our platform in order to enable potential clients to access our services, and such approval may be subject to significant regulatory discretion. U.S. state, or Canadian federal and other non-U.S. jurisdictions’ cannabis laws and regulations are broad in scope and subject to evolving interpretations, which could require us to incur substantial costs associated with compliance or alter our business plan. Our failure to adequately manage the risk associated with future regulations and adequately manage future compliance requirements may adversely affect our business, our status as a reporting company and our public listing. Further, any adverse pronouncements from political leaders or regulators about businesses related to the legal cannabis industry could adversely affect the price of our securities.</w:t>
      </w:r>
    </w:p>
    <w:p>
      <w:pPr>
        <w:spacing w:after="0" w:line="188"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rapid changes in the cannabis industry and applicable laws and regulations make predicting and evaluating our future prospects difficult, and may increase the risk that we will not be successful.</w:t>
      </w:r>
    </w:p>
    <w:p>
      <w:pPr>
        <w:spacing w:after="0" w:line="5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cannabis industry, and the complex regulatory regime applicable to it, is evolving rapidly and may develop in ways that we cannot anticipate. The pace of dramatic change in the cannabis industry makes it difficult to assess our future prospects, and you should evaluate our business in light of the risks and difficulties we may encounter as the industry continues to evolve. These risks and difficulties include:</w:t>
      </w:r>
    </w:p>
    <w:p>
      <w:pPr>
        <w:spacing w:after="0" w:line="72" w:lineRule="exact"/>
        <w:rPr>
          <w:sz w:val="20"/>
          <w:szCs w:val="20"/>
          <w:color w:val="auto"/>
        </w:rPr>
      </w:pPr>
    </w:p>
    <w:p>
      <w:pPr>
        <w:jc w:val="both"/>
        <w:ind w:left="1000" w:right="299" w:hanging="348"/>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complex, disparate and rapidly evolving regulatory regimes imposed by U.S. federal, state and local and other non-U.S. governments around the world applicable to cannabis and cannabis-related businesses;</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adapting to rapidly evolving trends in the cannabis industry and the way consumers and cannabis industry businesses interact with technology;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increasing our base of clients and consumers;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preserve and build our brand while upgrading our existing offerings;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attracting, hiring and retaining qualified personnel to manage operations;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adapting to changes in the cannabis industry if sales of cannabis expand significantly beyond a regulated model;</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commodification of the cannabis industry;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implementing and executing our business and marketing strategies;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expanding our business into new and existing cannabis markets.</w:t>
      </w:r>
    </w:p>
    <w:p>
      <w:pPr>
        <w:spacing w:after="0" w:line="117"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If the demand for our platform and software solutions does not develop as we expect, or if we fail to address the needs of our clients or consumers, our business will be harmed. We may not be able to successfully address these risks and difficulties, which could harm our business and operating results.</w:t>
      </w:r>
    </w:p>
    <w:p>
      <w:pPr>
        <w:spacing w:after="0" w:line="334"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business is dependent, in part, upon continued market acceptance of cannabis by consumers, any negative trends could adversely affect our business operations.</w:t>
      </w:r>
    </w:p>
    <w:p>
      <w:pPr>
        <w:spacing w:after="0" w:line="5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We are dependent on public support, continued market acceptance and the proliferation of consumers in the legalized cannabis markets in states and territories of the United States. While we believe that the market and opportunities in the space will continue to grow, we cannot predict the future growth rate or size of the market. Any downturns in, or negative outlooks on, the cannabis industry may adversely affect our business and financial condition.</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Expansion of our business is dependent on the continued legalization of cannabis.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Expansion of our business is in part dependent upon continued legislative authorization, including by voter initiatives and referendums, of cannabis in various jurisdictions worldwide. Any number of factors could slow, halt, or even reverse progress in this area. For example, in 2023, ballot measures to allow for adult use succeeded in Ohio, but failed in Oklahoma. In addition, implementation of state laws is often a multi-year process following a ballot initiative or legislation. Further, progress for the industry, while encouraging, is not assured. While there may be ample public support for legislative action in a particular jurisdiction, numerous factors could impact the legislative process, including lobbying efforts by opposing stakeholders as well as legislators’ disagreements about how to legalize cannabis as well as the interpretation, implementation, and enforcement of applicable laws or regulations. Any one of these factors could slow or halt the legalization of cannabis, which would negatively impact our ability to expand our business.</w:t>
      </w:r>
    </w:p>
    <w:p>
      <w:pPr>
        <w:spacing w:after="0" w:line="86"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Additionally, the expansion of our business also depends on jurisdictions in which cannabis is currently legalized not narrowing, limiting or repealing existing laws legalizing and regulating cannabis, or altering the regulatory landscape in a way that diminishes the viability of cannabis businesses in those jurisdictions. For example, in April 2019, a lawsuit was filed in the Fresno County Superior Court challenging the California Bureau of Cannabis</w:t>
      </w:r>
    </w:p>
    <w:p>
      <w:pPr>
        <w:spacing w:after="0" w:line="3" w:lineRule="exact"/>
        <w:rPr>
          <w:sz w:val="20"/>
          <w:szCs w:val="20"/>
          <w:color w:val="auto"/>
        </w:rPr>
      </w:pPr>
    </w:p>
    <w:p>
      <w:pPr>
        <w:jc w:val="both"/>
        <w:ind w:left="300" w:right="299"/>
        <w:spacing w:after="0" w:line="243" w:lineRule="auto"/>
        <w:rPr>
          <w:sz w:val="20"/>
          <w:szCs w:val="20"/>
          <w:color w:val="auto"/>
        </w:rPr>
      </w:pPr>
      <w:r>
        <w:rPr>
          <w:rFonts w:ascii="Times New Roman" w:cs="Times New Roman" w:eastAsia="Times New Roman" w:hAnsi="Times New Roman"/>
          <w:sz w:val="18"/>
          <w:szCs w:val="18"/>
          <w:color w:val="auto"/>
        </w:rPr>
        <w:t>Control</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regulation that allowed cannabis businesses to deliver products in local jurisdictions which had prohibited the sale of cannabis. In November 2020, in a mixed result, the Fresno County Superior Court upheld the state regulation that allows licensed cannabis delivery companies to offer services anywhere in the state, while also affirming that cities and counties can forbid those operations, though enforcement of the bans is also up to the local governments. While a recent amendment (S.B. 1186), which became effective in January 2024, prevents local governments from banning the delivery of medical cannabis to patients, adult-use cannabis storefront retail and delivery operations may continue to be restricted by some cities and counties. The imposition or potential enforcement of local jurisdiction delivery bans may negatively impact the viability and attractiveness of our offerings in California going forward. We generated approximately 52%, 56% and 61% of our revenue for the years ended December 31, 2023, 2022 and 2021 in California, and such developments may in turn have a material adverse effect on our business, operating results and financial condition. For more information, see “—Our business is concentrated in California, and, as a result, our performance may be affected by factors unique to the California market.” Additionally, if such challenges are successful in any other jurisdictions that have legalized or are in the process of legalizing cannabis, our ability to expand our business would be negatively impacted.</w:t>
      </w:r>
    </w:p>
    <w:p>
      <w:pPr>
        <w:spacing w:after="0" w:line="101" w:lineRule="exact"/>
        <w:rPr>
          <w:sz w:val="20"/>
          <w:szCs w:val="20"/>
          <w:color w:val="auto"/>
        </w:rPr>
      </w:pPr>
    </w:p>
    <w:p>
      <w:pPr>
        <w:ind w:left="460" w:right="299" w:hanging="168"/>
        <w:spacing w:after="0" w:line="195" w:lineRule="auto"/>
        <w:tabs>
          <w:tab w:leader="none" w:pos="46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In 2021, the Bureau of Cannabis Control merged with two other state agencies regulating California cannabis to form the Department of Cannabis Control, which presently regulates all California commercial cannabis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-241300</wp:posOffset>
            </wp:positionV>
            <wp:extent cx="8229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clients face challenges unique to the cannabis industry that can impact their financial health and long-term viability. If our clients struggle financially or do not remain viable, it can negatively impact our ability to generate new revenue, maintain existing revenue or collect on outstanding receivables.</w:t>
      </w:r>
    </w:p>
    <w:p>
      <w:pPr>
        <w:spacing w:after="0" w:line="6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paying clients face challenges including, among other factors, limited access to capital (relative to other industries) and the impact of Section 280E of the Code (which, as applied to certain cannabis businesses, disallows the deduction of “ordinary and necessary” business expenses, such as below-the-line deductions, essentially resulting in federal income tax liability calculated based on gross income), limiting cash flow and liquidity of many industry participants. Additionally, the cannabis industry faced price deflation in 2023 and 2022 further pressuring many of our paying clients. This resulted in financial hardship for certain cannabis companies, including some of our paying clients which caused elevated churn and bad debt expense in 2023 and 2022. If our clients struggle financially or do not remain viable, it can negatively impact our ability to generate new revenue, maintain existing revenue or collect on outstanding receivables. We have customers with past due balances and our failure to collect a significant portion of such balances could adversely affect our cash and provision for doubtful accounts. See “Accounts Receivable, Net” of Note 2, “Summary of Significant Accounting Policies” to the audited consolidated financial statements included in this prospectus.</w:t>
      </w:r>
    </w:p>
    <w:p>
      <w:pPr>
        <w:spacing w:after="0" w:line="186"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clients and consumers using our platform fail to provide high-quality content that attracts consumers, we may not be able to generate sufficient consumer traffic to remain competitive.</w:t>
      </w:r>
    </w:p>
    <w:p>
      <w:pPr>
        <w:spacing w:after="0" w:line="5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success depends on our platform providing consumers with useful information about our clients and their products, which in turn depends on the content provided by consumers and clients. For example, the platform will not provide useful information about cannabis brands or products if clients or consumers do not contribute content that is helpful and reliable, or if they remove previously submitted content.</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Additionally, if we filter out helpful content or fail to filter out unhelpful content, clients and consumers alike may stop or reduce their use of our platform and products, which could negatively impact our business. Allegations made against us, whether or not accurate, can materially harm our reputation and operating results. While we are continually seeking to improve our ability to identify and remove offensive, biased, unreliable, inauthentic, duplicative, fraudulent or otherwise unhelpful content, and have implemented safeguards on the platform to facilitate those efforts, we cannot guarantee that those efforts or safeguards will be effective or adequate. If our website is not perceived as providing useful, accurate and current information about our clients and their products, consumers may stop or reduce their use of our platform, which could suppress the demand for our advertising placements and adversely affect our business and operating results.</w:t>
      </w:r>
    </w:p>
    <w:p>
      <w:pPr>
        <w:spacing w:after="0" w:line="184"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upon our brand recognition and reputation, and the erosion or degradation of our brand recognition or reputation would likely adversely affect our business and operating results.</w:t>
      </w:r>
    </w:p>
    <w:p>
      <w:pPr>
        <w:spacing w:after="0" w:line="5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believe that our business is highly dependent on our brand identity and our reputation, which is critical to our ability to attract and retain clients and consumers. We also believe that the importance of our brand recognition and reputation will continue to increase as competition in the markets in which we operate continues to develop. Our success in this area will depend on a wide range of factors, some of which are within our control and some of which are not. The factors affecting our brand recognition and reputation that are within our control include the following:</w:t>
      </w:r>
    </w:p>
    <w:p>
      <w:pPr>
        <w:spacing w:after="0" w:line="75" w:lineRule="exact"/>
        <w:rPr>
          <w:sz w:val="20"/>
          <w:szCs w:val="20"/>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marketing efforts;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high-quality, innovative and error- and bug-free platform;</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high satisfaction among clients and consumers;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perceived value of our platform;</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implementing and developing new features, including alternative revenue streams;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and enforce trademarks and other indicia of origin that are valuable to our brand;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differentiate our platform from competitors’ products;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laws and regulations, including those applicable to any political action committees affiliated with us and to our registered lobbying activities;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client support;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actual or perceived data breach or data loss, or misuse or perceived misuse of our platform.</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addition, our brand recognition and reputation may be affected by factors that are outside our control, such as:</w:t>
      </w:r>
    </w:p>
    <w:p>
      <w:pPr>
        <w:spacing w:after="0" w:line="117" w:lineRule="exact"/>
        <w:rPr>
          <w:sz w:val="20"/>
          <w:szCs w:val="20"/>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competitors or other third parties;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timeliness of our clients’ delivery businesses;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consumers’ experiences with clients or products identified through our platform;</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regarding our company or operations, as well as with respect to events or activities attributed to us, our employees, partners, including celebrities who endorse or promote our brand, or others associated with any of these parties;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delays or attacks on our platform;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regulatory developments.</w:t>
      </w:r>
    </w:p>
    <w:p>
      <w:pPr>
        <w:spacing w:after="0" w:line="11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Damage to our reputation and loss of brand equity from one or more of the factors listed above may reduce demand for our platform and have an adverse effect on our business, operating results and financial condition. Moreover, any attempts to rebuild our reputation and restore the value of our brand may be costly and time-consuming, and such efforts may not ultimately be successful.</w:t>
      </w:r>
    </w:p>
    <w:p>
      <w:pPr>
        <w:spacing w:after="0" w:line="324"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face intense competition in the cannabis information market, and we expect competition to further intensify as the cannabis industry continues to evolve.</w:t>
      </w:r>
    </w:p>
    <w:p>
      <w:pPr>
        <w:spacing w:after="0" w:line="51"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The cannabis information market is rapidly evolving and is currently characterized by intense competition, due in part to relatively low barriers to entry. We expect competition to further intensify in the future as cannabis continues to be legalized and regulated, new technologies are developed and new participants enter the cannabis information market. Our direct competitors for individual components or parts of our platform include cannabis-focused, two-sided networks like Leafly (for retailer listing pages) and Dutchie and Jane Technologies (for menu embed and orders functionality). In addition, our platform also may compete with current or potential products and solutions offered by internet search engines and advertising networks, like Google, general two-sided networks like Yelp, various other newspaper, television, media companies, outdoor billboard advertising, and online merchant platforms, such as Shopify, Square and Lightspeed. For example, Uber Eats announced a partnership with a Canadian retailer in November 2021 to allow consumers to place cannabis orders for pickup via Uber Eats. If the regulatory regime for cannabis becomes more settled and the legal market for cannabis becomes more accepted, competition may further intensify as new participants may be encouraged to enter the cannabis information market, including established companies, such as tobacco and alcohol companies. Such companies may have substantially greater financial, technical and other resources than us or existing market participants. Additionally, as consumers and cannabis industry clients demand richer data, integrations with other cannabis industry participants such as point-of-sale providers and loyalty service providers may become increasingly important. If we are unable to complete such new integrations as quickly as our competitors, or improve our existing integrations based on legacy systems, we may lose market share to such competitors. Our current and future competitors may also enjoy other competitive advantages, such as greater name recognition, more varied or more focused offerings, better market acceptance and larger budgets. Some of our competitors previously raised significant amounts of capital. For example, in August 2021, Jane announced the closing of a $100 million Series C round of funding; in October 2021, Dutchie announced the closing of a $350 million Series D round of funding at a valuation of $3.75 billion; and in February of 2022, Leafly became a public company and began trading on Nasdaq via SPAC business combination. Our competitors may be able to use such capital infusions to more successfully enter new markets opening up.</w:t>
      </w:r>
    </w:p>
    <w:p>
      <w:pPr>
        <w:spacing w:after="0" w:line="9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Additionally, as the legalization of cannabis continues, cannabis cultivators, distributors and retailers have and likely will continue to experience consolidation as existing cannabis businesses seek to obtain greater market share and purchasing power and new entrants seek to establish a significant market presence. Consolidation of retailers in the cannabis industry could reduce the size of our potential client base and give remaining clients greater bargaining or purchasing power. This may in turn erode the prices for our advertising placements and result in decreased margins. Consolidation could particularly affect smaller cannabis businesses, with whom we have historically conducted the majority of our business. Further, heightened competition between cannabis businesses could ultimately have a negative impact on the viability of individual market participants, which could reduce or eliminate their ability to purchase our products and solution.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May 16, 2024, President Biden announced that the U.S. Attorney General initiated proceedings to transfer cannabis from Schedule I to Schedule III, through an NPRM published on May 21, 2024. This decision is expected to have far-reaching implications that are not yet fully understood. For example, rescheduling may increase competitors in this space if non-cannabis technology companies who have previously avoided the space now decide to enter the market.</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If we are unable to compete effectively for any of these reasons, we may be unable to maintain our operations or develop our products and solutions, and as a result our business and operating results may be adversely affected.</w:t>
      </w:r>
    </w:p>
    <w:p>
      <w:pPr>
        <w:spacing w:after="0" w:line="158"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employee operations and organization effectively, our brand, business and operating results could be harmed.</w:t>
      </w:r>
    </w:p>
    <w:p>
      <w:pPr>
        <w:spacing w:after="0" w:line="51" w:lineRule="exact"/>
        <w:rPr>
          <w:sz w:val="20"/>
          <w:szCs w:val="20"/>
          <w:color w:val="auto"/>
        </w:rPr>
      </w:pPr>
    </w:p>
    <w:p>
      <w:pPr>
        <w:jc w:val="both"/>
        <w:ind w:left="300" w:right="299"/>
        <w:spacing w:after="0" w:line="267" w:lineRule="auto"/>
        <w:rPr>
          <w:sz w:val="20"/>
          <w:szCs w:val="20"/>
          <w:color w:val="auto"/>
        </w:rPr>
      </w:pPr>
      <w:r>
        <w:rPr>
          <w:rFonts w:ascii="Times New Roman" w:cs="Times New Roman" w:eastAsia="Times New Roman" w:hAnsi="Times New Roman"/>
          <w:sz w:val="17"/>
          <w:szCs w:val="17"/>
          <w:color w:val="auto"/>
        </w:rPr>
        <w:t>We have experienced rapid organic growth in our headcount and operations, which placed substantial demands on management and our operational infrastructure. As a result of both macroeconomic and industry challenges, as well as misalignment between our organizational growth and business growth, we completed a substantial reduction in force in 2022 and experienced significant executive departures during 2023 and 2022. As a result of these changes, many of our current employees have been with us for less than 24 months. To execute on our growth strategy, we will need to continue to increase the productivity of our current employees as well as hire, train and manage new employees, as well as improve existing, and implement new, transaction processing, operational and financial systems, procedures and controls. We intend to continue making substantial investments in our technology, sales and data infrastructure. As our business matures, we may make periodic changes and adjustments to our organization in response to various internal and external considerations, including market opportunities, the competitive landscape, new and enhanced products, acquisitions, sales performance, availability of employee talent and costs, while maintaining the beneficial aspects of our existing corporate culture, which we believe fosters innovation, teamwork and a passion for our products and clients. In some instances, these changes have resulted in a temporary lack of focus and reduced productivity, which may occur again in connection with any future changes to our organization and may negatively affect our results of operations. If we are unable to adapt quickly and effectively to changes or adjustments to our organization, our business will be harmed. If we are unable to manage our employee operations and organization effectively, the quality of our platform, efficiency of our operations, and management of our expenses could suffer, which could negatively impact our brand, business, profitability and operating results.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recruit, train, retain and motivate key personnel, we may not achieve our business objectives.</w:t>
      </w:r>
    </w:p>
    <w:p>
      <w:pPr>
        <w:spacing w:after="0" w:line="121" w:lineRule="exact"/>
        <w:rPr>
          <w:sz w:val="20"/>
          <w:szCs w:val="20"/>
          <w:color w:val="auto"/>
        </w:rPr>
      </w:pPr>
    </w:p>
    <w:p>
      <w:pPr>
        <w:jc w:val="both"/>
        <w:ind w:left="300" w:right="319"/>
        <w:spacing w:after="0" w:line="312" w:lineRule="auto"/>
        <w:rPr>
          <w:sz w:val="20"/>
          <w:szCs w:val="20"/>
          <w:color w:val="auto"/>
        </w:rPr>
      </w:pPr>
      <w:r>
        <w:rPr>
          <w:rFonts w:ascii="Times New Roman" w:cs="Times New Roman" w:eastAsia="Times New Roman" w:hAnsi="Times New Roman"/>
          <w:sz w:val="17"/>
          <w:szCs w:val="17"/>
          <w:color w:val="auto"/>
        </w:rPr>
        <w:t>Our future success depends on our continued ability to recruit, train, retain and motivate key personnel, including Doug Francis, our Chief Executive Officer and Principal Executive Officer, and Brian Camire, our General Counsel.</w:t>
      </w:r>
    </w:p>
    <w:p>
      <w:pPr>
        <w:spacing w:after="0" w:line="3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Competition for qualified personnel in the technology industry is intense, particularly in Southern California, where we are headquartered. Additionally, we face additional challenges in attracting, retaining and motivating highly qualified personnel due to our relationship to the cannabis industry, which is rapidly evolving and has varying levels of social acceptance. The loss of the services of a significant portion of our workforce or any member of our senior management or the inability to hire or retain qualified personnel could adversely affect our ability to execute our business plan and harm our operating results. We generally do not maintain fixed term employment contracts or key man life insurance with any of our employees.</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addition, from July 2023 through November 2024, we had an interim Chief Financial Officer, which, as noted in our Notification of Late Filing on Form 12b-25 with the SEC, had an impact on our ability to complete our financial statements. If we are unable to recruit and retain a qualified replacement in a timely manner it could result in management, operating and financial reporting difficulties, which could have an adverse effect on our business.</w:t>
      </w:r>
    </w:p>
    <w:p>
      <w:pPr>
        <w:spacing w:after="0" w:line="176"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Many consumers locate our website through internet search engines, like Google, and paid digital advertisements in certain jurisdictions. The prominence of our website in response to internet searches is a critical factor in the attractiveness of our advertising placements, and our digital marketing efforts, such as search engine optimization, are intended to improve our search result rankings and draw additional traffic to our website. Visits to our website could decline significantly if we are listed less prominently or fail to appear in search results for any reason, including ineffective implementation of our digital marketing strategies or any change by a search engine to its ranking algorithms or advertising policies.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Visits to our website could also decline if our accounts on Facebook, Instagram, X, formerly known as Twitter or LinkedIn are shut down or restricted. We work across these social networks to increase brand awareness of our company by consumers and clients, and to promote client acquisition. Our engagement on these social media platforms is subject to their respective terms of service and community guidelines, which generally restrict the promotion, sale and, often, depiction of cannabis. While we do not directly promote the sale of cannabis or cannabis-related products by our clients on these social media platforms, the perception that we may be engaging in such promotion or our inadvertent violation of other aspects of these platforms’ terms of service or community guidelines may result in our accounts being shut down or restricted. For example, our Instagram account was suspended from December 2021 to February 2022, in March 2022 and in November 2022 for a short period. Our accounts might also be suspended or restricted due to changes in the rules and regulations of such social media platforms. Any such suspension or restriction could result in reduced traffic to our website and diminished demand for our products, which could adversely affect our business and operating results.</w:t>
      </w:r>
    </w:p>
    <w:p>
      <w:pPr>
        <w:spacing w:after="0" w:line="186"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current marketing model is not effective in attracting new clients, we may need to employ higher-cost sales and marketing methods to attract and retain clients, which could adversely affect our profitability.</w:t>
      </w:r>
    </w:p>
    <w:p>
      <w:pPr>
        <w:spacing w:after="0" w:line="5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use our sales team to build relationships with our client base. Our sales team builds and maintains relationships with clients primarily through phone and email contact, which is designed to allow us to cost-effectively service a large number of clients. We have significantly invested in our enterprise and field sales teams, and we may need to further employ more resource-intensive sales methods to continue to attract and retain clients, particularly as we increase the number of our clients and our client base employs more sophisticated marketing operations, strategies and processes. This could cause us to incur higher sales and marketing expenses, which could adversely affect our business and operating results.</w:t>
      </w:r>
    </w:p>
    <w:p>
      <w:pPr>
        <w:spacing w:after="0" w:line="185"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6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platform is available for download on iOS and Android, and is also accessible online. The availability of our platform and its various functionalities to a significant percentage of our clients is subject to standard policies and terms of service of these third-party platforms, which govern the promotion, distribution and operation generally of our platform. In addition, each platform provider has broad discretion to change and interpret its terms of service and other policies with respect to our platform and its functionalities, and those changes and interpretations may be unfavorable. A platform provider may also change its fee structure, add fees associated with access to and use of its platform, or restrict how users can access the platform, which would similarly be unfavorable.</w:t>
      </w:r>
    </w:p>
    <w:p>
      <w:pPr>
        <w:spacing w:after="0" w:line="8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For example, we have at times been unable to offer our WM Orders functionality in our iOS Weedmaps mobile application and are currently unable to offer such functionality in our Android Weedmaps mobile application due to restrictions imposed by the Apple iTunes App Store and Google Play, respectively. While our platform is still available in the Apple iTunes App Store and on Google Play for download, there can be no assurance that our platform or all of its functionalities will remain available in the immediate or longer term. To the extent that we are limited or prohibited from making some or all of our solutions available through any third-party platform, including the Apple iTunes App Store or the Google Play Store, we may need, or choose, to provide our solutions through alternative venues that may be more difficult for potential users to access. Limits on, or discontinuation of, access to our mobile platform or its various functionalities could, in turn, have a material adverse impact on utilization of our platform, our business and our ability to attract clients and consumers.</w:t>
      </w:r>
    </w:p>
    <w:p>
      <w:pPr>
        <w:spacing w:after="0" w:line="190"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6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It is critical to our success that clients and consumers within our geographic markets be able to access our platform at all times. We have previously experienced service disruptions, and in the future, we may experience service disruptions, outages or other performance problems due to a variety of factors, including infrastructure changes, human or software errors, capacity constraints and distributed denial of service, or DDoS, fraud or security attacks. In some instances, we may not be able to identify the cause or causes of these performance problems within an acceptable period of time. It may become increasingly difficult to maintain and improve the availability of our platform, especially during peak usage times and as our products become more complex and our traffic increases. If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our platform is unavailable when consumers attempt to access it or it does not load as quickly as they expect, consumers may seek other solutions and may not return to our platform as often in the future, or at all. This would harm our ability to attract clients and decrease the frequency with which they subscribe for our advertising placements. We expect to continue to make significant investments to maintain and improve the availability of our platform and to enable rapid releases of new features and products. To the extent that we do not effectively address capacity constraints, respond adequately to service disruptions, upgrade our systems as needed or continually develop our technology and network architecture to accommodate actual and anticipated changes in technology, our business and operating results would be harmed.</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expect to continue making significant investments in the functionality, performance, reliability, design, security and scalability of our platform. We may experience difficulties with the development of our platform that could delay or prevent the implementation of new solutions and enhancements. Software development involves a significant amount of time and resources for our product development team, and we may not be able to continue making those investments in the future. To the extent we are not able to continue successfully improving and enhancing our platform, our business could be adversely affected.</w:t>
      </w:r>
    </w:p>
    <w:p>
      <w:pPr>
        <w:spacing w:after="0" w:line="183"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payment system and the payment systems of our clients depend on third-party providers and are subject to evolving laws and regulations.</w:t>
      </w:r>
    </w:p>
    <w:p>
      <w:pPr>
        <w:spacing w:after="0" w:line="5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have engaged third-party service providers to perform credit and debit card processing services for client’s payments to us, and we understand that some of our clients use those services. We also may engage third-party service providers in the future to provide fraud analysis services and we may integrate with third-party service providers used by our clients to process payments made by consumers if done in a manner compliant with applicable federal and local law. If these service providers do not perform adequately or if our relationships, or the relationships of our clients, with these current or future service providers were to terminate, our ability or the ability of our clients to process payments could be adversely affected and our business could be harmed. The laws and regulations related to payments are complex and are potentially impacted by tensions between federal and state treatment of the vaporization, tobacco, nicotine, cannabis, hemp and cannabis accessories industries. These laws and regulations also vary across different jurisdictions in the United States, Canada and globally. As a result, we are required to spend significant time and effort to comply with those laws and regulations. Any failure or claim of our failure to comply, or any failure by our third-party service providers to comply, could cost us substantial resources, could result in liabilities, or could force us to stop offering our clients the ability to pay with credit cards, debit cards and bank transfers. As we expand the availability of these payment methods or offer new payment methods to our clients in the future, we may become subject to additional regulations and compliance requirements.</w:t>
      </w:r>
    </w:p>
    <w:p>
      <w:pPr>
        <w:spacing w:after="0" w:line="8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Due to the constantly evolving and complex laws and regulations applicable to our industry, third-party merchant banks and third-party payment processors may consider our business a high risk. This could cause a third party to discontinue its services to us, and we may not be able to find a suitable replacement. If this were to occur, we would need to collect from our clients using less efficient methods, which could adversely impact our collections, revenues and financial performance. Additionally, if a third party were to discontinue its services to us or if the applicable laws and regulations were to evolve in a way that impacted us negatively, we may not be able to realize our plans of expanding our business offerings, which could have a material adverse effect on our operations and our plans for expansion. For more information, see “—We are subject to industry standards, governmental laws, regulations and other legal obligations, particularly related to privacy, data protection and information security and any actual or perceived failure to comply with such obligations could harm our business” below.</w:t>
      </w:r>
    </w:p>
    <w:p>
      <w:pPr>
        <w:spacing w:after="0" w:line="86"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Further, through our agreement with our third-party credit card processors, we are subject to payment card association operating rules and certification requirements, including restrictions on product mix and the Payment Card Industry Data Security Standard (“PCI-DSS”). We are also subject to rules governing electronic funds transfers. Any change in these rules and requirements could make it difficult or impossible for us to comply. Additionally, any data breach or failure to hold certain information in accordance with PCI-DSS may have an adverse effect on our business and results of operations.</w:t>
      </w:r>
    </w:p>
    <w:p>
      <w:pPr>
        <w:spacing w:after="0" w:line="183"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67"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calculate and track performance metrics with internal tools, which are not independently verified by any third-party. While we believe our metrics are reasonable estimates of our user or client base for the applicable period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of measurement, the methodologies used to measure these metrics and how we define such metrics require significant judgment and may be susceptible to algorithm or other technical errors. For example, user accounts are based on email addresses, and a user could use multiple email addresses to establish multiple accounts, and clients in many instances will have multiple accounts. Additionally, a user could also use technology (such as incognito browsing, blocking or deleting cookies and IP addresses or other similar methods) that may decrease our ability to obtain useful information with respect to the number of and behavior of users, and as a result, we may include users who are not actively engaging with our platform in the manner in which we assume, and/or we may count as unique users multiple visits by the same underlying user. As a result, the data we report may not be accurate, and we believe unique user statistics could include a significant number of repeat underlying users. Our internal tools and processes we use to identify multiple accounts or fraudulent accounts have a number of limitations, and our methodologies for tracking performance metrics may change over time, which could result in unexpected changes to our metrics, including historical metrics. Our ability to recalculate our historical metrics may be impacted by data limitations or other factors that require us to apply different methodologies for such adjustments and we generally do not intend to update previously disclosed metrics for any such changes. Though we regularly review our processes for calculating metrics and may adjust our processes for calculating metrics to improve their accuracy, limitations or errors with respect to how we measure data (or the data that we measure) may affect our understanding of certain details of our business, which could affect our longer term strategies. For example, we determined to discontinue reporting monthly active users as a key operational metric as a result of our reevaluation of the value of this metric to investors in light of its significant quarterly fluctuations that we do not believe necessarily reflect the underlying and most important trends in our business. If our performance metrics, including any key metrics we disclose in the future, are not accurate measurements of our business, user or client base, or traffic levels; if we discover material inaccuracies in such metrics, we may not be able to effectively implement our business strategy, our reputation may be harmed, and our operating and financial results could be adversely affected.</w:t>
      </w:r>
    </w:p>
    <w:p>
      <w:pPr>
        <w:spacing w:after="0" w:line="9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clients, analysts and investors may rely on our metrics, including additional metrics we may disclose in the future, as a representation of our performance. If these third parties do not perceive such metrics to be accurate representations of our business, or if we discover material inaccuracies in our user metrics, our reputation may be harmed and retailers may be less willing to list a business on our platform, which could negatively affect our business, financial condition, or results of operations.</w:t>
      </w:r>
    </w:p>
    <w:p>
      <w:pPr>
        <w:spacing w:after="0" w:line="179"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successfully drive engagement on our platform, as well as changes to our user engagement and advertising strategy and practices, pose risks to our business.</w:t>
      </w:r>
    </w:p>
    <w:p>
      <w:pPr>
        <w:spacing w:after="0" w:line="5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clients use our products and services as they believe the value received from paying for our products and services justifies the cost of those services. We believe the overall level of engagement of our users with our clients is critical to our success and our long-term financial performance. As we evolve our user engagement and advertising strategy and practices, we may not be successful in improving user engagement in a cost-efficient manner, or at all. Certain operating decisions, including our substantially decreased usage of pop-under advertisements, may significantly decrease our user engagement and/or traffic, increase the cost of generating user engagement and/or traffic or decrease our overall success rate in promoting engagement on our platform. Declining user growth, engagement or traffic could make us less attractive to our clients, which may seriously harm our business. In addition, we continue to compete with other companies to attract and retain consumer attention. A number of factors have affected and could potentially negatively affect our reported user engagement and/or traffic and our overall user engagement with our clients, including if:</w:t>
      </w:r>
    </w:p>
    <w:p>
      <w:pPr>
        <w:spacing w:after="0" w:line="84" w:lineRule="exact"/>
        <w:rPr>
          <w:sz w:val="20"/>
          <w:szCs w:val="20"/>
          <w:color w:val="auto"/>
        </w:rPr>
      </w:pPr>
    </w:p>
    <w:p>
      <w:pPr>
        <w:ind w:left="1000" w:right="31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provide a compelling consumer experience to entice consumers to use our products and services, or our consumers don’t have the ability to maximize the consumer experience;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convince consumers and clients of the value and usefulness of our platform and services;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find cost-effective marketing channels or other strategies to drive traffic to our website, including replacing any pop-under advertisements that we have decreased our usage of or discontinued;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fail to operate effectively on the iOS or Android mobile operating systems;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continue to develop products that work with a variety of mobile operating systems, networks and smartphones;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provide a compelling consumer experience because of the decisions we make regarding the type and frequency of advertisements that we display or the structure and design of our products;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consumers engage more with competing platforms or products at the expense of ours or those of our clients;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manner in which we promote engagement or traffic is seen by consumers or clients as unappealing or harm our brand image or reputation;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concerns about the privacy implications, safety, or security of our products;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are subject to increased regulatory scrutiny or approvals, or there are changes in our products that are mandated or prompted by legislation, regulatory authorities, executive actions, or litigation, including settlements or consent decrees, that adversely affect the consumer experience;</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or other problems frustrate the consumer experience, including by providers that host our platforms, particularly if those problems prevent us from delivering our product experience in a fast and reliable manner;</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partners, or other companies in our industry segment are the subject of adverse media reports or other negative publicity, some of which may be inaccurate or include confidential information that we are unable to correct or retract; or</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products reduce consumer activity on our website or our applications by making it easier for our consumers to interact directly with our clients.</w:t>
      </w:r>
    </w:p>
    <w:p>
      <w:pPr>
        <w:spacing w:after="0" w:line="5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Any decrease to consumer retention, growth, or engagement could render our products less attractive to consumers, advertisers, or partners, and could seriously harm our business.</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prevent others from aggregating or misappropriating data from our websites.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From time to time, third parties have misappropriated data from our website through website scraping, software robots or other means, and aggregated this data on their websites with data from other companies. Additionally, copycat websites have misappropriated data on our network and attempted to imitate our brand or the functionality of our website. We may be unable to detect all such websites in a timely manner and even timely technological and legal measures may be insufficient to halt their operations or protect us against the impact of the operation of such websites. Regardless of whether we can successfully enforce our rights against the operators of these websites, any measures that we may take could require us to expend significant financial or other resources, which could harm our business, operating results or financial condition. In addition, to the extent that such activity creates confusion among clients or consumers, decreases the likelihood that consumers use our platform to access information, or reduces the distinctiveness of our products in the marketplace, our brand and business could be harmed.</w:t>
      </w:r>
    </w:p>
    <w:p>
      <w:pPr>
        <w:spacing w:after="0" w:line="190" w:lineRule="exact"/>
        <w:rPr>
          <w:sz w:val="20"/>
          <w:szCs w:val="20"/>
          <w:color w:val="auto"/>
        </w:rPr>
      </w:pPr>
    </w:p>
    <w:p>
      <w:pPr>
        <w:jc w:val="both"/>
        <w:ind w:left="300" w:right="2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third parties upon which we rely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the ordinary course of our business, we may collect, receive, store, generate, use, protect, secure, dispose of, transmit, disclose, or otherwise make accessible (collectively “process”) proprietary, confidential, and sensitive data, including personal data, intellectual property, and trade secrets. We rely upon third parties (such as service providers) for certain data processing-related activities, such as data centers, cloud hosting platforms, marketing communications, and application providers. For example, we rely on data centers and other technologies and services provided by third parties in order to host our cloud-based infrastructure that operates our business. If any of these services becomes unavailable or otherwise is unable to serve our requirements due to extended outages, interruptions, or facility closure, or because it is no longer available on commercially reasonable terms, our expenses could increase, our ability to manage finances could be interrupted and our operations otherwise could be disrupted or otherwise impacted until appropriate substitute services, if available, are identified, obtained and implemented. Additionally, we rely on a number of third-party “cloud-based” providers of corporate infrastructure services relating to, among other things, human resources, electronic communication services, some financial functions and systems used to provide solutions to our clients, and we are therefore dependent on the security systems of these providers. We may also share or receive sensitive data with or from third parties.</w:t>
      </w:r>
    </w:p>
    <w:p>
      <w:pPr>
        <w:spacing w:after="0" w:line="8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Our ability to monitor these third parties’ information security practices is limited, and these third parties may not have adequate information security measures in place. If our third-party service providers experience a security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Cyberattacks, malicious internet-based activity, online and offline fraud, and other similar activities threaten the confidentiality, integrity, and availability of our sensitive information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and our customers may be vulnerable to a heightened risk of these attacks, including retaliatory cyber-attacks, that could materially disrupt our systems and operations, supply chain, and ability to produce, sell and distribute our goods and services.</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and the third parties upon which we rely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AI, and other similar threats. In particular, severe ransomware attacks are becoming increasingly prevalent – particularly for companies like ours that are engaged in critical infrastructure or manufacturing –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8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upon which we rely). For example, we implement bug fixes and upgrades as part of our regular system maintenance, which may lead to system downtime. Even if we are able to implement the bug fixes and upgrades in a timely manner, any history of inaccuracies in the data we collect for our clients, or unauthorized access or damage to, or the loss, acquisition, or inadvertent release or exposure of confidential or other sensitive data could cause our reputation to be harmed and result in claims against us, and cannabis businesses may elect not to purchase our products or, in the case of existing clients, renew their agreements with us or we may incur increased insurance costs. The costs associated with any material defects or errors in our software or other performance problems may be substantial and could harm our operating results and growth prospects. In addition to bugs, we may not detect and remediate all identified vulnerabilities including on a timely basis. Further, we may experience delays in developing and deploying remedial measures and patches designed to address identified vulnerabilities. Vulnerabilities could be exploited and result in a security incident.</w:t>
      </w:r>
    </w:p>
    <w:p>
      <w:pPr>
        <w:spacing w:after="0" w:line="8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Any actual or perceived security incident could damage our reputation and brand, result in decreased utilization of our platform or prevent users from using our platform, expose us to fines and penalties, government investigations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and a risk of litigation and possible liability, require us to expend significant capital and other resources (including management’s attention) to alleviate any resulting problems and otherwise to remediate the incident, and require us to expend increased cybersecurity protection costs. We may incur significant costs in an effort to detect and prevent security incidents. Numerous state, federal and foreign laws and regulations require companies to notify individuals, regulatory authorities, or other stakeholders of certain security involving incidents, including those that involve certain types of personal data. Any disclosures of security incidents, pursuant to these laws or regulations or otherwise, could lead to regulatory investigations and enforcement and negative publicity, and may cause our clients and consumers to lose confidence in the effectiveness of our data security measures.</w:t>
      </w:r>
    </w:p>
    <w:p>
      <w:pPr>
        <w:spacing w:after="0" w:line="8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Any of these impacts or circumstances arising from an actual or perceived security incident could materially and adversely affect our business, financial condition, reputation and relationships with clients and consumers.</w:t>
      </w:r>
    </w:p>
    <w:p>
      <w:pPr>
        <w:spacing w:after="0" w:line="5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Furthermore, while our errors and omissions insurance policies include liability coverage for certain of these matters, if we experienced a significant security incident, we could be subject to claims or damages that exceed our insurance coverage.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insurance requirements, could have a material and adverse effect on our business, including our financial condition, operating results, and reputation.</w:t>
      </w:r>
    </w:p>
    <w:p>
      <w:pPr>
        <w:spacing w:after="0" w:line="350"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employees face risks related to macroeconomic conditions and catastrophic events, including health crises, such as outbreaks of contagious disease that have adversely impacted and could in the future adversely impact our business, financial condition and operating results.</w:t>
      </w:r>
    </w:p>
    <w:p>
      <w:pPr>
        <w:spacing w:after="0" w:line="6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Macroeconomic conditions, including but not limited to inflation, uncertain credit and global financial markets, recent and potential future disruptions in access to bank deposits or lending commitments due to bank failures; geopolitical events, including the military conflicts between Russia and Ukraine and Israel and Hamas; and the occurrence of a catastrophic event, including but not limited to severe weather, war, or terrorist attack, could adversely impact our business, financial condition and operating results. We also face risks related to health epidemics, like the COVID-19 pandemic and other adverse health developments. For example, in connection with the COVID-19 pandemic, governments implemented significant measures intended to control the spread of the virus, including closures, quarantines, travel restrictions and other social distancing directives.</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To the extent that restrictions or prevention and mitigation measures are implemented in connection with any future pandemic or outbreak of disease, there may be an adverse impact on global economic conditions and consumer confidence and spending, which could materially and adversely affect our operations as well as our relationships with clients and consumers. For instance, despite the overall increases in demand described below, some of our clients’ operations were initially significantly disrupted in certain jurisdictions, causing a temporary significant decrease in activity on our platform in those jurisdictions.</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Shelter-in-place orders and similar regulations resulting from catastrophic events could impact our client’s ability to operate their businesses, consumers’ ability to pick up orders, and our client’s ability to make deliveries. Such events have in the past caused, and may in the future cause, a temporary closure of our clients’ businesses, either due to government mandate or voluntary preventative measures, and many of our clients may not be able to withstand prolonged interruptions to their businesses, and may be forced to go out of business. Any limitations on or disruptions or closures of our clients’ businesses could adversely affect our business. Further, we may experience a decrease in new clients due to a lack of financial resources or a decline in new markets as businesses and financial markets deal with the impact of any future catastrophic events. Further, these conditions may impact our ability to access financial markets to obtain the necessary funding to expand our business, which may adversely affect our liquidity and working capital.</w:t>
      </w:r>
    </w:p>
    <w:p>
      <w:pPr>
        <w:spacing w:after="0" w:line="86"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It is not currently possible to ascertain the overall impact of such an event on our business. However, if such an event occurs, the event may harm our business, and may also have the effect of heightening many of the other risks described in this “Risk Factors” section.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our quarterly and annual operating results may adversely affect our business and prospects.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You should consider our business and prospects in light of the risks and difficulties we encounter in the uncertain and rapidly evolving market for our solutions. Because the cannabis information market is new and evolving, predicting its future growth rate and size is difficult. This reduces our ability to accurately evaluate our future prospects and forecast quarterly or annual performance. In addition to the other risk factors discussed in this section, factors that may contribute to the variability of our quarterly and annual results include:</w:t>
      </w:r>
    </w:p>
    <w:p>
      <w:pPr>
        <w:spacing w:after="0" w:line="75" w:lineRule="exact"/>
        <w:rPr>
          <w:sz w:val="20"/>
          <w:szCs w:val="20"/>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clients and consumers and retain existing clients and consumers;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revenue and appropriately plan our expenses;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changes in search engine placement and prominence;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on our business;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in existing markets and successfully enter new markets;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regional or economic conditions;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licensed cannabis markets to successfully grow and out compete illegal cannabis markets;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effectively manage an adequate rate of growth;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increase traffic to our platform;</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defending claims, including intellectual property infringement claims and related judgments or settlements;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or other regulation affecting our business;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platform availability and any related impact on our business, reputation or brand;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attraction and retention of qualified personnel;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natural or man-made catastrophic events;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internal controls, including the material weakness that we have identified.</w:t>
      </w:r>
    </w:p>
    <w:p>
      <w:pPr>
        <w:spacing w:after="0" w:line="3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improve our products and solutions in ways that forego short-term gains.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seek to provide the best experience for the clients and consumers who use our platform. Some of our changes may have the effect of reducing our short-term revenue or profitability if we believe that the benefits will ultimately improve our business and financial performance over the long term. Any short-term reductions in revenue or profitability could be greater than planned or the changes mentioned above may not produce the long-term benefits that we expect, in which case our business and operating results could be adversely affected.</w:t>
      </w:r>
    </w:p>
    <w:p>
      <w:pPr>
        <w:spacing w:after="0" w:line="314"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and anti-corruption laws and regulations. Compliance with these legal standards could impair our ability to compete in domestic and international markets. We can face criminal liability and other serious consequences for violations which can harm our business.</w:t>
      </w:r>
    </w:p>
    <w:p>
      <w:pPr>
        <w:spacing w:after="0" w:line="72" w:lineRule="exact"/>
        <w:rPr>
          <w:sz w:val="20"/>
          <w:szCs w:val="20"/>
          <w:color w:val="auto"/>
        </w:rPr>
      </w:pPr>
    </w:p>
    <w:p>
      <w:pPr>
        <w:jc w:val="both"/>
        <w:ind w:left="300" w:right="299"/>
        <w:spacing w:after="0" w:line="269" w:lineRule="auto"/>
        <w:rPr>
          <w:sz w:val="20"/>
          <w:szCs w:val="20"/>
          <w:color w:val="auto"/>
        </w:rPr>
      </w:pPr>
      <w:r>
        <w:rPr>
          <w:rFonts w:ascii="Times New Roman" w:cs="Times New Roman" w:eastAsia="Times New Roman" w:hAnsi="Times New Roman"/>
          <w:sz w:val="17"/>
          <w:szCs w:val="17"/>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 the U.S. Foreign Corrupt Practices Act of 1977, as amended, the U.S. domestic bribery statute contained in 18 U.S.C. § 201, the U.S. Travel Act, and other state and national anti-bribery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The FCPA also requires public companies to make and keep books and records that accurately and fairly reflect the transactions of the corporation and to devise and maintain an adequate system of internal accounting controls. We can be held liable for the corrupt or other illegal activities of our employees, agents, contractors, and other partners, even if we do not explicitly authorize or have actual knowledge of such activities.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are also subject to export control and import laws and regulations, including the U.S. Export Administration Regulations, U.S. Customs regulations, and various economic and trade sanctions regulations administered by the U.S. Treasury Department’s Office of Foreign Assets Controls. Export controls and trade sanctions laws and regulations may restrict or prohibit altogether the provision, sale, or supply of our products to certain governments, persons, entities, countries, and territories, including those that are the target of comprehensive sanctions or an embargo.</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334"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inherent in foreign operations, including social, political and economic flux and compliance with additional U.S. and foreign laws, including those related to anti-bribery and anti-corruption, and may not be able to successfully maintain or expand our foreign operations.</w:t>
      </w:r>
    </w:p>
    <w:p>
      <w:pPr>
        <w:spacing w:after="0" w:line="6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sell our Weedmaps for Business offering in the United States and have a limited number of non-monetized listings in several other countries including Austria, Canada, Germany, the Netherlands, Spain and Switzerland. We anticipate growing our business, in part, by continuing to expand our foreign operations. As we continue our expansion, we may enter new foreign markets where we have limited or no experience marketing and deploying our platform. If we fail to launch or manage our foreign operations successfully, our business may suffer. Additionally, as our foreign operations expand, or more of our expenses are denominated in currencies other than the U.S. dollar, our operating results may be more greatly affected by fluctuations in the exchange rates of the currencies in which we do business. In addition, as our foreign operations continue to grow, we are subject to a variety of risks inherent in doing business internationally, including:</w:t>
      </w:r>
    </w:p>
    <w:p>
      <w:pPr>
        <w:spacing w:after="0" w:line="80" w:lineRule="exact"/>
        <w:rPr>
          <w:sz w:val="20"/>
          <w:szCs w:val="20"/>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legal and regulatory environment in foreign jurisdictions, including with respect to privacy and data protection, and unexpected changes in laws, regulatory requirements and enforcement;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levels of credit risk and payment fraud;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tax requirements of multiple jurisdictions;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difficulties of integrating any foreign acquisitions;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present our content effectively in foreign languages;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a variety of foreign laws, including certain employment laws requiring national collective bargaining agreements that set minimum salaries, benefits, working conditions and termination requirements;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some countries;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global operations and the increased travel, infrastructure and compliance costs associated with multiple foreign locations;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that might add difficulties in repatriating cash earned outside the United States and otherwise preventing us from freely moving cash;</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restrictions and changes in trade regulation;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statutory equity requirements;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the U.S. Foreign Corrupt Practices Act of 1977, as amended, the U.K. Bribery Act 2010, the Corruption of Public Officials Act (Canada), and similar laws in other jurisdictions;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controls and economic sanctions administered by the U.S. Department of Commerce Bureau of Industry and Security and the U.S. Treasury Department’s Office of Foreign Assets Control.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industry standards, governmental laws and regulations, contractual obligations, industry standards, policies, and other obligations governing privacy, data protection and information security, and any actual or perceived failure to comply with such obligations could harm our business.</w:t>
      </w:r>
    </w:p>
    <w:p>
      <w:pPr>
        <w:spacing w:after="0" w:line="6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process personal data and other sensitive information, including proprietary and confidential business data, intellectual property, and sensitive third-party data. Our data processing subjects us to various federal, state, provincial and foreign laws and regulations, as well as other obligations including contractual obligations, industry standards and internal and external policies related to privacy, data protection, and information security.</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 Controlling the Assault of Non-Solicited Pornography and Marketing Act of 2003 and the Telephone Consumer Protection Act of 1991 (“TCPA”) impose specific requirements on communications with customers. For example, the TCPA imposes various consumer consent requirements and other restrictions on certain telemarketing activity and other communications with consumers by phone, fax or text message. TCPA violations can result in significant financial penalties, including penalties or criminal fines imposed by the Federal Communications Commission or fines of up to $1,500 per violation imposed through private litigation or by state authorities.</w:t>
      </w:r>
    </w:p>
    <w:p>
      <w:pPr>
        <w:spacing w:after="0" w:line="80"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In the past few years, numerous U.S.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(collectively,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of up to $7,500 per intentional violation and allows private litigants affected by certain data breaches to recover significant statutory damages for certain data breaches. A number of other proposals are being considered or have passed at the federal, state, and local levels, and we expect more states to pass similar laws in the future. Many foreign countries and governmental bodies, including Canada, the United Kingdom (“UK”), and the European Union (“E.U.”) and other relevant jurisdictions where we conduct business, have laws and regulations concerning the processing of personal information. For example, in Canada, the federal Personal Information Protection and Electronic Documents Act, or PIPEDA and various related provincial laws may apply to our operations. Further, Canada has robust anti-spam legislation, the Anti-Spam Legislation, or CASL. The penalties for non-compliance under CASL are significant. In addition, the E.U.’s General Data Protection Regulation, or the EU GDPR, and the United Kingdom’s GDPR, or UK GDPR (collectively, “GDPR”), may also apply to our operations. The GDPR provides for substantial penalties for noncompliance. For example,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spacing w:after="0" w:line="9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may be subject to new laws governing the privacy of consumer health data. For example, Washington’s My Health My Data Act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 are considering and may adopt similar laws. We are also bound by contractual obligations related to data privacy and security, and our efforts to comply with such obligations may not be successful. For example, certain privacy laws, such as the CCPA, require our customers to impose specific contractual restrictions on their service providers.</w:t>
      </w:r>
    </w:p>
    <w:p>
      <w:pPr>
        <w:spacing w:after="0" w:line="8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we may transfer personal data from Europe and other jurisdictions to the United States or other countries. Europe and other jurisdictions have enacted laws requiring data to be localized or limiting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transfer of personal data to other countries. In particular, the European Economic Area (“EEA”) and the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If there is no lawful manner for us to transfer personal data from the EEA, the UK or other jurisdictions to the United States, or if the requirements for a legally-compliant transfer are too onerous, we could face significant adverse consequences, including, increased exposure to regulatory actions, substantial fines and penalties, the inability to transfer data and work with partners, vendors and other third parties, and injunctions against our processing or transferring of personal data related to our EU users.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8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publish privacy policies, marketing materials and other statements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72"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Obligations related to data privacy and security (and consumers’ data privacy expectations) are evolving, becoming increasingly stringent, and creating uncertainty. These obligations may be modified, interpreted and applied in an inconsistent manner from one jurisdiction to another, and may conflict with one another, other requirements or legal obligations. Future laws, regulations, standards and other obligations, or amendments or changes in the interpretation of existing laws, regulations, standards and other obligations, could impair our or (or the third parties upon whom we rely) ability to collect, use, disclose or otherwise process information relating to employees or consumers, which could decrease demand for our applications, increase our costs and impair our ability to maintain and grow our client and consumer bases and increase revenue. 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Any failure or perceived failure by us or the third parties upon whom we rely to comply with federal, state, provincial or foreign laws or regulations, industry standards, contractual obligations or other legal obligations may result in governmental enforcement actions (e.g., investigations, fines, penalties, audits, inspections, and similar) and prosecutions, private litigation (including class actions) and mass arbitration demands, adverse publicity that could cause employees, clients and consumers to lose trust in us,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201"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Governmental regulation of the internet continues to develop, and unfavorable changes could substantially harm our business and operating results.</w:t>
      </w:r>
    </w:p>
    <w:p>
      <w:pPr>
        <w:spacing w:after="0" w:line="5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are subject to general business regulations and laws as well as federal, state, provincial and foreign laws specifically governing the internet. Existing and future laws and regulations, narrowing of any existing legal safe harbors, or previous or future court decisions may impede the growth of the internet or online products and solutions, and increase the cost of providing online products and solutions. These laws may govern, among other issues,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taxation, tariffs, pricing, content, copyrights, distribution, electronic contracts and other communications, consumer protection, broadband residential internet access and the characteristics and quality of offerings. It is not clear how existing laws governing issues such as property ownership, sales, use and other taxes, and libel apply to the internet or online services. There is also a risk that these laws may be interpreted and applied in conflicting ways across jurisdictions, and in a manner that is not consistent with our current practices. Unfavorable resolution of these issues may limit our business activities, expose us to potential legal claims or cause us to spend significant resources on ensuring compliance, any of which could harm our business and operating results.</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brought against us as a result of content we provide.</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provide educational information regarding the use and potential effects of various types of cannabis products through our platform, including information regarding therapeutic uses for cannabis. If our content, or content we obtain from third parties, contains inaccuracies, it is possible that consumers or others may sue us for various causes of action. Although our website and mobile applications contain terms and conditions, including disclaimers of liability, that are intended to reduce or eliminate our liability, the law governing the validity and enforceability of online agreements and other electronic transactions is evolving. We could be subject to claims by third parties that our online agreements with consumers that provide the terms and conditions for use of our websites and mobile applications are unenforceable. A finding by a court that these agreements are invalid and that we are subject to liability could harm our business and require costly changes to our business.</w:t>
      </w:r>
    </w:p>
    <w:p>
      <w:pPr>
        <w:spacing w:after="0" w:line="8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For content that we publish or provide ourselves, we have editorial procedures in place to provide quality control of the information that we publish or provide. However, we cannot assure you that our editorial and other quality control procedures will be sufficient to ensure that there are no errors or omissions in particular content. Even if potential claims do not result in liability to us, investigating and defending against these claims could be expensive and time-consuming and could divert management’s attention away from our operations. In addition, our business is based on establishing the reputation of our platform as trustworthy and dependable sources of educational information. Allegations of impropriety or inaccuracy, even if unfounded, could harm our reputation and business.</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legal claims based on the content published to our platform.</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may be subject to legal claims relating to information made available through our platform, including claims for defamation, libel, negligence and copyright or trademark infringement, among others. These claims or allegations could divert management time and attention away from our business and result in significant costs to investigate and defend, regardless of the merits of the claims or allegations. In some instances, we may elect or be compelled to remove content, or may be forced to pay substantial damages or administrative monetary penalties, if we are unsuccessful in our efforts to defend against these claims or allegations. If we elect, or are compelled, to remove valuable content from our platform, our platform or services may become less useful to consumers, which could have a negative impact on our business and financial performance. This risk may also be greater in certain jurisdictions outside of the United States where our protections from such liability may be unclear.</w:t>
      </w:r>
    </w:p>
    <w:p>
      <w:pPr>
        <w:spacing w:after="0" w:line="333"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investments in alternative revenue streams or acquisitions could disrupt our business and adversely affect our operating results, financial condition and cash flows.</w:t>
      </w:r>
    </w:p>
    <w:p>
      <w:pPr>
        <w:spacing w:after="0" w:line="5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believe that our long-term growth depends in part on our ability to develop and monetize additional aspects of our platform. Developing new products and solutions may involve significant investments of capital, time, resources and managerial attention. We have limited experience with developing, implementing and managing revenue streams other than our core listing business, and there can be no assurance that we will successfully implement any new products or solutions. External factors, such as additional regulatory compliance obligations, may also affect the successful implementation of new products and solutions through our platform.</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Additionally, we may make acquisitions that could be material to our business, operating results, financial condition and cash flows. Our ability as an organization to successfully acquire and integrate technologies or businesses is unproven. Acquisitions involve many risks, including the following:</w:t>
      </w:r>
    </w:p>
    <w:p>
      <w:pPr>
        <w:spacing w:after="0" w:line="68" w:lineRule="exact"/>
        <w:rPr>
          <w:sz w:val="20"/>
          <w:szCs w:val="20"/>
          <w:color w:val="auto"/>
        </w:rPr>
      </w:pPr>
    </w:p>
    <w:p>
      <w:pPr>
        <w:jc w:val="both"/>
        <w:ind w:left="1000" w:right="319" w:hanging="348"/>
        <w:spacing w:after="0" w:line="258"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negatively affect our operating results, financial condition or cash flows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or unforeseen expenditures in integrating the business, technologies, products, personnel or operations of any company that we acquire, particularly if key personnel of the acquired company decide not to work for us, and potentially across different cultures and languages in the event of a foreign acquisition;</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disrupt our ongoing business, divert resources, increase our expenses and distract our management;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a delay or reduction of sales for both us and the company we acquired due to uncertainty about continuity and effectiveness of products or support from either company;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in, or may be unable to, successfully sell any acquired products;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involve the entry into geographic or business markets in which we have little or no prior experience or where competitors have stronger market positions;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strain on our financial and managerial controls and reporting systems and procedures;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known and unknown liabilities associated with an acquired company;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incur debt to fund such acquisitions, such debt may subject us to material restrictions on our ability to conduct our business as well as financial maintenance covenants;</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impairment charges related to potential write-downs of acquired assets or goodwill in future acquisitions;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issue a significant amount of equity or convertible debt securities in connection with future acquisitions, existing equity holders may be diluted and earnings per share may decrease;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varying intellectual property protection strategies and other activities of an acquired company.</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may not succeed in addressing these or other risks or any other problems encountered in connection with the integration of any acquired business. The inability to integrate successfully the business, technologies, products, personnel or operations of any acquired business, or any significant delay in achieving integration, could have a material adverse effect on our business, operating results, financial condition and cash flows.</w:t>
      </w:r>
    </w:p>
    <w:p>
      <w:pPr>
        <w:spacing w:after="0" w:line="338"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which may not be available on favorable terms, if at all, causing dilution to our stockholders, restricting our operations or adversely affecting our ability to operate our business.</w:t>
      </w:r>
    </w:p>
    <w:p>
      <w:pPr>
        <w:spacing w:after="0" w:line="5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the course of running our business, we may need to raise capital, certain forms of which may cause dilution to our stockholders. If our need is due to unforeseen circumstances or material expenditures or if our operating results are worse than expected, then we cannot be certain that we will be able to obtain additional financing on favorable terms, if at all, and these additional financings could cause further dilution to our stockholders. Due to the current legal status of cannabis under U.S. federal law, we have experienced, and may in the future experience, difficulty attracting additional debt or equity financing. In addition, the current legal status of cannabis may increase the cost of capital now and in the future. Debt financing, if available, may involve agreements that include equity conversion rights, covenants limiting or restricting our ability to take specific actions, such as incurring additional debt, expending capital, or declaring dividends, or that impose financial covenants on us that limit our ability to achieve our business objectives. Debt financings may contain provisions, which, if breached, may entitle lenders to accelerate repayment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of loans, and there is no assurance that we would be able to repay such loans in such an event or prevent the foreclosure of security interests granted pursuant to such debt financing. If we need but cannot raise additional capital on acceptable terms, then we may not be able to meet our business objectives, our stock price may fall, and you may lose some or all of your investment.</w:t>
      </w:r>
    </w:p>
    <w:p>
      <w:pPr>
        <w:spacing w:after="0" w:line="176"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operating results may be harmed if we are deemed responsible for the collection and remittance of state sales taxes or other indirect taxes.</w:t>
      </w:r>
    </w:p>
    <w:p>
      <w:pPr>
        <w:spacing w:after="0" w:line="5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do not collect sales and value-added tax as part of our client agreements in the United States or Canada, based on our determination that such tax is not applicable to our platform. Sales and use, value-added and similar tax laws and rates vary greatly by jurisdiction. If we are deemed an agent for the clients on our platform under state or other applicable tax law, we may be deemed responsible for collecting and remitting sales taxes directly to certain states or jurisdictions. It is possible that one or more states or other jurisdictions could seek to impose sales, use or other tax obligations on us with regard to the ordering functionality that we offer our clients. These taxes may be applicable to past sales. In addition, the U.S. Supreme Court’s ruling in South Dakota v. Wayfair that a U.S. state may require an online retailer with no in-state property or personnel to collect and remit sales tax on sales to the state’s residents may permit wider enforcement of sales tax collection requirements, which may increase the jurisdictions in which we may be required to collect and/or remit taxes. A successful assertion that we should be collecting sales, use or other taxes or remitting such taxes directly to states or other jurisdictions could result in substantial tax liabilities for past sales and additional administrative expenses and increase the cost of our products and solutions, which could harm our business and operating results.</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potential adverse tax consequences both domestically and in foreign jurisdictions.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are subject to taxes, such as income, payroll, sales, use, value-added, property and goods and services taxes, in both the United States and various foreign jurisdictions. Our domestic and foreign tax liabilities are subject to various jurisdictional rules regarding the timing and allocation of revenue and expenses. Additionally, the amount of income taxes paid is subject to our interpretation of applicable tax laws in the jurisdictions in which we operate and to changes in tax laws. Significant judgment is required in determining our worldwide provision for income taxes and other tax liabilities. From time to time, we may be subject to income and non-income tax audits. While we believe we have complied with all applicable income tax laws, there can be no assurance that a governing tax authority will not have a different interpretation of the law and assess us with additional taxes. Should we be assessed with additional taxes, there could be a material adverse effect on our business, results of operations and financial condition. In addition, audits may require ongoing time and attention from our management, which could limit their ability to focus on other aspects of our business and impact our business in the future.</w:t>
      </w:r>
    </w:p>
    <w:p>
      <w:pPr>
        <w:spacing w:after="0" w:line="2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standards or other factors could negatively impact our future effective tax rate.</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future effective tax rate may be affected by such factors as changes in tax laws, changing interpretation of existing laws or regulations, the impact of accounting for equity-based compensation, the impact of accounting for business combinations, changes in our international organization and changes in overall levels of income before tax. In addition, in the ordinary course of our global business, there are many intercompany transactions and calculations where the ultimate tax determination is uncertain. Although we believe that our tax estimates are reasonable, we cannot ensure that the final determination of tax audits or tax disputes will not be different from what is reflected in our historical income tax provisions and accruals.</w:t>
      </w:r>
    </w:p>
    <w:p>
      <w:pPr>
        <w:spacing w:after="0" w:line="185"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and compliance in multiple jurisdictions may have a material adverse effect on our business, cash flow, financial condition or operating results.</w:t>
      </w:r>
    </w:p>
    <w:p>
      <w:pPr>
        <w:spacing w:after="0" w:line="5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are subject to the income tax laws of the United States, Canada and several other foreign jurisdictions. New income, sales, use or other tax laws, statutes, rules, regulations, or ordinances could be enacted at any time, which could affect the tax treatment of our U.S. and foreign earnings. Any new taxes could adversely affect our domestic and foreign business operations and our business and financial performance. In addition, existing tax laws, statutes, rules, regulations, or ordinances, such as Section 280E of the Code, discussed in our Annual Report on Form 10-K, could be interpreted, changed, modified or applied adversely to us. Furthermore, changes to the taxation of undistributed foreign earnings could change our future intentions regarding reinvestment of such earnings. The foregoing items could have a material adverse effect on our business, cash flow, financial condition or operating results.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Requirements as to taxation vary substantially among jurisdictions. Complying with the tax laws of these jurisdictions can be time consuming and expensive and could potentially subject us to penalties and fees in the future if we were to inadvertently fail to comply. If we were to inadvertently fail to comply with applicable tax laws, this could have a material adverse effect on our business, results of operations and financial condition.</w:t>
      </w:r>
    </w:p>
    <w:p>
      <w:pPr>
        <w:spacing w:after="0" w:line="338" w:lineRule="exact"/>
        <w:rPr>
          <w:sz w:val="20"/>
          <w:szCs w:val="20"/>
          <w:color w:val="auto"/>
        </w:rPr>
      </w:pPr>
    </w:p>
    <w:p>
      <w:pPr>
        <w:jc w:val="both"/>
        <w:ind w:left="300" w:right="2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as of December 31, 2023. If we are unable to remediate these material weaknesses or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and corrected on a timely basis. Effective internal controls are necessary for us to provide reliable financial reports and prevent fraud.</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Under the supervision of and with the participation of our management, we assessed the effectiveness of our internal control over financial reporting as of December 31, 2023, using the criteria set forth by the Committee of Sponsoring Organizations of the Treadway Commission (COSO) in Internal Control — Integrated Framework (2013). Based on management’s assessment of our internal control over financial reporting, under the criteria described in the preceding sentence, management has identified material weaknesses in internal control during the year ended December 31, 2023.</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following entity-level material weaknesses have been identified: We did not fully maintain components of the COSO framework, including elements of the control environment, risk assessment, information and communication and monitoring activities components, relating to (i) developing general control activities over technology to support the achievement of objectives across the entity, (ii) sufficiency of processes related to identifying and analyzing risks to the achievement of objectives, including technology, across the entity, and (iii) sufficiency of selecting and developing control activities that contribute to the mitigation of risks to the achievement of objectives to acceptable levels.</w:t>
      </w:r>
    </w:p>
    <w:p>
      <w:pPr>
        <w:spacing w:after="0" w:line="8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entity-level material weaknesses contributed to other material weaknesses within our system of internal control over financial reporting as follow:</w:t>
      </w:r>
    </w:p>
    <w:p>
      <w:pPr>
        <w:spacing w:after="0" w:line="54" w:lineRule="exact"/>
        <w:rPr>
          <w:sz w:val="20"/>
          <w:szCs w:val="20"/>
          <w:color w:val="auto"/>
        </w:rPr>
      </w:pPr>
    </w:p>
    <w:p>
      <w:pPr>
        <w:jc w:val="both"/>
        <w:ind w:left="1000" w:right="299" w:hanging="348"/>
        <w:spacing w:after="0" w:line="253"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information technology (IT) general controls for certain information systems supporting our key financial reporting processes. Specifically, we did not design, implement and maintain (a) change management controls to ensure that program and data changes affecting financial applications and underlying accounting records are identified, tested, authorized and implemented appropriately, (b) access controls to ensure appropriate IT segregation of duties are maintained that adequately restrict and segregate privileged access between environments which support development and production, and (c) controls to monitor on an on-going basis for the proper segregation of privileged access between environments which support development and production. As a result, IT application controls and business process controls that are dependent on the ineffective IT general controls, or that rely on data produced from systems impacted by the ineffective IT general controls, are also deemed ineffective, which affects substantially all of our financial statement account balances and disclosures.</w:t>
      </w:r>
    </w:p>
    <w:p>
      <w:pPr>
        <w:spacing w:after="0" w:line="81"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information technology (IT) general controls for certain information systems supporting our key financial reporting processes. Specifically, we did not design, implement and maintain sufficient change management, security, and operations controls for certain in-scope on-premise applications and vendor-supported applications.</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process-level controls related to the order-to-cash cycle (including revenues, accounts receivables, and deferred revenue), procure-to-pay-cycle (including operating expenses, prepaid expenses and other current assets, accounts payable and accrued expenses), capitalized software, and long-term assets. The material weakness related to the order-to-cash cycle resulted in an inadequate policy associated with our revenue recognition policies related to the cash collection of a certain subset of our customers that had been placed on a cash basis and, in turn, the restatement of our unaudited condensed consolidated financial statements in its prior three quarters reported in 2023 as of and for the three months ended March 31, 2023, six months ended June 30, 2023 and nine months ended September 30, 2023</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included in our quarterly reports on Form 10-Q for the corresponding periods. Additionally, this material weakness could result in a misstatement of any account balances or disclosures that would result in a material misstatement to the annual or interim consolidated financial statements that would not be prevented or detected.</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Additionally, these material weaknesses could result in a misstatement of any account balances or disclosures that would result in a material misstatement to the annual or interim consolidated financial statements that would not be prevented or detected.</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If we are unable to remediate these material weaknesses or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7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Management has been implementing and continues to implement measures to remediate the material weaknesses. However, until the remediation plan is implemented, tested, and deemed effective, we cannot assure that our actions will adequately remediate the material weaknesses or that additional material weaknesses in our internal controls will not be identified in the future. Additionally, these remediation measures may be time consuming and costly and there is no assurance that these initiatives will ultimately have the intended effects. For example, in the year ended December 31, 2022, we identified a material weakness in internal control related to ineffective information technology general controls in the areas of user access and program change-management over certain information technology systems that support our financial reporting processes. We took measures to remediate this material weakness and our remediation efforts concluded as of June 30, 2023 when it was affirmed such measures had been implemented. However, as of July 2023, administrative access to the sandbox environment where development activities take place was extended to users with administrative access to the production environment, thereby negating the remediation efforts taken. This access was not subject to our monthly monitoring control activity and persisted through the remainder of the year ended December 31, 2023. The lack of successful completion of our remediation efforts related to this material weakness identified for the year ended December 31, 2022 is reflected in the first bullet of our 2023 material weaknesses discussed above.</w:t>
      </w:r>
    </w:p>
    <w:p>
      <w:pPr>
        <w:spacing w:after="0" w:line="8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If we identify any new material weaknesses in the future, any such newly identified material weakness could limit our ability to prevent or detect a misstatement of our accounts or disclosures that could result in a material misstatement of our annual or interim financial statements. In such case, we may be unable to maintain compliance with securities law requirements regarding timely filing of periodic reports in addition to applicable stock exchange listing requirements. As a result, investors may lose confidence in the accuracy and completeness of our financial reporting, access to capital markets and perceptions of our creditworthiness could be adversely affected and our stock price may decline as a result. Also, the existence of any current or future material weakness could require management to devote significant time and incur significant expense to remediate any such material weakness, and management may not be able to remediate any such material weakness in a timely manner, or at all. These events could have a material and adverse effect on our business, operating results, financial condition and prospects. We cannot assure you that the measures we have taken to date, or any measures we may take in the future, will be sufficient to avoid potential future material weaknesses.</w:t>
      </w:r>
    </w:p>
    <w:p>
      <w:pPr>
        <w:spacing w:after="0" w:line="334" w:lineRule="exact"/>
        <w:rPr>
          <w:sz w:val="20"/>
          <w:szCs w:val="20"/>
          <w:color w:val="auto"/>
        </w:rPr>
      </w:pPr>
    </w:p>
    <w:p>
      <w:pPr>
        <w:jc w:val="both"/>
        <w:ind w:left="30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restatement of our prior quarterly financial statements may affect investor confidence and raise reputational issues and may subject us to additional risks and uncertainties, including increased professional costs and the increased possibility of legal proceedings and regulatory inquiries.</w:t>
      </w:r>
    </w:p>
    <w:p>
      <w:pPr>
        <w:spacing w:after="0" w:line="67" w:lineRule="exact"/>
        <w:rPr>
          <w:sz w:val="20"/>
          <w:szCs w:val="20"/>
          <w:color w:val="auto"/>
        </w:rPr>
      </w:pPr>
    </w:p>
    <w:p>
      <w:pPr>
        <w:jc w:val="both"/>
        <w:ind w:left="300" w:right="299"/>
        <w:spacing w:after="0" w:line="270" w:lineRule="auto"/>
        <w:rPr>
          <w:sz w:val="20"/>
          <w:szCs w:val="20"/>
          <w:color w:val="auto"/>
        </w:rPr>
      </w:pPr>
      <w:r>
        <w:rPr>
          <w:rFonts w:ascii="Times New Roman" w:cs="Times New Roman" w:eastAsia="Times New Roman" w:hAnsi="Times New Roman"/>
          <w:sz w:val="17"/>
          <w:szCs w:val="17"/>
          <w:color w:val="auto"/>
        </w:rPr>
        <w:t>As discussed in Note 2 to our audited consolidated financial statements included in this prospectus, we determined to restate our unaudited condensed consolidated financial statements as of and for the three months ended March 31, 2023, six months ended June 30, 2023 and nine months ended September 30, 2023 after we identified errors in the application of our revenue recognition policies related to the cash collection of a certain subset of our customers that had been placed on a cash basis. As a result of this error and the resulting restatement of our unaudited condensed consolidated financial statements for the impacted periods, we have incurred, and may continue to incur, unanticipated costs for accounting and legal fees in connection with or related to the restatement, and have become subject to a number of additional risks and uncertainties, including the increased possibility of litigation and regulatory inquiries. Any of the foregoing may affect investor confidence in the accuracy of our financial disclosures and may raise reputational risks for our business, both of which could harm our business and financial results.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w:t>
      </w:r>
    </w:p>
    <w:p>
      <w:pPr>
        <w:spacing w:after="0" w:line="119" w:lineRule="exact"/>
        <w:rPr>
          <w:sz w:val="20"/>
          <w:szCs w:val="20"/>
          <w:color w:val="auto"/>
        </w:rPr>
      </w:pPr>
    </w:p>
    <w:p>
      <w:pPr>
        <w:jc w:val="both"/>
        <w:ind w:left="300" w:right="319"/>
        <w:spacing w:after="0" w:line="284" w:lineRule="auto"/>
        <w:rPr>
          <w:sz w:val="20"/>
          <w:szCs w:val="20"/>
          <w:color w:val="auto"/>
        </w:rPr>
      </w:pPr>
      <w:r>
        <w:rPr>
          <w:rFonts w:ascii="Times New Roman" w:cs="Times New Roman" w:eastAsia="Times New Roman" w:hAnsi="Times New Roman"/>
          <w:sz w:val="18"/>
          <w:szCs w:val="18"/>
          <w:i w:val="1"/>
          <w:iCs w:val="1"/>
          <w:color w:val="auto"/>
        </w:rPr>
        <w:t>In this discussion of risks related to our organizational structure, references to “we,” “us” and “our” generally refer to WM Technology Inc.</w:t>
      </w:r>
    </w:p>
    <w:p>
      <w:pPr>
        <w:spacing w:after="0" w:line="156"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and our only material asset is our interest in WMH LLC, and we are accordingly dependent upon distributions made by WMH LLC and its subsidiaries to pay taxes, make payments under the tax receivable agreement and pay dividends.</w:t>
      </w:r>
    </w:p>
    <w:p>
      <w:pPr>
        <w:spacing w:after="0" w:line="6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are a holding company with no material assets other than our ownership of units of WMH LLC (“WMH Units”) and our managing member interest in WMH LLC. As a result, we have no independent means of generating revenue or cash flow. Our ability to pay taxes, make payments under the tax receivable agreement (the “TRA”) and pay dividends will depend on the financial results and cash flows of WMH LLC and its subsidiaries and the distributions we receive from WMH LLC. Deterioration in the financial condition, earnings or cash flow of WMH LLC and its subsidiaries for any reason could limit or impair WMH LLC’s ability to pay such distributions. Additionally, to the extent that we need funds and WMH LLC and/or any of its subsidiaries are restricted from making such distributions under applicable law or regulation or under the terms of any financing arrangements, or WMH LLC is otherwise unable to provide such funds, it could materially adversely affect our liquidity and financial condition.</w:t>
      </w:r>
    </w:p>
    <w:p>
      <w:pPr>
        <w:spacing w:after="0" w:line="80"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WMH LLC will continue to be treated as a partnership for U.S. federal income tax purposes and, as such, generally will not be subject to any entity-level U.S. federal income tax. Instead, WMH LLC’s taxable income will be allocated to holders of WMH Units, including us. Accordingly, we will be required to pay income taxes on our allocable share of any net taxable income of WMH LLC. Under the terms of the amended operating agreement, WMH LLC is obligated to make tax distributions to holders of WMH Units (including us) calculated at certain assumed tax rates. In addition to tax expenses, we will also incur expenses related to our operations, including payment obligations under the TRA agreement (and the cost of administering such payment obligations), which could be significant. We intend to cause WMH LLC to make distributions to holders of WMH Units in amounts sufficient to cover all applicable taxes (calculated at assumed tax rates), relevant operating expenses, payments under the TRA and dividends, if any, declared by us. However, as discussed below, WMH LLC’s ability to make such distributions may be subject to various limitations and restrictions including, but not limited to, restrictions on distributions that would either violate any contract or agreement to which WMH LLC is then a party, including debt agreements, or any applicable law, or that would have the effect of rendering WMH LLC insolvent. If our cash resources are insufficient to meet our obligations under the TRA and to fund our obligations, we may be required to incur additional indebtedness to provide the liquidity needed to make such payments, which could materially adversely affect our liquidity and financial condition and subject us to various restrictions imposed by any such lenders. To the extent that we are unable to make payments under the TRA for any reason, such payments will be deferred and will accrue interest until paid; provided, however, that nonpayment for a specified period may constitute a material breach of a material obligation under the TRA and therefore accelerate payments due under the TRA.</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Additionally, although WMH LLC generally will not be subject to any entity-level U.S. federal income tax, it may be liable under the Code and related guidance for adjustments to its tax return, absent an election to the contrary. In the event WMH LLC’s calculations of taxable income are incorrect, its members, including us, in later years may be subject to material liabilities pursuant to these provisions.</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Dividends on our Class A Common Stock, if any, will be paid at the discretion of our board of directors, which will consider, among other things, our business, operating results, financial condition, current and expected cash needs, plans for expansion and any legal or contractual limitations on its ability to pay such dividends. Financing arrangements may include restrictive covenants that restrict our ability to pay dividends or make other distributions to our stockholders. In addition, WMH LLC is generally prohibited under Delaware law from making a distribution to a member to the extent that, at the time of the distribution, after giving effect to the distribution, the liabilities of WMH LLC (with certain exceptions) exceed the fair value of its assets. WMH LLC’s subsidiaries are generally subject to similar legal limitations on their ability to make distributions to WMH LLC. If WMH LLC does not have sufficient funds to make distributions, our ability to declare and pay cash dividends may also be restricted or impaired.</w:t>
      </w:r>
    </w:p>
    <w:p>
      <w:pPr>
        <w:spacing w:after="0" w:line="190"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circumstances, WMH LLC will be required to make distributions to us and the other holders of WMH Units, and the distributions that WMH LLC will be required to make may be substantial.</w:t>
      </w:r>
    </w:p>
    <w:p>
      <w:pPr>
        <w:spacing w:after="0" w:line="5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As discussed above, WMH LLC will generally be required from time to time to make pro rata distributions in cash to us and the other holders of WMH Units at certain assumed tax rates in amounts that are intended to be sufficient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to cover the taxes on our and the other WMH equity holders’ respective allocable shares of the taxable income of WMH LLC. As a result of (i) potential differences in the amount of net taxable income allocable to us and the other holders of WMH Units, (ii) the lower tax rate applicable to corporations than individuals and (iii) the use of an assumed tax rate (based on the tax rate applicable to individuals) in calculating WMH LLC’s distribution obligations, we may receive tax distributions significantly in excess of our tax liabilities and obligations to make payments under the TRA. We will determine in our sole discretion the appropriate uses for any excess cash so accumulated, which may include, among other uses, dividends, the payment of obligations under the TRA and the payment of other expenses. We will have no obligation to distribute such excess cash (or other available cash other than any declared dividend) to the holders of Class A Common Stock. No adjustments to the redemption or exchange ratio of WMH Units for shares of Class A Common Stock will be made as a result of either (i) any cash dividend by us or (ii) any cash that we retain and do not distribute to our stockholders. To the extent that we do not distribute such excess cash as dividends on Class A Common Stock and instead, for example, hold such cash balances or lend them to WMH LLC, other holders of WMH Units would benefit from any value attributable to such cash balances as a result of their ownership of Class A Common Stock following a redemption or exchange of their WMH Units.</w:t>
      </w:r>
    </w:p>
    <w:p>
      <w:pPr>
        <w:spacing w:after="0" w:line="192"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required to pay the WMH LLC Class A equity holders and any other persons that become parties to the tax receivable agreement for certain tax benefits we may receive and the amounts payable may be substantial.</w:t>
      </w:r>
    </w:p>
    <w:p>
      <w:pPr>
        <w:spacing w:after="0" w:line="5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Acquisitions by us of Legacy WMH common units in the Business Combination and subsequent taxable redemptions or exchanges of Class A units representing limited liability company interests of WMH LLC (the “Class A Units”) by the WMH LLC equity holders for shares of Class A Common Stock or cash pursuant to the exchange agreement have resulted, and are expected to continue to result in, favorable tax attributes for us.</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we entered into the TRA with WMH Class A equity holders and their representative. Under the TRA, we generally are required to pay to the WMH LLC Class A equity holders, in the aggregate, 85% of the amount of cash savings, if any, in U.S. federal, state and local income tax or franchise tax that we actually realize as a result of (i) increases to the tax basis of WMH LLC’s assets resulting from acquisitions by us of Legacy WMH common units for cash in the Business Combination and taxable redemptions or exchanges of Class A Units for shares of Class A Common Stock or cash pursuant to the exchange agreement, (ii) tax benefits related to imputed interest or (iii) tax attributes resulting from payments made under the TRA. The payment obligations under the TRA are our obligations and not obligations of WMH LLC.</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payments we will be required to make under the TRA may be substantial. Potential payments will depend on the future tax savings that we will be realize (or, in certain circumstances, are deemed to realize), and the TRA payments made by us will be calculated based in part on the market value of the Class A Common Stock at the time of each redemption or exchange under the exchange agreement and the prevailing applicable tax rates applicable to us over the life of the TRA and will depend on us generating sufficient taxable income to realize the tax benefits that are subject to the TRA. Payments under the TRA are not conditioned on the WMH LLC Class A equity holders’ continued ownership of us. See Note 16, “Income Taxes,” to our audited consolidated financial statements included in this prospectus.</w:t>
      </w:r>
    </w:p>
    <w:p>
      <w:pPr>
        <w:spacing w:after="0" w:line="188"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cases, payments under the tax receivable agreement may be accelerated and/or significantly exceed the actual benefits we realize in respect of the tax attributes subject to the tax receivable agreement.</w:t>
      </w:r>
    </w:p>
    <w:p>
      <w:pPr>
        <w:spacing w:after="0" w:line="5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Payments under the TRA will be based on the tax reporting positions we determine, and the U.S. Internal Revenue Service (“IRS”) or another tax authority may challenge all or a part of the existing tax basis, tax basis increases, or other tax attributes subject to the TRA, and a court could sustain such challenge. The parties to the TRA will not reimburse us for any payments previously made if such tax basis, or other tax benefits are subsequently disallowed, except that any excess payments made to a party under the TRA will be netted against future payments otherwise to be made under the TRA, if any, after the determination of such excess.</w:t>
      </w:r>
    </w:p>
    <w:p>
      <w:pPr>
        <w:spacing w:after="0" w:line="79" w:lineRule="exact"/>
        <w:rPr>
          <w:sz w:val="20"/>
          <w:szCs w:val="20"/>
          <w:color w:val="auto"/>
        </w:rPr>
      </w:pPr>
    </w:p>
    <w:p>
      <w:pPr>
        <w:jc w:val="both"/>
        <w:ind w:left="300" w:right="299"/>
        <w:spacing w:after="0" w:line="273" w:lineRule="auto"/>
        <w:rPr>
          <w:sz w:val="20"/>
          <w:szCs w:val="20"/>
          <w:color w:val="auto"/>
        </w:rPr>
      </w:pPr>
      <w:r>
        <w:rPr>
          <w:rFonts w:ascii="Times New Roman" w:cs="Times New Roman" w:eastAsia="Times New Roman" w:hAnsi="Times New Roman"/>
          <w:sz w:val="17"/>
          <w:szCs w:val="17"/>
          <w:color w:val="auto"/>
        </w:rPr>
        <w:t>In addition, the TRA provides that if (1) we breach any of our material obligations under the TRA (including in the event that we are more than three months late making a payment that is due under the TRA, except in the case of certain liquidity exceptions) (2) we are subject to certain bankruptcy, insolvency or similar proceedings, or (3) at any time, we elect an early termination of the TRA, our obligations under the TRA (with respect to all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arising from the tax deductions, tax basis and other tax attributes subject to the TRA. The TRA also provides that, upon certain mergers, asset sales or other forms of business combination, or certain other changes of control, (x) our obligations under the TRA with respect to Class A Units that have been exchanged or redeemed prior to or in connection with such change of control transaction would accelerate and become payable in a lump sum as described above and (y) with respect to Class A Units that have not been exchanged as of such change of control transaction, our or our successor’s obligations under the TRA would be based on certain assumptions, including that we or our successor would have sufficient taxable income to fully utilize the increased tax deductions and tax basis and other benefits covered by the TRA As a result, upon any acceleration of our obligations under the TRA (including upon a change of control), we could be required to make payments under the TRA that are greater than 85% of our actual cash tax savings, which could negatively impact our liquidity. The change of control provisions in the TRA may also result in situations where the WMH LLC Class A equity holders have interests that differ from or are in addition to those of the holders of our Class A Common Stock.</w:t>
      </w:r>
    </w:p>
    <w:p>
      <w:pPr>
        <w:spacing w:after="0" w:line="8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Finally, because we are a holding company with no operations of our own, our ability to make payments under the TRA depends on the ability of WMH LLC to make distributions to us. To the extent that we are unable to make payments under the TRA for any reason, such payments will be deferred and will accrue interest until paid, which could negatively impact our results of operations and could also affect our liquidity in periods in which such payments are made.</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Additional Risks Related to the Cannabis Industry</w:t>
      </w:r>
    </w:p>
    <w:p>
      <w:pPr>
        <w:spacing w:after="0" w:line="11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Cannabis remains prohibited under federal law, and therefore, strict enforcement of federal laws regarding cannabis would likely result in our inability to execute our business plan.</w:t>
      </w:r>
    </w:p>
    <w:p>
      <w:pPr>
        <w:spacing w:after="0" w:line="4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Cannabis, other than hemp (defined by the U.S. government as </w:t>
      </w:r>
      <w:r>
        <w:rPr>
          <w:rFonts w:ascii="Times New Roman" w:cs="Times New Roman" w:eastAsia="Times New Roman" w:hAnsi="Times New Roman"/>
          <w:sz w:val="18"/>
          <w:szCs w:val="18"/>
          <w:i w:val="1"/>
          <w:iCs w:val="1"/>
          <w:color w:val="auto"/>
        </w:rPr>
        <w:t>Cannabis sativa</w:t>
      </w:r>
      <w:r>
        <w:rPr>
          <w:rFonts w:ascii="Times New Roman" w:cs="Times New Roman" w:eastAsia="Times New Roman" w:hAnsi="Times New Roman"/>
          <w:sz w:val="18"/>
          <w:szCs w:val="18"/>
          <w:color w:val="auto"/>
        </w:rPr>
        <w:t xml:space="preserve"> L. with a THC concentration of not more than 0.3% on a dry weight basis), is a prohibited controlled substance under the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is a predicate for certain other crimes, including money laundering laws and the Racketeer Influenced and Corrupt Organizations Act. The U.S. Supreme Court has ruled that the federal government has the authority to regulate and criminalize the sale, possession and use of cannabis, even for individual medical purposes, regardless of whether it is legal under state law. Since 2014, however, the U.S. government has not prioritized the enforcement of those laws against cannabis companies complying with state law and their vendors. No reversal of that policy of prosecutorial discretion is expected under a Biden administration given his actions on cannabis to date, and statements of Attorney General Merrick Garland discussed further below, although prosecutions against state-legal entities cannot be ruled out entirely at this time.</w:t>
      </w:r>
    </w:p>
    <w:p>
      <w:pPr>
        <w:spacing w:after="0" w:line="8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On January 4, 2018, then U.S. Attorney General Jeff Sessions issued a memorandum for all U.S. Attorneys (the “Sessions Memo”) rescinding certain past DOJ memoranda on cannabis law enforcement, including the Memorandum by former Deputy Attorney General James Michael Cole (the “Cole Memo”) issued on August 29, 2013, under the Obama administration. Describing the criminal enforcement of federal cannabis prohibitions against those complying with state cannabis regulatory systems as an inefficient use of federal investigative and prosecutorial resources, the Cole Memo gave federal prosecutors discretion not to prosecute state law compliant cannabis companies in states that were regulating cannabis, unless one or more of eight federal priorities were implicated, including use of cannabis by minors, violence, or the use of federal lands for cultivation. The Sessions Memo, which remains in effect, states that each U.S. Attorney’s Office should follow established principles that govern all federal prosecutions when deciding which cannabis activities to prosecute. As a result, federal prosecutors could and still can use their prosecutorial discretion to decide to prosecute even state legal cannabis activities. Since the Sessions Memo was issued over five years ago, however, U.S. Attorneys have generally not prioritized the targeting of state law compliant entities. In March 2023, Attorney General Merrick Garland testified in a Congressional hearing that the Department of Justice was continuing its work on a new memorandum regarding cannabis enforcement. Garland stated that the policy will be “very close to what was done in the Cole memorandum” but was yet to be finalized. Though no official timeline has been announced, industry participants expect such a memorandum to be issued in 2024.</w:t>
      </w:r>
    </w:p>
    <w:p>
      <w:pPr>
        <w:spacing w:after="0" w:line="8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cannot assure that each U.S. Attorney’s Office in each judicial district where we operate will not choose to enforce federal laws governing cannabis sales against state-legal companies like our business clients. The basis for the federal government’s lack of recent enforcement with respect to the cannabis industry extends beyond the strong public sentiment and ongoing prosecutorial discretion. Since 2014, versions of the U.S. omnibus spending bill have included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 provision prohibiting the DOJ, which includes the DEA, from using appropriated funds to prevent states from implementing their medical-use cannabis laws (formerly known as the Rohrabacher-Bluemnauer Amendment, and now known as the Joyce Amendment). In 2021, President Joe Biden became the first president to propose a budget with the Joyce amendment included. The amendment most recently was renewed through the signing of the stopgap spending bill. While the Joyce Amendment has continuously been renewed since its inception with little fanfare, there is no assurance that Congress will approve inclusion of a similar prohibition on DOJ spending in future appropriations bills.</w:t>
      </w:r>
    </w:p>
    <w:p>
      <w:pPr>
        <w:spacing w:after="0" w:line="7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USA vs. McIntosh</w:t>
      </w:r>
      <w:r>
        <w:rPr>
          <w:rFonts w:ascii="Times New Roman" w:cs="Times New Roman" w:eastAsia="Times New Roman" w:hAnsi="Times New Roman"/>
          <w:sz w:val="18"/>
          <w:szCs w:val="18"/>
          <w:color w:val="auto"/>
        </w:rPr>
        <w:t>, the U.S. Court of Appeals for the Ninth Circuit held that the provision prohibits the DOJ from spending funds to prosecute individuals who engage in conduct permitted by state medical-use cannabis laws and who strictly comply with such laws. The court noted that, if the spending bill provision were not continued, prosecutors could enforce against conduct occurring during the statute of limitations even while the provision was previously in force. Other courts that have considered the issue have ruled similarly, although courts disagree about which party bears the burden of proof of showing compliance or noncompliance with state law. Our policies do not prohibit our state-licensed cannabis retailers from engaging in the cannabis business for adult use that is permissible under state and local laws. Consequently, certain of our retailers currently (and may in the future) sell adult-use cannabis, if permitted by such state and local laws now or in the future, and therefore may be outside any protections extended to medical-use cannabis under the spending bill provision. This could subject our clients to greater and/or different federal legal and other risks as compared to businesses where cannabis is sold exclusively for medical use, which could in turn materially adversely affect our business. Furthermore, any change in the federal government’s enforcement posture with respect to state licensed cannabis sales, including the enforcement postures of individual federal prosecutors in judicial districts where we operate, would result in our inability to execute our business plan, and we would likely suffer significant losses with respect to client base, which would adversely affect our operations, cash flow and financial condition.</w:t>
      </w:r>
    </w:p>
    <w:p>
      <w:pPr>
        <w:spacing w:after="0" w:line="8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Additionally, financial transactions involving proceeds generated by cannabis-related conduct can form the basis for prosecution under the federal money laundering statutes, unlicensed money transmitter statutes and the Bank Secrecy Act of 1970, as amended (the “Bank Secrecy Act”). The penalties for violation of these laws include imprisonment, substantial fines and forfeiture. Prior to the DOJ’s rescission of the Cole Memo, supplemental guidance from the DOJ issued under the Obama Administration directed federal prosecutors to consider the federal enforcement priorities enumerated in the Cole Memo when determining whether to charge institutions or individuals with any of the financial crimes described above based upon cannabis-related activity. With the rescission of the Cole Memo, there is increased uncertainty and added risk that federal law enforcement authorities could seek to pursue money laundering charges against entities or individuals engaged in supporting the cannabis industry.</w:t>
      </w:r>
    </w:p>
    <w:p>
      <w:pPr>
        <w:spacing w:after="0" w:line="8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Federal prosecutors have significant discretion and no assurance can be given that the federal prosecutor in each judicial district where we operate will not choose to strictly enforce the federal laws governing cannabis production or distribution. Any change in the federal government’s enforcement posture with respect to state-licensed cultivation of cannabis, including the enforcement postures of individual federal prosecutors in judicial districts where we operate, would result in our inability to execute our business plan, and we would likely suffer significant losses with respect to our investment in cannabis facilities in the United States. Furthermore, following any such change in the federal government’s enforcement position, we could be subject to prosecution, which could lead to imprisonment and/or the imposition of penalties, fines, or forfeiture.</w:t>
      </w:r>
    </w:p>
    <w:p>
      <w:pPr>
        <w:spacing w:after="0" w:line="84"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During his campaign, President Biden promised federal reform on cannabis, including decriminalization generally. In 2022, President Biden signed into law the “Medical Marijuana and Cannabidiol Research Expansion Act,” a bill aimed at easing restrictions on cannabis research – bipartisan legislation which is the first standalone cannabis reform bill to pass both the House and Senate. Additionally, on October 6, 2022, President Biden issued a presidential proclamation pardoning federal convictions for simple marijuana possession offenses, encouraging state governors to do the same on the state level where permissible, and requesting that the Secretary of Health and Human Services (“HHS”) and the Attorney General initiate an administrative process to review cannabis’s Schedule I classification under the CSA. On August 29, 2023, HHS issued a letter to the DEA recommending that cannabis be reclassified as a Schedule III controlled substance under the CSA. On May 16, 2024, President Biden announced that the U.S. Attorney General initiated proceedings to transfer cannabis from Schedule I to Schedule III, through an NPRM published on May 21, 2024. This is a momentous change whose full implications are currently unknown. The DEA’s decision to reclassify cannabis would neither legalize nor likely eliminate current state cannabis programs. If placed under Schedule III, cannabis will remain a controlled substance and state-legal programs will continue to operate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outside of federally legal channels in their distribution of the substance particularly because no state operator holds a DEA registration to possess or distribute cannabis. However, some fear that the DEA or FDA may impose additional requirements or begin to target enforcement of state cannabis programs. If our clients are ultimately negatively impacted by rescheduling, we would likely be unable to execute our business plan, and our business and financial results would be adversely affected.</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Additionally, although the current U.S. Attorney General is expected to issue policy guidance to federal prosecutors that they should not interfere with cannabis businesses operating in compliance with states’ laws, any such guidance would not have the force of law, and could not be enforced by the courts. The President alone cannot legalize medical cannabis, and as states have demonstrated, legalizing medical cannabis can take many different forms.</w:t>
      </w:r>
    </w:p>
    <w:p>
      <w:pPr>
        <w:spacing w:after="0" w:line="7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On January 20, 2021, President Biden formally nominated Merrick Garland to his cabinet as the U.S. Attorney General. Confirmation hearings for Attorney General Garland began on February 22, 2021. On the first date of his confirmation hearing, Attorney General Garland stated that he did not see enforcement of federal cannabis law as a high priority use of resources for the DOJ: “This is a question of the prioritization of our resources and prosecutorial discretion. It does not seem to me a useful use of limited resources that we have, to be pursuing prosecutions in states that have legalized and that are regulating the use of marijuana, either medically or otherwise. I don’t think that’s a useful use. I do think we need to be sure there are no end-runs around the state laws that criminal enterprises are doing. So that kind of enforcement should be continued. But I don’t think it’s a good use of our resources, where states have already authorized. That only confuses people, obviously, within the state.” In April 2022, Attorney General Garland reiterated that prosecuting the possession of cannabis is “not an efficient use” of federal resources, especially “given the ongoing opioid and methamphetamine epidemic[s]” facing the nation. And, in March 2023, Attorney General Garland testified that the Department of Justice was continuing its progress on a new cannabis enforcement guidance, which he described as “very close to what was done in the Cole memorandum.” While the statement is not a promise to avoid federal interference with state cannabis laws, it does continue to signal that the enforcement priorities of DOJ lie elsewhere.</w:t>
      </w:r>
    </w:p>
    <w:p>
      <w:pPr>
        <w:spacing w:after="0" w:line="8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Furthermore, while industry observers are hopeful that there will continue to be incremental federal cannabis policy reform, we cannot provide assurances about the content, timing or chances of passage of a bill legalizing cannabis. In recent years, members of the U.S. Congress from both parties have introduced bills to end the federal cannabis prohibition, by de-scheduling cannabis completely and regulating it, as well as incremental reform bills, including the “Medical Marijuana and Cannabidiol Research Expansion Act” described above. While the timing of federal reform remains unknown, it is expected that federal policy on cannabis will continue becoming more, rather than less, permissive, and legislative efforts to legalize cannabis or cannabis banking at the national level are likely to continue in 2024. However, the outcome of the 2024 presidential election could impact reform in ways that are unpredictable. Accordingly, we cannot predict the timing of any change in federal law or possible changes in federal enforcement. In the unlikely event that the federal government were to reverse its long-standing hands-off approach to the state legal cannabis markets and start more broadly enforcing federal law regarding cannabis, we would likely be unable to execute our business plan, and our business and financial results would be adversely affected.</w:t>
      </w:r>
    </w:p>
    <w:p>
      <w:pPr>
        <w:spacing w:after="0" w:line="186"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our clients are subject to a variety of U.S. and foreign laws regarding financial transactions related to cannabis, which could subject our clients to legal claims or otherwise adversely affect our business.</w:t>
      </w:r>
    </w:p>
    <w:p>
      <w:pPr>
        <w:spacing w:after="0" w:line="5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and our clients are subject to a variety of laws and regulations in the United States regarding financial transactions. Violations of the U.S. anti-money laundering (“AML”) laws require proceeds from enumerated criminal activity, which includes trafficking in cannabis in violation of the CSA. Financial institutions that both we and our clients rely on are subject to the Bank Secrecy Act, as amended by Title III of the USA Patriot Act. In Canada, the Proceeds of Crime (Money Laundering) and Terrorist Financing Act (Canada), as amended and the rules and regulations thereunder and the Criminal Code (Canada) apply. The penalties for violation of these laws include imprisonment, substantial fines and forfeiture.</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2014, the DOJ under the Obama administration directed federal prosecutors to exercise restraint in prosecuting AML violations arising in the state legal cannabis programs and to consider the federal enforcement priorities enumerated in the Cole Memo when determining whether to charge institutions or individuals based upon cannabis-related activity. Around the same time, the Treasury Department issued guidance that clarified how financial institutions can provide services to cannabis-related businesses, consistent with financial institutions’ obligations under the Bank Secrecy Act. Then-Attorney General Sessions’ rescission of the DOJ’s guidance on the state cannabis programs in early 2018 increased uncertainty and heightened the risk that federal law enforcement authorities could seek to pursue money laundering charges against entities, or individuals, engaged in supporting the cannabis industry.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January 31, 2018, the Treasury Department issued additional guidance that the 2014 Guidance would remain in place until further notice, despite the rescission of the DOJ’s earlier guidance memoranda. A detailed description of current U.S. policy and the legal status of cannabis, including President Biden’s stance on cannabis enforcement and current and foreseeable decriminalization and legalization initiatives, can be found in the “U.S. and Territories” section.</w:t>
      </w:r>
    </w:p>
    <w:p>
      <w:pPr>
        <w:spacing w:after="0" w:line="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are subject to a variety of laws and regulations in the United States, Canada and elsewhere that prohibit money laundering, including the Proceeds of Crime and Terrorist Financing Act (Canada) and the Money Laundering Control Act (U.S.), as amended, and the rules and regulations thereunder and any related or similar rules, regulations or guidelines issued, administered or enforced by governmental authorities in the United States, Canada or any other jurisdiction in which we have business operations or to which we export our offerings. If any of our clients’ business activities, any dividends or distributions therefrom, or any profits or revenue accruing thereby are found to be in violation of money laundering statutes, our clients could be subject to criminal liability and significant penalties and fines. Any violations of these laws, or allegations of such violations, by our clients could disrupt our operations and involve significant management distraction and expenses. As a result, a significant number of our clients facing money laundering charges could materially affect our business, operations and financial condition. Additionally, proceeds from our clients’ business activities, including payments we have received from those clients, could be subject to seizure or forfeiture if they are found to be illegal proceeds of a crime transmitted in violation of anti-money laundering laws, which could have a material adverse effect on our business. Finally, if any of our clients are found to be violating the above statutes, this could have a material adverse effect on their ability to access or maintain financial services, as discussed in detail below, which could, in turn, have a material adverse effect on our business.</w:t>
      </w:r>
    </w:p>
    <w:p>
      <w:pPr>
        <w:spacing w:after="0" w:line="191"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banking relations, and we may have difficulty accessing or consistently maintaining banking or other financial services due to our connection with the cannabis industry.</w:t>
      </w:r>
    </w:p>
    <w:p>
      <w:pPr>
        <w:spacing w:after="0" w:line="5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Although we do not grow or sell cannabis products, our general connection with the cannabis industry may hamper our efforts to do business or establish collaborative relationships with others that may fear disruption or increased regulatory scrutiny of their own activities.</w:t>
      </w:r>
    </w:p>
    <w:p>
      <w:pPr>
        <w:spacing w:after="0" w:line="68"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are dependent on the banking industry to support the financial functions of our products and solutions. Our business operating functions including payroll for our employees and other expenses are reliant on traditional banking. Additionally, many of our clients pay us via wire transfer to our bank accounts, or via checks that we deposit into our banks. We require access to banking services for both us and our clients to receive payments in a timely manner. Lastly, to the extent we rely on any lines of credit, these could be affected by our relationships with financial institutions and could be jeopardized if we lose access to a bank account. Important components of our offerings depend on client accounts and relationships, which in turn depend on banking functions. Most federal and federally-insured state banks currently do not serve businesses that grow and sell cannabis products on the stated ground that growing and selling cannabis is illegal under federal law, even though the Treasury Department’s Financial Crimes Enforcement Network (“FinCEN”), issued guidelines to banks in February 2014 that clarified how financial institutions can provide services to cannabis-related businesses, consistent with financial institutions’ obligations under the Bank Secrecy Act. While the federal government has generally not initiated financial crimes prosecutions against state-law compliant cannabis companies or their vendors, the government theoretically could, at least against companies in the adult-use markets. The continued uncertainty surrounding financial transactions related to cannabis activities and the subsequent risks this uncertainty presents to financial institutions may result in their discontinuing services to the cannabis industry or limit their ability to provide services to the cannabis industry or ancillary businesses providing services to the cannabis industry.</w:t>
      </w:r>
    </w:p>
    <w:p>
      <w:pPr>
        <w:spacing w:after="0" w:line="85" w:lineRule="exact"/>
        <w:rPr>
          <w:sz w:val="20"/>
          <w:szCs w:val="20"/>
          <w:color w:val="auto"/>
        </w:rPr>
      </w:pPr>
    </w:p>
    <w:p>
      <w:pPr>
        <w:jc w:val="both"/>
        <w:ind w:left="300" w:right="299"/>
        <w:spacing w:after="0" w:line="270" w:lineRule="auto"/>
        <w:rPr>
          <w:sz w:val="20"/>
          <w:szCs w:val="20"/>
          <w:color w:val="auto"/>
        </w:rPr>
      </w:pPr>
      <w:r>
        <w:rPr>
          <w:rFonts w:ascii="Times New Roman" w:cs="Times New Roman" w:eastAsia="Times New Roman" w:hAnsi="Times New Roman"/>
          <w:sz w:val="17"/>
          <w:szCs w:val="17"/>
          <w:color w:val="auto"/>
        </w:rPr>
        <w:t>As a result of federal-level illegality and the risk that providing services to state-licensed cannabis businesses poses to banks, cannabis-related businesses face difficulties accessing banks that will provide services to them. When cannabis businesses are able to find a bank that will provide services, they face extensive client due diligence in light of complex state regulatory requirements and guidance from FinCEN, and these reviews may be time-consuming and costly, potentially creating additional barriers to financial services for, and imposing additional compliance requirements on, us and our clients. FinCEN requires a party in trade or business to file with the IRS, a Form 8300 report within 15 days of receiving a cash payment of over $10,000. While we receive very few cash payments for the products we sell, if we fail to comply with these laws and regulations, the imposition of a substantial penalty could have a material adverse effect on our business, results of operations and financial condition. We cannot assure that our strategies and techniques for designing our products and solutions for our clients will operate effectively and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efficiently and not be adversely impacted by any refusal or reluctance of banks to serve businesses that grow and sell cannabis products. A change in banking regulations or a change in the position of the banking industry that permits banks to serve businesses that grow and sell cannabis products may increase competition for us, facilitate new entrants into the industry offering products or solutions similar to those that we offer, or otherwise adversely affect our results of operations. Also, the inability of potential clients in our target market to open accounts and otherwise use the services of banks or other financial institutions may make it difficult for us to conduct business, including receiving payments in a timely manner.</w:t>
      </w:r>
    </w:p>
    <w:p>
      <w:pPr>
        <w:spacing w:after="0" w:line="8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do not sell cannabis, or products that contain cannabis; accordingly, our company is not part of the cannabis industry that generally has been restricted from using federal and federally insured banks. However, because of “weed” in our name and the fact that our revenue is generated largely from companies licensed as operators in the cannabis industry, banks have and may continue to consider us to be subject to banking restrictions related to cannabis. If we were to lose any of our banking relationships or fail to secure additional banking relationships in the future, we could experience difficulty and incur increased costs in the administration of our business, paying our employees, accepting payments from clients, each of which may adversely affect our reputation or results of operations. Additionally, the closure of many or one of our bank accounts due to a bank’s reluctance to provide services to a business working with state legal cannabis businesses would require significant management attention from us and could materially adversely affect our business and operations. In addition to banks and financial institutions, merchant processors may take a similar view of the risks of working with us since we provide services to cannabis businesses, and loss of any of our merchant processor relationships could have similar results. Moreover, Visa and Mastercard currently prohibit processing of transactions involving the sale of cannabis on their networks, and Mastercard has reportedly issued cease-and-desist letters to certain banks and payment processors to stop allowing such transactions on its debit cards. Although consumers cannot currently purchase products on the Weedmaps marketplace and we do not currently use, nor have we historically used, any of our merchant processing relationships to process payments for cannabis transactions, to the extent Visa or Mastercard extend these restrictions to cannabis-related businesses, our merchant processing relationships could be terminated, or we could be prevented from processing any Visa or Mastercard transactions, which could have a material adverse effect on our business and results of operations. Furthermore, our clients may be adversely impacted by Visa’s or Mastercard’s policies, which could in turn have a material adverse effect on our business and results of operations.</w:t>
      </w:r>
    </w:p>
    <w:p>
      <w:pPr>
        <w:spacing w:after="0" w:line="184"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Participating in transactions involving proceeds derived from cannabis may constitute criminal money laundering.</w:t>
      </w:r>
    </w:p>
    <w:p>
      <w:pPr>
        <w:spacing w:after="0" w:line="5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Participating in transactions involving proceeds derived from cannabis may constitute criminal money laundering. It is a federal crime to engage in certain transactions involving the proceeds of a “specified unlawful activity” (a “SUA”) when those transactions are designed to promote an underlying SUA, or conceal the source of the funds. Violations of the CSA and violations of a state’s laws may be deemed to be SUAs. In the event that any of our investments, or any proceeds thereof, any dividends or distributions therefrom, or any profits or revenues were found to be in violation of anti-money laundering legislation or otherwise, such transactions may be viewed as proceeds of crime under one or more of statutes of the United States or any other applicable jurisdiction. This could restrict or otherwise jeopardize our ability to declare or pay dividends, effect other distributions, or subsequently require us to repatriate such funds back to the United States from Canada or other foreign jurisdictions.</w:t>
      </w:r>
    </w:p>
    <w:p>
      <w:pPr>
        <w:spacing w:after="0" w:line="8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If any of our clients’ business activities, any dividends or distributions therefrom, or any profits or revenue accruing thereby are found to be in violation of money laundering statutes, we and our investors could be subject to criminal liability and significant penalties and fines. Any violations of these laws, or allegations of such violations could disrupt our operations and involve significant management distraction and expenses. Facing money laundering charges could materially affect our business, operations and financial condition. Additionally, proceeds from our clients’ business activities, if found to be in violation of anti-money laundering laws, could subject payments we have received from those clients to seizure or forfeiture, if they are found to be illegal proceeds of a crime committed by a client, which could have a material adverse effect on our business and our investors. Finally, if we or any of our clients are found to be violating the above statutes, this could have a material adverse effect on our ability to access or maintain financial services, as discussed in detail below, which could, in turn, have a material adverse effect on our business.</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using bankruptcy courts due to our involvement in the regulated cannabis industry.</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We currently have no need or plans to seek bankruptcy protection. U.S. courts have held that debtors whose income is derived from cannabis or cannabis assets in violation of the CSA cannot seek federal bankruptcy protections.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Although we are not in the business of growing or processing cannabis or selling or even possessing cannabis or cannabis products, a U.S. court could determine that our revenue is derived from cannabis or cannabis assets and prevent us from obtaining bankruptcy protections if necessary.</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conduct of third parties may jeopardize our business.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cannot guarantee that our systems, protocols and practices will prevent all unauthorized or illegal activities by our clients. Our success depends in part on our clients’ ability to operate consistently with the regulatory and licensing requirements of each state, local and regional jurisdiction in which they operate. We have a dedicated Policy &amp; Compliance Operations team that reviews cannabis license information for operational cannabis retail clients, both on submission and on an ongoing basis, to ensure validity and accuracy. We require all operational cannabis retailer clients, including storefronts and delivery services, to display on their WMH listing a valid, unexpired state-issued license number. For certain of our products or services, we request additional verification and documentation. We cannot ensure that the conduct of our clients, who are third parties, and their actions could expose them to legal sanctions and costs, which would in turn, adversely affect our business and operations.</w:t>
      </w:r>
    </w:p>
    <w:p>
      <w:pPr>
        <w:spacing w:after="0" w:line="2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conduct of third parties may jeopardize our regulatory compliance.</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While we are a technology company, not a cannabis licensee, and as such, are not subject to commercial cannabis regulations that apply to cannabis operators, we cannot guarantee that our systems, protocols and practices will prevent any and all unauthorized or illegal activities by our clients. Our success depends in part on our clients’ ability to operate consistently with the regulatory and licensing requirements of each state, local and regional jurisdiction in which they operate. Despite the procedures and protocols in place for license verification by our Policy &amp; Compliance Operations team, any non-compliance by our clients could put our business at risk, as discussed herein, and could also subject us to potential actions by state regulators, to the extent they could be applied to technology service providers, which could materially adversely affect our business, operations, financial condition, brand and reputation.</w:t>
      </w:r>
    </w:p>
    <w:p>
      <w:pPr>
        <w:spacing w:after="0" w:line="184"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FDA regulation of adult-use and medical-use cannabis, as well as e-cigarettes and other vaping products, could negatively affect the cannabis industry, which would directly affect our financial condition.</w:t>
      </w:r>
    </w:p>
    <w:p>
      <w:pPr>
        <w:spacing w:after="0" w:line="5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Should the federal government legalize cannabis for adult-use and/or medical-use, it is possible that the U.S. Food and Drug Administration (the “FDA”) would seek to regulate it under the Food, Drug and Cosmetics Act of 1938, as it has with federally legal hemp. Additionally, the FDA may issue rules and regulations including certified good manufacturing practices related to the growth, cultivation, harvesting and processing of adult-use and medical-use cannabis. Clinical trials may be needed to verify efficacy and safety. It is also possible that the FDA would require that facilities where adult-use and medical-use cannabis is grown register with the FDA and comply with certain federally prescribed regulations.</w:t>
      </w:r>
    </w:p>
    <w:p>
      <w:pPr>
        <w:spacing w:after="0" w:line="8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as a result of the recent lung injuries and deaths associated with e-cigarettes and other vaping products, the FDA and the U.S. Centers for Disease Control and Prevention (the “CDC”) have warned consumers not to use vaping products containing tetrahydrocannabinol (“THC”). While the FDA and the CDC continue to conduct ongoing investigations, it is currently unknown when and whether the FDA will impose additional rules and regulations on e-cigarettes and other vaping products.</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the event that some or all of these regulations are imposed, we do not know what the impact would be on the adult-use and medical-use cannabis industry, including what costs, requirements and possible prohibitions may be enforced. If our clients are unable to comply with any new rules, regulations or registration as prescribed by the FDA, or are unable to do so in a cost-effective manner, our clients may be unable to continue to operate their respective business in its current form, or at all, which may also result in our clients being unable to continue engaging our technology services.</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Synthetic or hemp-derived products may compete with cannabis use and products.</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The hemp and pharmaceutical industry may attempt to compete with or dominate the cannabis industry, and in particular, legal cannabis, through the development and distribution of hemp-derived or synthetic products which emulate the effects and treatment of cannabis. If they are successful, the widespread popularity of such products could change the demand, volume and profitability of the cannabis industry. This could adversely affect the ability of our clients to secure long-term profitability and success.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Recently, there has been a proliferation of the extraction of delta-8-THC and other intoxicating cannabinoids from industrial hemp and infusion of these isomers into various saleable and finished products. Utilizing the legality of industrial hemp under U.S. federal law, many such products are available for sale through unlicensed channels and are shipped in interstate commerce. Additionally, some hemp companies sell hemp-derived THC products with state authorization. Given the similar intoxicating effects to cannabis-derived THC, which is an illegal substance under the CSA, and its substantially lower price point, patients and consumers may choose to consume hemp-derived products in lieu of cannabis-derived products. In light of the substantial investment our clients have made and continue to make in state-licensed cannabis facilities, the widespread use of hemp-derived THC or synthetic products could adversely impact our clients, which could, in turn, have a material adverse effect on our business and results of operations.</w:t>
      </w:r>
    </w:p>
    <w:p>
      <w:pPr>
        <w:spacing w:after="0" w:line="190"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believe that Section 230(c)(1) of the Communications Decency Act (“CDA”) provides immunity from civil and state criminal liability, but it is possible that it does not.</w:t>
      </w:r>
    </w:p>
    <w:p>
      <w:pPr>
        <w:spacing w:after="0" w:line="5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believe that Section 230(c)(1) provides immunity from civil and state criminal liability to internet service provider intermediaries in the United States, such as us, for content provided on their platforms that they did not create or develop. We do not create or develop the information that appears on our clients’ listing pages and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website, such as WM News, WM Learn and WM Policy. All of these sections are general news and information, and none of these sections are advertisements for, or listing pages of, cannabis businesses, except in limited circumstances related to descriptions of certain cannabis strains. For additional information about Section 230, see the section captioned “Risk Factors—Risks Related to our Business and Industry.” Our clients are subject to licensing and related requirements under applicable laws and regulations, and our own compliance policies, and some of our clients currently and in the future may not be in compliance with all such requirements. Despite our belief that we are protected by Section 230, it is possible that we are not, which would subject us to legal, business and operational risks. In addition, there have been various Congressional efforts to restrict the scope of the protections available to online platforms under Section 230 of the CDA, and our current protections from liability for third-party content in the United States could decrease or change. We could incur significant costs investigating and defending such claims and, if we are found liable, significant damages. We could also face fines or orders restricting or blocking our services in particular geographies as a result of content hosted on our services. For example, recently enacted legislation in Germany may impose significant fines for failure to comply with certain content removal and disclosure obligations.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continue to be subject to constraints on marketing our products.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Certain of the states in which we operate have enacted strict regulations regarding marketing and sales activities on cannabis products, which could affect our cannabis retail clients’ demand for our listing and marketing services. There may be restrictions on sales and marketing activities of cannabis businesses imposed by government regulatory bodies that can hinder the development of our business and operating results because of the restrictions our clients face. If our clients are unable to effectively market our products and compete for market share, or if the costs of compliance with government legislation and regulation cannot be absorbed through increased selling prices for our products for our clients, this could hamper demand for our products and services from licensed cannabis retailers, which could result in a loss of revenue.</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Cannabis businesses are subject to unfavorable U.S. tax treatment.</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Until and unless cannabis is rescheduled to Schedule III, Section 280E of the Code may continue to apply to cannabis and does not allow any deduction or credit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beyond costs of goods sold and asserting assessments and penalties for additional taxes owed. Section 280E may have a lesser impact on cannabis cultivation and manufacturing operations than on sales operations, which directly affects our clients, who are cannabis retailers. However, Section 280E and related IRS enforcement activity have had a significant impact on the operations of all cannabis companies. While the Section does not directly affect our Company, it lowers our clients’ profitability, and could result in decreased demand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for our listing and marketing services. An otherwise profitable cannabis business may operate at a loss after taking into account its U.S. income tax expenses. This affects us because our sales and operating results could be adversely affected if our clients decrease their marketing budgets and are operating on lower profit margins as a result of unfavorable treatment by the Code.</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Service providers to cannabis businesses may also be subject to unfavorable U.S. tax treatment.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discussed above, under Section 280E of the Code, no deduction or credit is allowed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and asserting assessments and penalties for additional taxes owed. While we do believe that Section 280E does not apply to our business, or ancillary service providers that work with state-licensed cannabis businesses, if the IRS interprets the section to apply, it would significantly and materially affect our profitability and financial condition.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Cannabis businesses may be subject to civil asset forfeiture.</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Any property owned by participants in the cannabis industry used in the course of conducting such business, or that represents proceeds of such business or is traceable to proceeds of such business, could be subject to seizure by law enforcement and subsequent civil asset forfeiture because of the illegality of the cannabis industry under federal law. Even if the owner of the property or the assets is never charged with a crime, the property in question could still be seized and subject to an administrative proceeding by which, with minimal due process, it could be subject to forfeiture. Forfeiture of assets of our cannabis business clients could adversely affect our revenues if it impedes their profitability or operations and our clients’ ability to continue to subscribe to our services.</w:t>
      </w:r>
    </w:p>
    <w:p>
      <w:pPr>
        <w:spacing w:after="0" w:line="185"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our involvement in the cannabis industry, we may have a difficult time obtaining the various insurances that are desired to operate our business, which may expose us to additional risk and financial liability.</w:t>
      </w:r>
    </w:p>
    <w:p>
      <w:pPr>
        <w:spacing w:after="0" w:line="5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Insurance that is otherwise readily available, such as general liability and directors’ and officers’ insurance, is more difficult for us to find and is more expensive or contains significant exclusions because our clients are cannabis industry participants. There are no guarantees that we will be able to find such insurance coverage in the future or that the cost will be affordable to us. If we are forced to go without such insurance coverage, it may prevent us from entering into certain business sectors, may inhibit our growth, and may expose us to additional risk and financial liabilities. If we experience an uninsured loss, it may result in loss of anticipated cash flow and could materially adversely affect our results of operations, financial condition and business.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There may be difficulty enforcing certain of our commercial agreements and contracts.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Courts will not enforce a contract deemed to involve a violation of law or public policy. Because cannabis remains illegal under U.S. federal law, parties to contracts involving the state legal cannabis industry have argued that the agreement was void as federally illegal or against public policy. Some courts have accepted this argument in certain cases, usually against the company trafficking in cannabis. While courts have enforced contracts related to activities by state-legal cannabis companies, and the trend is generally to enforce contracts with state-legal cannabis companies and their vendors, there remains doubt and uncertainty that we will be able to enforce our commercial agreements in court for this reason. We cannot be assured that we will have a remedy for breach of contract, which would have a material adverse effect on our business.</w:t>
      </w:r>
    </w:p>
    <w:p>
      <w:pPr>
        <w:spacing w:after="0" w:line="188"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directors, officers, employees and investors who are not U.S. citizens may face constraints on cross-border travel into the United States.</w:t>
      </w:r>
    </w:p>
    <w:p>
      <w:pPr>
        <w:spacing w:after="0" w:line="5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Because cannabis remains illegal under U.S. federal law, non-U.S. citizens employed at or investing in companies doing business in the state legal cannabis industry could face detention, denial of entry or lifetime bans from the United States for their business associations with cannabis businesses. Entry to the United States happens at the sole discretion of the officers on duty of the U.S. Customs and Border Protection (“CBP”), and these officers have wide latitude to ask questions to determine the admissibility of a foreign national. The government of Canada has started warning travelers on its website that previous use of cannabis, or any substance prohibited by U.S. federal laws, could mean denial of entry to the United States. Business or financial involvement in the legal cannabis industry in Canada or in the United States could also be grounds for U.S. border guards to deny entry. On September 21, 2018, CBP released a statement outlining its current position with respect to enforcement of the laws of the United States. It stated that Canada’s legalization of cannabis will not change CBP enforcement of U.S. laws regarding controlled substances and because cannabis continues to be a controlled substance under U.S. federal law, working in or facilitating the proliferation of the legal marijuana industry in U.S. states where it is deemed legal or in Canada may affect admissibility to the United States. CBP updated its stated policy on October 9, 2018 to clarify that a Canadian citizen coming to the United States for reasons unrelated to the cannabis industry will generally be admissible to the United States.</w:t>
      </w:r>
    </w:p>
    <w:p>
      <w:pPr>
        <w:spacing w:after="0" w:line="8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a result, CBP has affirmed that employees, directors, officers, managers and investors of companies involved in business activities related to cannabis in the United States or Canada (such as us), who are not U.S. citizens, face the risk of being barred from entry into the United States for life. On October 9, 2018, CBP released an additional policy statement indicating that Canadian citizens working in or facilitating the proliferation of the legal cannabis industry in Canada, if travelling to the United States for reasons unrelated to the cannabis industry, will generally be admissible. However, if the traveler is found to be entering into the United States for reasons related to the cannabis industry, he or she may be deemed inadmissible. Ultimately, travel restrictions imposed on our directors, officers, employees and investors could impair our ability to conduct business and to freely explore new strategic relationships.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Ownership of Our Securities</w:t>
      </w:r>
    </w:p>
    <w:p>
      <w:pPr>
        <w:spacing w:after="0" w:line="11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among our existing executive officers, directors and their respective affiliates may prevent new investors from influencing significant corporate decisions.</w:t>
      </w:r>
    </w:p>
    <w:p>
      <w:pPr>
        <w:spacing w:after="0" w:line="5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As of November 29, 2024, our affiliates, executive officers, directors and their respective affiliates as a group beneficially own approximately 22.3% of our outstanding Class A Common Stock and Class V Common Stock. As a result, these stockholders are able to exercise a significant level of control over all matters requiring stockholder approval, including the election of directors, amendment of our Certificate of Incorporation and approval of significant corporate transactions. This control could have the effect of delaying or preventing a change of control of us or changes in management and will make the approval of certain transactions difficult or impossible without the support of these stockholders.</w:t>
      </w:r>
    </w:p>
    <w:p>
      <w:pPr>
        <w:spacing w:after="0" w:line="185"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under the U.S. federal securities laws, and the reduced reporting requirements applicable to smaller reporting companies could make our common stock less attractive to investors.</w:t>
      </w:r>
    </w:p>
    <w:p>
      <w:pPr>
        <w:spacing w:after="0" w:line="6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are a “smaller reporting company” under U.S. federal securities laws. For as long as we continue to be a smaller reporting company, we may take advantage of exemptions from various reporting requirements that are applicable to other public companies that are not smaller reporting companies, including reduced disclosure obligations regarding executive compensation in our periodic reports and proxy statements. Investors may not find our common stock attractive because we may rely on these exemptions. If some investors find our common stock less attractive as a result, there may be a less active trading market for our common stock and our stock price may be more volatile.</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declare any dividends in the foreseeable future.</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do not anticipate declaring any cash dividends to holders of Class A Common Stock in the foreseeable future. Consequently, investors may need to rely on sales of their shares after price appreciation, which may never occur, as the only way to realize any future gains on their investment.</w:t>
      </w:r>
    </w:p>
    <w:p>
      <w:pPr>
        <w:spacing w:after="0" w:line="172"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designates specific courts as the exclusive forum for certain stockholder litigation matters, which could limit the ability of our stockholders to obtain a favorable forum for disputes with us or our directors, officers or employees.</w:t>
      </w:r>
    </w:p>
    <w:p>
      <w:pPr>
        <w:spacing w:after="0" w:line="67"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Our Certificate of Incorporation requires, to the fullest extent permitted by law, that derivative actions brought in our name, actions against current or former directors, officers or other employees for breach of fiduciary duty, other similar actions, any other action as to which the Delaware General Corporation Law (the “DGCL”) confers jurisdiction to the Court of Chancery of the State of Delaware and any action or proceeding concerning the validity of our Certificate of Incorporation or our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unless we consent in writing to the selection of an alternative forum. This provision would not apply to suits brought to enforce a duty or liability created by the Exchange Act or any other claim for which the federal courts have exclusive jurisdiction. Our Certificate of Incorporation also provides that, unless we consent in writing to the selection of an alternative forum, the federal district courts of the U.S. shall be the exclusive forum for the resolution of any complaint asserting a cause of action arising under the Securities Act. This provision may limit the ability of our stockholders to bring a claim in a judicial forum that such stockholder finds favorable for disputes with us and our directors, officers or other employees and may have the effect of discouraging lawsuits against our directors, officers and other employees. Furthermore, our stockholders may be subject to increased costs to bring these claims, and the exclusive forum provision could have the effect of discouraging claims or limiting investors’ ability to bring claims in a judicial forum that they find favorable.</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 In March 2020, the Delaware Supreme Court issued a decision in </w:t>
      </w:r>
      <w:r>
        <w:rPr>
          <w:rFonts w:ascii="Times New Roman" w:cs="Times New Roman" w:eastAsia="Times New Roman" w:hAnsi="Times New Roman"/>
          <w:sz w:val="18"/>
          <w:szCs w:val="18"/>
          <w:i w:val="1"/>
          <w:iCs w:val="1"/>
          <w:color w:val="auto"/>
        </w:rPr>
        <w:t>Salzburg et al. v. Sciabacucchi</w:t>
      </w:r>
      <w:r>
        <w:rPr>
          <w:rFonts w:ascii="Times New Roman" w:cs="Times New Roman" w:eastAsia="Times New Roman" w:hAnsi="Times New Roman"/>
          <w:sz w:val="18"/>
          <w:szCs w:val="18"/>
          <w:color w:val="auto"/>
        </w:rPr>
        <w:t>, which found that an exclusive forum provision providing for claims under the Securities Act to be brought in federal court is facially valid under Delaware law. We intend to enforce this provision, but we do not know whether courts in other jurisdictions will agree with this decision or enforce it. If a court were to find the exclusive forum provision contained in our Certificate of Incorporation to be inapplicable or unenforceable in an action, we may incur additional costs associated with resolving such action in other jurisdictions, which could harm our business, prospects, financial condition and operating results.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 of a substantial number of our shares in the public market could cause the market price of our Class A Common Stock to drop significantly, even if our business is doing well.</w:t>
      </w:r>
    </w:p>
    <w:p>
      <w:pPr>
        <w:spacing w:after="0" w:line="5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 We are unable to predict the effect that sales may have on the prevailing market price of our Class A Common Stock and the public warrants originally issued in the initial public offering of Silver Spike (the “Public Warrants”).</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To the extent the Public Warrants or other exercisable securities are exercised, additional shares of our Class A Common Stock will be issued, which will result in dilution to the holders of our Class A Common Stock and increase the number of shares eligible for resale in the public market. Sales, or the potential sales, of substantial numbers of shares in the public market by the selling security holders could increase the volatility of the market price of our Class A Common Stock or adversely affect the market price of our Class A Common Stock.</w:t>
      </w:r>
    </w:p>
    <w:p>
      <w:pPr>
        <w:spacing w:after="0" w:line="341"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shares of Class A Common Stock or preferred stock, including under our equity incentive plan. Any such issuances would dilute the interest of our stockholders and likely present other risks.</w:t>
      </w:r>
    </w:p>
    <w:p>
      <w:pPr>
        <w:spacing w:after="0" w:line="5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may issue a substantial number of additional shares of Class A Common Stock or preferred stock, including under our equity incentive plan. Any such issuances of additional shares of Class A Common Stock or preferred stock:</w:t>
      </w:r>
    </w:p>
    <w:p>
      <w:pPr>
        <w:spacing w:after="0" w:line="68" w:lineRule="exact"/>
        <w:rPr>
          <w:sz w:val="20"/>
          <w:szCs w:val="20"/>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significantly dilute the equity interests of our investors;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subordinate the rights of holders of Class A Common Stock if preferred stock is issued with rights senior to those afforded our Class A Common Stock;</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cause a change in control if a substantial number of shares of our Class A Common Stock are issued, which may affect, among other things, our ability to use our net operating loss carry forwards, if any, and could result in the resignation or removal of our present officers and directors; and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prevailing market prices for our Class A Common Stock and/or Warrants.</w:t>
      </w:r>
    </w:p>
    <w:p>
      <w:pPr>
        <w:spacing w:after="0" w:line="370" w:lineRule="exact"/>
        <w:rPr>
          <w:sz w:val="20"/>
          <w:szCs w:val="20"/>
          <w:color w:val="auto"/>
        </w:rPr>
      </w:pPr>
    </w:p>
    <w:p>
      <w:pPr>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our Class A Common Stock and the Public Warrants have been, and may continue to be, volatile, and the value of our Class A Common Stock and Warrants may decline.</w:t>
      </w:r>
    </w:p>
    <w:p>
      <w:pPr>
        <w:spacing w:after="0" w:line="5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market price of our Class A Common Stock and the Public Warrants have been and may continue to be subject to wide fluctuations in response to numerous factors, many of which are beyond our control, including:</w:t>
      </w:r>
    </w:p>
    <w:p>
      <w:pPr>
        <w:spacing w:after="0" w:line="54" w:lineRule="exact"/>
        <w:rPr>
          <w:sz w:val="20"/>
          <w:szCs w:val="20"/>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operating results;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projected operational and financial results;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effects and enforcement of and changes to laws and regulations, including with respect to the cannabis industry;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or conclusion of legal proceedings that involve us;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or services by us or our competitors;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or joint ventures;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capital-raising activities or commitments;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updated research or reports by securities analysts;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by investors or analysts of third-party data regarding our business that may not reflect our financial performance;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securities, including short selling of our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civil unrest, war, foreign invasions, terrorism, or public health crises, or responses to such events.</w:t>
      </w:r>
    </w:p>
    <w:p>
      <w:pPr>
        <w:spacing w:after="0" w:line="5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Furthermore, the stock markets frequently experience extreme price and volume fluctuations that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elections, interest rate changes, or international currency fluctuations, may negatively impact the market price of our Class A Common Stock and the Public Warrants. As a result of such fluctuations, you may not realize any return on your investment in us and may lose some or all of your investment. In the past, companies that have experienced volatility in the market price of their stock have been subject to securities class action litigation or derivative litigation. For example, stockholders have filed or threatened to file derivative lawsuits, purportedly on our behalf, in the past and may do so in the future. Such litigation could result in substantial costs and divert our management’s attention from other business concerns.</w:t>
      </w:r>
    </w:p>
    <w:p>
      <w:pPr>
        <w:spacing w:after="0" w:line="190"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do not meet, and may not regain compliance with, the listing standards of the Nasdaq Stock Market LLC (“Nasdaq”), and as a result our Class A Common Stock may be delisted. Delisting could adversely affect the liquidity of our Class A Common Stock and the market price of our Class A Common Stock could decrease.</w:t>
      </w:r>
    </w:p>
    <w:p>
      <w:pPr>
        <w:spacing w:after="0" w:line="6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Class A Common Stock is currently listed on the Nasdaq Global Select Market, which has minimum requirements that a company must meet in order to remain listed. These requirements include maintaining a minimum closing bid price of $1.00 per share, which closing bid price cannot fall below $1.00 per share for a period of more than 30 consecutive business days</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On October 9, 2024, we received a letter from the Listing Qualifications Department of The Nasdaq Stock Market LLC (“Nasdaq”) notifying us that, for the last 30 consecutive trading days, the closing bid price for our Class A Common Stock was below $1.00 per share, which is the minimum closing bid price required for continued listing on the Nasdaq Global Select Market pursuant to Nasdaq Listing Rule 5450(a)(1) (the “Notice”). In accordance with Nasdaq Listing Rule 5810(c)(3)(A), we are provided a compliance period of 180 calendar days from the date of the Notice, or until April 7, 2025, to regain compliance with the minimum closing bid price requirement. If at any time during the 180 calendar day grace period, the closing bid price of our Class A Common Stock is at least $1.00 per share for a minimum of ten consecutive business days (unless the Nasdaq staff exercises its discretion to extend this ten business day period pursuant to Nasdaq Listing Rule 5810(c)(3)(H)), Nasdaq will provide us written confirmation of compliance, and the matter will be closed.</w:t>
      </w:r>
    </w:p>
    <w:p>
      <w:pPr>
        <w:spacing w:after="0" w:line="86"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If we do not regain compliance during the compliance period, we may be provided a second 180 calendar day period to regain compliance if we apply to transfer the listing of our Class A Common Stock to the Nasdaq Capital Market. To qualify, we must meet the continued listing requirement for market value of publicly-held shares and all other initial listing standards for the Nasdaq Capital Market (with the exception of the minimum bid price requirement), based on our most recent public filings and market information and notify Nasdaq of our intent to cure the deficiency by effecting a reverse stock split, if necessary. If we do not regain compliance within the allotted compliance periods, including any extensions that may be granted by Nasdaq, our Class A Common Stock will be subject to delisting. We would have the right to appeal a determination to delist our Class A Common Stock, and our Class A Common Stock would remain listed on the Nasdaq Global Select Market until the completion of the appeal process.</w:t>
      </w:r>
    </w:p>
    <w:p>
      <w:pPr>
        <w:spacing w:after="0" w:line="86"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There can be no assurance that we will regain compliance with the minimum bid price requirement during the 180-day compliance period, secure a second 180-day period to regain compliance, or maintain compliance with the other Nasdaq listing requirements.</w:t>
      </w:r>
    </w:p>
    <w:p>
      <w:pPr>
        <w:spacing w:after="0" w:line="6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Additionally, if a reverse stock split is implemented, there can be no assurance that the market price per new share of our Class A Common Stock following the reverse stock split will remain unchanged or will increase in proportion to the reduction in the number of old shares of our Class A Common Stock outstanding before the reverse stock split. The liquidity of the shares of our Class A Common Stock may be affected adversely by any reverse stock split given the reduced number of shares of our Class A Common Stock that will be outstanding following such reverse stock split. Furthermore, following any reverse stock split, the resulting market price of our Class A Common Stock may not attract new investors and may not satisfy the investing requirements of those investors.</w:t>
      </w:r>
    </w:p>
    <w:p>
      <w:pPr>
        <w:spacing w:after="0" w:line="8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In the event that our Class A Common Stock is delisted from Nasdaq as a result of our failure to regain compliance with the minimum closing bid price requirement, as a result of Nasdaq not granting us an extension or the panel not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granting us a favorable decision or due to our failure to continue to comply with any other requirement for continued listing on Nasdaq, trading of our Class A Common Stock could be conducted in the over-the-counter market or on an electronic bulletin board established for unlisted securities such as the Pink Sheets or the OTC Bulletin Board, but there can be no assurance that our Class A Common Stock will be eligible for trading on such alternative exchange or market.</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Additionally, if our Class A Common Stock is delisted from Nasdaq, the liquidity of our Class A Common Stock would be adversely affected, the market price of our Class A Common Stock could decrease, our ability to obtain sufficient additional capital to fund our operations and transactions in our Class A Common Stock could lose federal preemption of state securities laws. Furthermore, there could also be a further reduction in our coverage by securities analysts and the news media and broker-dealers may be deterred from making a market in or otherwise seeking or generating interest in our Class A Common Stock, which could cause the price of our Class A Common Stock to decline further. Moreover, delisting may also negatively affect our clients’, customers’ and employees’ confidence in us and employee morale.</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global, regional or local economic and market conditions may adversely affect our business, operating results and financial condition.</w:t>
      </w:r>
    </w:p>
    <w:p>
      <w:pPr>
        <w:spacing w:after="0" w:line="5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performance is subject to global economic conditions and economic conditions in one or more of our key markets, which impact spending by our clients and consumers. A majority of our clients are small and medium-sized businesses that operate one or two retail locations, and their access to capital, liquidity and other financial resources is constrained due to the regulatory restrictions applicable to cannabis businesses. As a result, these clients have been and may be further disproportionately affected by economic downturns.</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Clients may choose to allocate their spending to items other than our platform, especially during economic downturns. Economic conditions may also adversely impact retail sales of cannabis. Declining retail sales of cannabis could result in our clients going out of business or deciding to stop using our platform to conserve financial resources. Negative economic conditions may also affect third parties with whom we have entered into relationships and upon whom we depend in order to grow our business.</w:t>
      </w:r>
    </w:p>
    <w:p>
      <w:pPr>
        <w:spacing w:after="0" w:line="75"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Furthermore, economic downturns could also lead to limitations on our ability to obtain debt or equity financing on favorable terms or at all, reduced liquidity, decreases in the market price of our securities, decreases in the fair market value of our financial or other assets, and write-downs of and increased credit and collectability risk on our trade receivables, any of which could have a material adverse effect on our business, operating results or financial condition.</w:t>
      </w:r>
    </w:p>
    <w:p>
      <w:pPr>
        <w:spacing w:after="0" w:line="179"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Catastrophic events may disrupt our business and impair our ability to provide our platform to clients and consumers, resulting in costs for remediation, client and consumer dissatisfaction and other business or financial losses.</w:t>
      </w:r>
    </w:p>
    <w:p>
      <w:pPr>
        <w:spacing w:after="0" w:line="6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Our operations depend, in part, on our ability to protect our facilities against damage or interruption from natural disasters, power or telecommunications failures, criminal acts and similar events. Despite precautions taken at our facilities, the occurrence of a natural disaster, an act of terrorism, vandalism or sabotage, spikes in usage volume or other unanticipated problems at a facility could result in lengthy interruptions in the availability of our platform. Even with current and planned disaster recovery arrangements, our business could be harmed. Also, in the event of damage or interruption, our insurance policies may not adequately compensate us for any losses that we may incur. These factors in turn could further reduce revenue, subject us to liability and lead to decreased usage of our platform and decrease sales of our advertising placements, any of which could harm our business.</w:t>
      </w:r>
    </w:p>
    <w:p>
      <w:pPr>
        <w:spacing w:after="0" w:line="188"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increased costs and administrative burden as a result of operating as a public company, and our management will continue to devote substantial time to new compliance initiatives.</w:t>
      </w:r>
    </w:p>
    <w:p>
      <w:pPr>
        <w:spacing w:after="0" w:line="5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As a public company, we are subject to the requirements of the Exchange Act, the Sarbanes-Oxley Act, the Dodd-Frank Wall Street Reform and Consumer Protection Act of 2010, and the rules and regulations promulgated and to be promulgated thereunder, Public Company Accounting Oversight Board (the “PCAOB”), as well as rules adopted, and to be adopted, by the SEC and the Nasdaq Stock Market. Our management and other personnel devote a substantial amount of time to these compliance initiatives. Moreover, we expect these rules and regulations to substantially increase our legal and financial compliance costs and to make some activities more time-consuming and costly. The increased costs will increase our net loss or reduce our net income. Compliance with public company requirements will increase costs and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7"/>
          <w:szCs w:val="17"/>
          <w:color w:val="auto"/>
        </w:rPr>
        <w:t>make certain activities more time-consuming. A number of those requirements will require us to carry out activities we have not done previously. For example, we created new board committees and adopted new internal controls and disclosure controls and procedures. In addition, expenses associated with SEC reporting requirements will be incurred. Furthermore, if any issues in complying with those requirements are identified (for example, our recent identification of material weaknesses in our internal controls over financial reporting and any additional material weaknesses or significant deficiency in the internal control over financial reporting that we or our independent registered public accounting firm may identify in the future), we could incur additional costs rectifying those issues, and the existence of those issues could adversely affect our reputation or investor perceptions of it. It may also be more expensive to obtain director and officer liability insurance. We cannot predict or estimate the amount or timing of additional costs it may incur to respond to these requirements. The impact of these requirements could also make it more difficult for us to attract and retain qualified persons to serve on our board of directors, our board committees or as executive officers.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175"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and independent contractors may engage in misconduct or other improper activities, which could have an adverse effect on our business, prospects, financial condition and operating results.</w:t>
      </w:r>
    </w:p>
    <w:p>
      <w:pPr>
        <w:spacing w:after="0" w:line="5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and independent contractors may engage in misconduct or other illegal activity. Misconduct by these parties could include intentional, reckless or negligent conduct or other activities that violate laws and regulations, including production standards, U.S. federal and state fraud, abuse, data privacy and security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operating results,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operating results.</w:t>
      </w:r>
    </w:p>
    <w:p>
      <w:pPr>
        <w:spacing w:after="0" w:line="191"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Certain securities and industry analysts may not publish, have in the past ceased publishing, or may in the future cease publishing research or reports about us, our business or our market, or may adversely change their recommendations regarding our Class A Common Stock, which could cause the price and trading volume of our Class A Common Stock to decline.</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trading market for our Class A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the price of our Class A Common Stock would likely decline. If any analyst who may cover us were to cease their coverage or fail to regularly publish reports on us, we could lose visibility in the financial markets, which could cause our stock price or trading volume to decline.</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sufficient funds to satisfy indemnification claims of our directors and executive officers.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have agreed to indemnify our officers and directors to the fullest extent permitted by law. Accordingly, any indemnification provided will be able to be satisfied by us only if we have sufficient funds.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All of the Class A Common Stock offered by the Selling Securityholders pursuant to this prospectus will be sold by the Selling Securityholders for their respective accounts. We will not receive any of the proceeds from these sales.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 AND DIVIDEND POLICY</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Class A Common Stock and Public Warrants are currently listed on Nasdaq under the symbols “MAPS” and “MAPSW”, respectively. As of November 29, 2024, there were 97,730,177 shares of Class A Common Stock issued and outstanding and 55,486,361 shares of our Class V common stock (the “Class V Common Stock”) issued and outstanding. No market exists for the Class V Common Stock.</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As of November 29, 2024, there were 112 holders of record of our Class A Common Stock, 12 holders of record of our Class V Common Stock and 2 holders of record of our Public Warrants.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have not paid any cash dividends on the Class A Common Stock or Class V Common Stock to date. The payment of cash dividends in the future will be dependent upon our revenues and 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we or our subsidiaries incur. We do not anticipate declaring any cash dividends to holders of Common Stock in the foreseeable future.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7"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notes to those statements included in this prospectus. Certain information contained in the discussion and analysis set forth below contains forward-looking statements that involve risks and uncertainties. Our actual results may differ materially from those anticipated in these forward-looking statements as a result of many factors. Please see the sections entitled “Cautionary Note Regarding Forward-Looking Statements” and “Risk Factors” and elsewhere in this prospectus.</w:t>
      </w:r>
    </w:p>
    <w:p>
      <w:pPr>
        <w:spacing w:after="0" w:line="2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Third Quarter 2024 Financial Highlights</w:t>
      </w:r>
    </w:p>
    <w:p>
      <w:pPr>
        <w:spacing w:after="0" w:line="121" w:lineRule="exact"/>
        <w:rPr>
          <w:sz w:val="20"/>
          <w:szCs w:val="20"/>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$46.6 million as compared to $46.7 million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paying clients was 5,100, as compared to 5,414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net revenues per paying client was $3,043, as compared to $2,874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$5.3 million as compared to net loss of $2.5 million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$11.3 million as compared to $10.7 million in the prior year.</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Fiscal Year 2023 Financial Highlights</w:t>
      </w:r>
    </w:p>
    <w:p>
      <w:pPr>
        <w:spacing w:after="0" w:line="121" w:lineRule="exact"/>
        <w:rPr>
          <w:sz w:val="20"/>
          <w:szCs w:val="20"/>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was $188.0 million as compared to $215.5 million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paying clients was 5,419, as compared to 5,457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net revenue per paying client was $2,891, as compared to $3,291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$15.7 million as compared to $82.7 million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$36.9 million.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totaled $34.4 million as of December 31, 2023, with no long-term debt.</w:t>
      </w:r>
    </w:p>
    <w:p>
      <w:pPr>
        <w:spacing w:after="0" w:line="117"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For further information about how we calculate EBITDA and Adjusted EBITDA as well as limitations of its use and a reconciliation of EBITDA and Adjusted EBITDA to net income (loss), see “Net Income (Loss) to EBITDA and Adjusted EBITDA” under the heading Non-GAAP Financial Measures below.</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legalized cannabis markets in states and territories of the United States. Our comprehensive business-to-consumer and business-to-business suite of products afford cannabis retailers and brands of all sizes integrated tools to compliantly run their businesses and to reach, convert, and retain consumers.</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business primarily consists of our commerce-driven marketplace (“Weedmaps”), and our fully integrated suite of end-to-end Software-as-a-Service (“SaaS”) solutions software offering (“Weedmaps for Business”). The Weedmaps marketplace is a premier destination for cannabis consumers to discover and browse information regarding cannabis and cannabis products with 5,100 average monthly paying clients during the three months ended September 30, 2024 on the supply-side of our marketplace. These paying clients include retailers, brands and other client types (such as doctors). Further, these clients, who can choose to purchase multiple listings solutions for each business, had purchased approximately 8,300 listing pages as of September 30, 2024.</w:t>
      </w:r>
    </w:p>
    <w:p>
      <w:pPr>
        <w:spacing w:after="0" w:line="8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sell our Weedmaps for Business suite in the United States and have a limited number of non-monetized listings in several other countries including Austria, Canada, Germany, the Netherlands, Spain and Switzerland. We operate in the United States, Canada and other foreign jurisdictions where medical and/or adult cannabis use is legal under state or national law. As of September 30, 2024, we actively operated in over 35 U.S. states and territories that have adult-use and/or medical-use regulations in place. Substantially all of our revenue was generated in the United States during the periods presented. We define actively operated markets as those U.S. states or territories with greater than $1,000 monthly revenue.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40"/>
        <w:spacing w:after="0" w:line="255" w:lineRule="auto"/>
        <w:rPr>
          <w:sz w:val="20"/>
          <w:szCs w:val="20"/>
          <w:color w:val="auto"/>
        </w:rPr>
      </w:pPr>
      <w:r>
        <w:rPr>
          <w:rFonts w:ascii="Times New Roman" w:cs="Times New Roman" w:eastAsia="Times New Roman" w:hAnsi="Times New Roman"/>
          <w:sz w:val="18"/>
          <w:szCs w:val="18"/>
          <w:color w:val="auto"/>
        </w:rPr>
        <w:t>Our mission is to power a transparent and inclusive global cannabis economy. Our technology addresses the challenges facing both consumers seeking to understand cannabis products and businesses who serve cannabis users in a legally compliant fashion. Since our founding in 2008, Weedmaps has become a premier destination for cannabis consumers to discover and browse information regarding cannabis and cannabis products, permitting product discovery and order-ahead for pickup or delivery by participating retailers. Weedmaps for Business is a set of eCommerce-enablement tools designed to help retailers and brands get the best out of the Weedmaps’ consumer experience, create labor efficiencies and manage compliance needs.</w:t>
      </w:r>
    </w:p>
    <w:p>
      <w:pPr>
        <w:spacing w:after="0" w:line="81" w:lineRule="exact"/>
        <w:rPr>
          <w:sz w:val="20"/>
          <w:szCs w:val="20"/>
          <w:color w:val="auto"/>
        </w:rPr>
      </w:pPr>
    </w:p>
    <w:p>
      <w:pPr>
        <w:jc w:val="both"/>
        <w:ind w:left="300" w:right="340"/>
        <w:spacing w:after="0" w:line="254" w:lineRule="auto"/>
        <w:rPr>
          <w:sz w:val="20"/>
          <w:szCs w:val="20"/>
          <w:color w:val="auto"/>
        </w:rPr>
      </w:pPr>
      <w:r>
        <w:rPr>
          <w:rFonts w:ascii="Times New Roman" w:cs="Times New Roman" w:eastAsia="Times New Roman" w:hAnsi="Times New Roman"/>
          <w:sz w:val="18"/>
          <w:szCs w:val="18"/>
          <w:color w:val="auto"/>
        </w:rPr>
        <w:t>As we continue to expand the presence and increase the number of consumers on the Weedmaps marketplace and broaden our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solutions, we plan to continue making investments in raising brand awareness, increasing penetration within existing markets and expanding to new markets, as well as continuing to develop and monetize new solutions to extend the functionality of our platform. These investments serve to deepen the consumer experience with our platform and continue to provide a high level of support to our business clients.</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Key Operating and Financial Metrics</w:t>
      </w:r>
    </w:p>
    <w:p>
      <w:pPr>
        <w:spacing w:after="0" w:line="121" w:lineRule="exact"/>
        <w:rPr>
          <w:sz w:val="20"/>
          <w:szCs w:val="20"/>
          <w:color w:val="auto"/>
        </w:rPr>
      </w:pPr>
    </w:p>
    <w:p>
      <w:pPr>
        <w:jc w:val="both"/>
        <w:ind w:left="300" w:right="340"/>
        <w:spacing w:after="0" w:line="282" w:lineRule="auto"/>
        <w:rPr>
          <w:sz w:val="20"/>
          <w:szCs w:val="20"/>
          <w:color w:val="auto"/>
        </w:rPr>
      </w:pPr>
      <w:r>
        <w:rPr>
          <w:rFonts w:ascii="Times New Roman" w:cs="Times New Roman" w:eastAsia="Times New Roman" w:hAnsi="Times New Roman"/>
          <w:sz w:val="18"/>
          <w:szCs w:val="18"/>
          <w:color w:val="auto"/>
        </w:rPr>
        <w:t>We monitor the following key financial and operational metrics to evaluate our business, measure our performance, identify trends affecting our business, formulate business plans, and make strategic decisions.</w:t>
      </w:r>
    </w:p>
    <w:p>
      <w:pPr>
        <w:spacing w:after="0" w:line="54" w:lineRule="exact"/>
        <w:rPr>
          <w:sz w:val="20"/>
          <w:szCs w:val="20"/>
          <w:color w:val="auto"/>
        </w:rPr>
      </w:pPr>
    </w:p>
    <w:p>
      <w:pPr>
        <w:jc w:val="both"/>
        <w:ind w:left="300" w:right="360"/>
        <w:spacing w:after="0" w:line="258" w:lineRule="auto"/>
        <w:rPr>
          <w:sz w:val="20"/>
          <w:szCs w:val="20"/>
          <w:color w:val="auto"/>
        </w:rPr>
      </w:pPr>
      <w:r>
        <w:rPr>
          <w:rFonts w:ascii="Times New Roman" w:cs="Times New Roman" w:eastAsia="Times New Roman" w:hAnsi="Times New Roman"/>
          <w:sz w:val="18"/>
          <w:szCs w:val="18"/>
          <w:color w:val="auto"/>
        </w:rPr>
        <w:t>The following tables summarize our financial performance for the three and nine months ended September 30, 2024 compared with the same period in 2023 and for the year ended December 31, 2023 compared to our financial performance for the years ended December 31, 2022 and 2021. For a detailed discussion of our results of operations, see “Results of Operations for the Three and Nine Months Ended September 30, 2024 and 2023” and “Results of Operations for the Years Ended December 31, 2023, 2022 and 2021” below.</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 the Three and Nine Months Ended September 30, 2024 and 2023</w:t>
      </w:r>
    </w:p>
    <w:p>
      <w:pPr>
        <w:spacing w:after="0" w:line="236" w:lineRule="exact"/>
        <w:rPr>
          <w:sz w:val="20"/>
          <w:szCs w:val="20"/>
          <w:color w:val="auto"/>
        </w:rPr>
      </w:pPr>
    </w:p>
    <w:tbl>
      <w:tblPr>
        <w:tblLayout w:type="fixed"/>
        <w:tblInd w:w="4540" w:type="dxa"/>
        <w:tblCellMar>
          <w:top w:w="0" w:type="dxa"/>
          <w:left w:w="0" w:type="dxa"/>
          <w:bottom w:w="0" w:type="dxa"/>
          <w:right w:w="0" w:type="dxa"/>
        </w:tblCellMar>
      </w:tblPr>
      <w:tr>
        <w:trPr>
          <w:trHeight w:val="190"/>
        </w:trPr>
        <w:tc>
          <w:tcPr>
            <w:tcW w:w="2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50"/>
        </w:trPr>
        <w:tc>
          <w:tcPr>
            <w:tcW w:w="1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27"/>
        </w:trPr>
        <w:tc>
          <w:tcPr>
            <w:tcW w:w="112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9"/>
                <w:szCs w:val="19"/>
                <w:color w:val="auto"/>
              </w:rPr>
            </w:pPr>
          </w:p>
        </w:tc>
        <w:tc>
          <w:tcPr>
            <w:tcW w:w="11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31750</wp:posOffset>
            </wp:positionV>
            <wp:extent cx="28803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87"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(dollars in thousands, except for net revenues per paying client)</w:t>
      </w:r>
    </w:p>
    <w:p>
      <w:pPr>
        <w:spacing w:after="0" w:line="80" w:lineRule="exact"/>
        <w:rPr>
          <w:sz w:val="20"/>
          <w:szCs w:val="20"/>
          <w:color w:val="auto"/>
        </w:rPr>
      </w:pPr>
    </w:p>
    <w:tbl>
      <w:tblPr>
        <w:tblLayout w:type="fixed"/>
        <w:tblInd w:w="300" w:type="dxa"/>
        <w:tblCellMar>
          <w:top w:w="0" w:type="dxa"/>
          <w:left w:w="0" w:type="dxa"/>
          <w:bottom w:w="0" w:type="dxa"/>
          <w:right w:w="0" w:type="dxa"/>
        </w:tblCellMar>
      </w:tblPr>
      <w:tr>
        <w:trPr>
          <w:trHeight w:val="378"/>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r>
              <w:rPr>
                <w:rFonts w:ascii="Times New Roman" w:cs="Times New Roman" w:eastAsia="Times New Roman" w:hAnsi="Times New Roman"/>
                <w:sz w:val="29"/>
                <w:szCs w:val="29"/>
                <w:color w:val="auto"/>
                <w:vertAlign w:val="superscript"/>
              </w:rPr>
              <w:t>(1)</w:t>
            </w:r>
          </w:p>
        </w:tc>
        <w:tc>
          <w:tcPr>
            <w:tcW w:w="12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$46,552</w:t>
            </w:r>
          </w:p>
        </w:tc>
        <w:tc>
          <w:tcPr>
            <w:tcW w:w="11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$46,687</w:t>
            </w:r>
          </w:p>
        </w:tc>
        <w:tc>
          <w:tcPr>
            <w:tcW w:w="11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$136,844</w:t>
            </w:r>
          </w:p>
        </w:tc>
        <w:tc>
          <w:tcPr>
            <w:tcW w:w="11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$141,526</w:t>
            </w:r>
          </w:p>
        </w:tc>
      </w:tr>
      <w:tr>
        <w:trPr>
          <w:trHeight w:val="27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​5,318</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(2,512)​</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​8,471</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(4,498)​</w:t>
            </w:r>
          </w:p>
        </w:tc>
      </w:tr>
      <w:tr>
        <w:trPr>
          <w:trHeight w:val="54"/>
        </w:trPr>
        <w:tc>
          <w:tcPr>
            <w:tcW w:w="4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365"/>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29"/>
                <w:szCs w:val="29"/>
                <w:color w:val="auto"/>
                <w:vertAlign w:val="superscript"/>
              </w:rPr>
              <w:t>(2)</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8,576​</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​872</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17,853​</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4,896​</w:t>
            </w:r>
          </w:p>
        </w:tc>
      </w:tr>
      <w:tr>
        <w:trPr>
          <w:trHeight w:val="365"/>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(2)</w:t>
            </w:r>
          </w:p>
        </w:tc>
        <w:tc>
          <w:tcPr>
            <w:tcW w:w="12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$​11,312</w:t>
            </w:r>
          </w:p>
        </w:tc>
        <w:tc>
          <w:tcPr>
            <w:tcW w:w="11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$10,671</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31,001​</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28,028​</w:t>
            </w:r>
          </w:p>
        </w:tc>
      </w:tr>
      <w:tr>
        <w:trPr>
          <w:trHeight w:val="365"/>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monthly net revenues per paying client</w:t>
            </w:r>
            <w:r>
              <w:rPr>
                <w:rFonts w:ascii="Times New Roman" w:cs="Times New Roman" w:eastAsia="Times New Roman" w:hAnsi="Times New Roman"/>
                <w:sz w:val="29"/>
                <w:szCs w:val="29"/>
                <w:color w:val="auto"/>
                <w:vertAlign w:val="superscript"/>
              </w:rPr>
              <w:t>(1)(3)</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3,043​</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​2,874</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3,025​</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2,831​</w:t>
            </w:r>
          </w:p>
        </w:tc>
      </w:tr>
      <w:tr>
        <w:trPr>
          <w:trHeight w:val="433"/>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Average monthly paying clients</w:t>
            </w:r>
            <w:r>
              <w:rPr>
                <w:rFonts w:ascii="Times New Roman" w:cs="Times New Roman" w:eastAsia="Times New Roman" w:hAnsi="Times New Roman"/>
                <w:sz w:val="29"/>
                <w:szCs w:val="29"/>
                <w:color w:val="auto"/>
                <w:vertAlign w:val="superscript"/>
              </w:rPr>
              <w:t>(4)</w:t>
            </w:r>
          </w:p>
        </w:tc>
        <w:tc>
          <w:tcPr>
            <w:tcW w:w="460" w:type="dxa"/>
            <w:vAlign w:val="bottom"/>
          </w:tcPr>
          <w:p>
            <w:pPr>
              <w:spacing w:after="0"/>
              <w:rPr>
                <w:sz w:val="24"/>
                <w:szCs w:val="24"/>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5,100</w:t>
            </w:r>
          </w:p>
        </w:tc>
        <w:tc>
          <w:tcPr>
            <w:tcW w:w="400" w:type="dxa"/>
            <w:vAlign w:val="bottom"/>
          </w:tcPr>
          <w:p>
            <w:pPr>
              <w:spacing w:after="0"/>
              <w:rPr>
                <w:sz w:val="24"/>
                <w:szCs w:val="24"/>
                <w:color w:val="auto"/>
              </w:rPr>
            </w:pPr>
          </w:p>
        </w:tc>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5,414</w:t>
            </w:r>
          </w:p>
        </w:tc>
        <w:tc>
          <w:tcPr>
            <w:tcW w:w="380" w:type="dxa"/>
            <w:vAlign w:val="bottom"/>
          </w:tcPr>
          <w:p>
            <w:pPr>
              <w:spacing w:after="0"/>
              <w:rPr>
                <w:sz w:val="24"/>
                <w:szCs w:val="24"/>
                <w:color w:val="auto"/>
              </w:rPr>
            </w:pP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5,027</w:t>
            </w:r>
          </w:p>
        </w:tc>
        <w:tc>
          <w:tcPr>
            <w:tcW w:w="360" w:type="dxa"/>
            <w:vAlign w:val="bottom"/>
          </w:tcPr>
          <w:p>
            <w:pPr>
              <w:spacing w:after="0"/>
              <w:rPr>
                <w:sz w:val="24"/>
                <w:szCs w:val="24"/>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5,555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110490</wp:posOffset>
            </wp:positionV>
            <wp:extent cx="8229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99" w:lineRule="exact"/>
        <w:rPr>
          <w:sz w:val="20"/>
          <w:szCs w:val="20"/>
          <w:color w:val="auto"/>
        </w:rPr>
      </w:pPr>
    </w:p>
    <w:p>
      <w:pPr>
        <w:jc w:val="both"/>
        <w:ind w:left="640" w:right="340" w:hanging="348"/>
        <w:spacing w:after="0" w:line="241"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nine months ended September 30, 2023, net revenues has been retrospectively adjusted to reflect the restatement of previously reported revenue. See Note 2, “Summary of Significant Accounting Policies,” to our unaudited condensed consolidated financial statements included in this prospectus for further information.</w:t>
      </w:r>
    </w:p>
    <w:p>
      <w:pPr>
        <w:spacing w:after="0" w:line="14" w:lineRule="exact"/>
        <w:rPr>
          <w:rFonts w:ascii="Times New Roman" w:cs="Times New Roman" w:eastAsia="Times New Roman" w:hAnsi="Times New Roman"/>
          <w:sz w:val="14"/>
          <w:szCs w:val="14"/>
          <w:color w:val="auto"/>
        </w:rPr>
      </w:pPr>
    </w:p>
    <w:p>
      <w:pPr>
        <w:ind w:left="640" w:right="340" w:hanging="348"/>
        <w:spacing w:after="0" w:line="261"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further information about how we calculate EBITDA and Adjusted EBITDA as well as limitations of its use and a reconciliation of EBITDA and Adjusted EBITDA to net income (loss), see “Net Income (Loss) to EBITDA and Adjusted EBITDA” below.</w:t>
      </w:r>
    </w:p>
    <w:p>
      <w:pPr>
        <w:jc w:val="both"/>
        <w:ind w:left="640" w:right="340" w:hanging="348"/>
        <w:spacing w:after="0" w:line="236"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monthly net revenues per paying client is defined as the average monthly net revenues for any particular period divided by the average monthly paying clients in the same respective period. Average monthly net revenues per paying client is calculated in the same manner as our previously-reported “average monthly revenue per paying client,” and the description of the metric is being updated solely to clarify that it is calculated using net revenues.</w:t>
      </w:r>
    </w:p>
    <w:p>
      <w:pPr>
        <w:spacing w:after="0" w:line="14" w:lineRule="exact"/>
        <w:rPr>
          <w:rFonts w:ascii="Times New Roman" w:cs="Times New Roman" w:eastAsia="Times New Roman" w:hAnsi="Times New Roman"/>
          <w:sz w:val="14"/>
          <w:szCs w:val="14"/>
          <w:color w:val="auto"/>
        </w:rPr>
      </w:pPr>
    </w:p>
    <w:p>
      <w:pPr>
        <w:ind w:left="640" w:right="340" w:hanging="348"/>
        <w:spacing w:after="0" w:line="261"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monthly paying clients are defined as the average of the number of paying clients billed in a month across a particular period (and for which services were provided).</w:t>
      </w:r>
    </w:p>
    <w:p>
      <w:pPr>
        <w:spacing w:after="0" w:line="1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60"/>
          </w:cols>
          <w:pgMar w:left="1440" w:top="263" w:right="1399"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 the Years Ended December 31, 2023, 2022 and 2021</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2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50"/>
        </w:trPr>
        <w:tc>
          <w:tcPr>
            <w:tcW w:w="45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27"/>
        </w:trPr>
        <w:tc>
          <w:tcPr>
            <w:tcW w:w="4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Pr>
          <w:p>
            <w:pPr>
              <w:spacing w:after="0"/>
              <w:rPr>
                <w:sz w:val="19"/>
                <w:szCs w:val="19"/>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9"/>
                <w:szCs w:val="19"/>
                <w:color w:val="auto"/>
              </w:rPr>
            </w:pPr>
          </w:p>
        </w:tc>
        <w:tc>
          <w:tcPr>
            <w:tcW w:w="7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50"/>
        </w:trPr>
        <w:tc>
          <w:tcPr>
            <w:tcW w:w="4520" w:type="dxa"/>
            <w:vAlign w:val="bottom"/>
          </w:tcPr>
          <w:p>
            <w:pPr>
              <w:spacing w:after="0"/>
              <w:rPr>
                <w:sz w:val="4"/>
                <w:szCs w:val="4"/>
                <w:color w:val="auto"/>
              </w:rPr>
            </w:pPr>
          </w:p>
        </w:tc>
        <w:tc>
          <w:tcPr>
            <w:tcW w:w="3900" w:type="dxa"/>
            <w:vAlign w:val="bottom"/>
            <w:tcBorders>
              <w:bottom w:val="single" w:sz="8" w:color="auto"/>
            </w:tcBorders>
            <w:gridSpan w:val="6"/>
          </w:tcPr>
          <w:p>
            <w:pPr>
              <w:spacing w:after="0"/>
              <w:rPr>
                <w:sz w:val="4"/>
                <w:szCs w:val="4"/>
                <w:color w:val="auto"/>
              </w:rPr>
            </w:pPr>
          </w:p>
        </w:tc>
      </w:tr>
      <w:tr>
        <w:trPr>
          <w:trHeight w:val="227"/>
        </w:trPr>
        <w:tc>
          <w:tcPr>
            <w:tcW w:w="4520" w:type="dxa"/>
            <w:vAlign w:val="bottom"/>
          </w:tcPr>
          <w:p>
            <w:pPr>
              <w:spacing w:after="0"/>
              <w:rPr>
                <w:sz w:val="19"/>
                <w:szCs w:val="19"/>
                <w:color w:val="auto"/>
              </w:rPr>
            </w:pPr>
          </w:p>
        </w:tc>
        <w:tc>
          <w:tcPr>
            <w:tcW w:w="3900" w:type="dxa"/>
            <w:vAlign w:val="bottom"/>
            <w:gridSpan w:val="6"/>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(dollars in thousands, except for revenue per paying client)</w:t>
            </w:r>
          </w:p>
        </w:tc>
      </w:tr>
      <w:tr>
        <w:trPr>
          <w:trHeight w:val="51"/>
        </w:trPr>
        <w:tc>
          <w:tcPr>
            <w:tcW w:w="4520" w:type="dxa"/>
            <w:vAlign w:val="bottom"/>
          </w:tcPr>
          <w:p>
            <w:pPr>
              <w:spacing w:after="0"/>
              <w:rPr>
                <w:sz w:val="4"/>
                <w:szCs w:val="4"/>
                <w:color w:val="auto"/>
              </w:rPr>
            </w:pPr>
          </w:p>
        </w:tc>
        <w:tc>
          <w:tcPr>
            <w:tcW w:w="1060" w:type="dxa"/>
            <w:vAlign w:val="bottom"/>
            <w:gridSpan w:val="2"/>
          </w:tcPr>
          <w:p>
            <w:pPr>
              <w:spacing w:after="0"/>
              <w:rPr>
                <w:sz w:val="4"/>
                <w:szCs w:val="4"/>
                <w:color w:val="auto"/>
              </w:rPr>
            </w:pPr>
          </w:p>
        </w:tc>
        <w:tc>
          <w:tcPr>
            <w:tcW w:w="1820" w:type="dxa"/>
            <w:vAlign w:val="bottom"/>
            <w:gridSpan w:val="2"/>
          </w:tcPr>
          <w:p>
            <w:pPr>
              <w:spacing w:after="0"/>
              <w:rPr>
                <w:sz w:val="4"/>
                <w:szCs w:val="4"/>
                <w:color w:val="auto"/>
              </w:rPr>
            </w:pPr>
          </w:p>
        </w:tc>
        <w:tc>
          <w:tcPr>
            <w:tcW w:w="1020" w:type="dxa"/>
            <w:vAlign w:val="bottom"/>
            <w:gridSpan w:val="2"/>
          </w:tcPr>
          <w:p>
            <w:pPr>
              <w:spacing w:after="0"/>
              <w:rPr>
                <w:sz w:val="4"/>
                <w:szCs w:val="4"/>
                <w:color w:val="auto"/>
              </w:rPr>
            </w:pPr>
          </w:p>
        </w:tc>
      </w:tr>
      <w:tr>
        <w:trPr>
          <w:trHeight w:val="318"/>
        </w:trPr>
        <w:tc>
          <w:tcPr>
            <w:tcW w:w="4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060" w:type="dxa"/>
            <w:vAlign w:val="bottom"/>
            <w:tcBorders>
              <w:bottom w:val="single" w:sz="8" w:color="CCEEFF"/>
            </w:tcBorders>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$187,993</w:t>
            </w:r>
          </w:p>
        </w:tc>
        <w:tc>
          <w:tcPr>
            <w:tcW w:w="1820" w:type="dxa"/>
            <w:vAlign w:val="bottom"/>
            <w:tcBorders>
              <w:bottom w:val="single" w:sz="8" w:color="CCEEFF"/>
            </w:tcBorders>
            <w:gridSpan w:val="2"/>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$215,531</w:t>
            </w:r>
          </w:p>
        </w:tc>
        <w:tc>
          <w:tcPr>
            <w:tcW w:w="10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$193,146</w:t>
            </w:r>
          </w:p>
        </w:tc>
      </w:tr>
      <w:tr>
        <w:trPr>
          <w:trHeight w:val="27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(15,727)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w w:val="97"/>
              </w:rPr>
              <w:t>(82,651)</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$152,218</w:t>
            </w:r>
          </w:p>
        </w:tc>
      </w:tr>
      <w:tr>
        <w:trPr>
          <w:trHeight w:val="54"/>
        </w:trPr>
        <w:tc>
          <w:tcPr>
            <w:tcW w:w="4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20" w:type="dxa"/>
            <w:vAlign w:val="bottom"/>
            <w:gridSpan w:val="2"/>
          </w:tcPr>
          <w:p>
            <w:pPr>
              <w:spacing w:after="0"/>
              <w:rPr>
                <w:sz w:val="4"/>
                <w:szCs w:val="4"/>
                <w:color w:val="auto"/>
              </w:rPr>
            </w:pPr>
          </w:p>
        </w:tc>
        <w:tc>
          <w:tcPr>
            <w:tcW w:w="1020" w:type="dxa"/>
            <w:vAlign w:val="bottom"/>
            <w:gridSpan w:val="2"/>
          </w:tcPr>
          <w:p>
            <w:pPr>
              <w:spacing w:after="0"/>
              <w:rPr>
                <w:sz w:val="4"/>
                <w:szCs w:val="4"/>
                <w:color w:val="auto"/>
              </w:rPr>
            </w:pPr>
          </w:p>
        </w:tc>
      </w:tr>
      <w:tr>
        <w:trPr>
          <w:trHeight w:val="365"/>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29"/>
                <w:szCs w:val="29"/>
                <w:color w:val="auto"/>
                <w:vertAlign w:val="superscript"/>
              </w:rPr>
              <w:t>(1)</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w:t>
            </w:r>
          </w:p>
        </w:tc>
        <w:tc>
          <w:tcPr>
            <w:tcW w:w="1820" w:type="dxa"/>
            <w:vAlign w:val="bottom"/>
            <w:gridSpan w:val="2"/>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$107,924</w:t>
            </w:r>
          </w:p>
        </w:tc>
        <w:tc>
          <w:tcPr>
            <w:tcW w:w="1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$156,042</w:t>
            </w:r>
          </w:p>
        </w:tc>
      </w:tr>
      <w:tr>
        <w:trPr>
          <w:trHeight w:val="36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(1)</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36,907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(9,633)</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31,698</w:t>
            </w:r>
          </w:p>
        </w:tc>
      </w:tr>
      <w:tr>
        <w:trPr>
          <w:trHeight w:val="365"/>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monthly net revenue per paying client</w:t>
            </w:r>
            <w:r>
              <w:rPr>
                <w:rFonts w:ascii="Times New Roman" w:cs="Times New Roman" w:eastAsia="Times New Roman" w:hAnsi="Times New Roman"/>
                <w:sz w:val="29"/>
                <w:szCs w:val="29"/>
                <w:color w:val="auto"/>
                <w:vertAlign w:val="superscript"/>
              </w:rPr>
              <w:t>(2)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2,891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3,291</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3,711</w:t>
            </w:r>
          </w:p>
        </w:tc>
      </w:tr>
      <w:tr>
        <w:trPr>
          <w:trHeight w:val="433"/>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Average monthly paying clients</w:t>
            </w:r>
            <w:r>
              <w:rPr>
                <w:rFonts w:ascii="Times New Roman" w:cs="Times New Roman" w:eastAsia="Times New Roman" w:hAnsi="Times New Roman"/>
                <w:sz w:val="29"/>
                <w:szCs w:val="29"/>
                <w:color w:val="auto"/>
                <w:vertAlign w:val="superscript"/>
              </w:rPr>
              <w:t>(3)</w:t>
            </w:r>
          </w:p>
        </w:tc>
        <w:tc>
          <w:tcPr>
            <w:tcW w:w="360" w:type="dxa"/>
            <w:vAlign w:val="bottom"/>
          </w:tcPr>
          <w:p>
            <w:pPr>
              <w:spacing w:after="0"/>
              <w:rPr>
                <w:sz w:val="24"/>
                <w:szCs w:val="24"/>
                <w:color w:val="auto"/>
              </w:rPr>
            </w:pP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5,419</w:t>
            </w:r>
          </w:p>
        </w:tc>
        <w:tc>
          <w:tcPr>
            <w:tcW w:w="680" w:type="dxa"/>
            <w:vAlign w:val="bottom"/>
          </w:tcPr>
          <w:p>
            <w:pPr>
              <w:spacing w:after="0"/>
              <w:rPr>
                <w:sz w:val="24"/>
                <w:szCs w:val="24"/>
                <w:color w:val="auto"/>
              </w:rPr>
            </w:pPr>
          </w:p>
        </w:tc>
        <w:tc>
          <w:tcPr>
            <w:tcW w:w="114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5,457</w:t>
            </w:r>
          </w:p>
        </w:tc>
        <w:tc>
          <w:tcPr>
            <w:tcW w:w="240" w:type="dxa"/>
            <w:vAlign w:val="bottom"/>
          </w:tcPr>
          <w:p>
            <w:pPr>
              <w:spacing w:after="0"/>
              <w:rPr>
                <w:sz w:val="24"/>
                <w:szCs w:val="24"/>
                <w:color w:val="auto"/>
              </w:rPr>
            </w:pPr>
          </w:p>
        </w:tc>
        <w:tc>
          <w:tcPr>
            <w:tcW w:w="7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4,337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4677410</wp:posOffset>
            </wp:positionH>
            <wp:positionV relativeFrom="paragraph">
              <wp:posOffset>-1577340</wp:posOffset>
            </wp:positionV>
            <wp:extent cx="12890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-1577340</wp:posOffset>
            </wp:positionV>
            <wp:extent cx="1371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102235</wp:posOffset>
            </wp:positionV>
            <wp:extent cx="8229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85" w:lineRule="exact"/>
        <w:rPr>
          <w:sz w:val="20"/>
          <w:szCs w:val="20"/>
          <w:color w:val="auto"/>
        </w:rPr>
      </w:pPr>
    </w:p>
    <w:p>
      <w:pPr>
        <w:jc w:val="both"/>
        <w:ind w:left="640" w:right="299" w:hanging="348"/>
        <w:spacing w:after="0" w:line="241" w:lineRule="auto"/>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further information about how we calculate EBITDA and Adjusted EBITDA as well as limitations of its use and a reconciliation of EBITDA and Adjusted EBITDA to net income (loss), see “Net Income (Loss) to EBITDA and Adjusted EBITDA” under the heading “Non-GAAP Financial Measures” below.</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monthly net revenues per paying client is defined as the average monthly net revenues for any particular period divided by the average monthly paying clients in the same respective period. Average monthly net revenues per paying client is calculated in the same manner as our previously-reported “average monthly revenue per paying client,” and the description of the metric is being updated solely to clarify that it is calculated using net revenues.</w:t>
      </w:r>
    </w:p>
    <w:p>
      <w:pPr>
        <w:spacing w:after="0" w:line="14"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monthly paying clients are defined as the average of the number of paying clients billed in a month across a particular period (and for which services were provided).</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Net Income (Loss) to EBITDA and Adjusted EBITDA</w:t>
      </w:r>
    </w:p>
    <w:p>
      <w:pPr>
        <w:spacing w:after="0" w:line="11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Our financial statements, including net income (loss), are prepared in accordance with GAAP. For more information regarding the components within our net income (loss), see “Components of Our Results of Operations” below.</w:t>
      </w:r>
    </w:p>
    <w:p>
      <w:pPr>
        <w:spacing w:after="0" w:line="5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Net income for the three months ended September 30, 2024 was $5.3 million compared with a net loss for the three months ended September 30, 2023 of $2.5 million. The change in net income was primarily due to a decrease in total costs and expenses of $10.9 million, change in fair value of warrant liability of $1.0 million, and change in tax receivable agreement (“TRA”) liability of $0.5 million, partially offset by a decrease in revenue of $0.1 million and a decrease in other income (expense) of $3.5 million.</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Net income for the nine months ended September 30, 2024 was $8.5 million compared with a net loss for the nine months ended September 30, 2023 of $4.5 million. The increase in net income was primarily due to a decrease in total costs and expenses of $20.8 million, and change in fair value of warrant liability of $1.0 million, partially offset by a decrease in revenue of $4.7 million, change in tax receivable agreement (“TRA”) liability of $0.8 million and a decrease in other income (expense) of $3.2 million.</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Net loss for the year ended December 31, 2023 was $15.7 million compared to a net loss of $82.7 million for the year ended December 31, 2022. The decrease in net loss of $66.9 million was primarily due to a decrease in revenue of $27.5 million, a decrease in comparatively favorable change in fair value of warrant liability of $23.9 million, a decrease in income from the change in tax receivables agreement liability of $143.6 million resulting from the remeasurement of the TRA liability, a decrease in total costs and expenses of $78.7 million, a decrease in provision from income taxes of $179.0 million resulting from the full valuation recorded against our deferred tax assets during the year ended December 31, 2022 and an increase in other expense of $4.2 million.</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To provide investors with additional information regarding our financial results, we have disclosed EBITDA and Adjusted EBITDA, both of which are non-GAAP financial measures that we calculate as net income (loss) before interest, taxes and depreciation and amortization expense in the case of EBITDA and further adjusted to exclude stock-based compensation, change in fair value of warrant liability, transaction related bonus, legal settlements and other legal costs, discharge of holdback obligation related to prior acquisition, reduction in force, asset impairment charges, transaction costs, change in TRA liability and other non-cash, unusual and/or infrequent costs in the case of Adjusted EBITDA. Below we have provided a reconciliation of net income (loss) (the most directly comparable GAAP financial measure) to EBITDA; and from EBITDA to Adjusted EBITDA.</w:t>
      </w:r>
    </w:p>
    <w:p>
      <w:pPr>
        <w:spacing w:after="0" w:line="8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present EBITDA and Adjusted EBITDA because these metrics are a key measure used by our management to evaluate our operating performance, generate future operating plans and make strategic decisions regarding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6" w:name="page57"/>
    <w:bookmarkEnd w:id="56"/>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allocation of investment capacity. Accordingly, we believe that EBITDA and Adjusted EBITDA provide useful information to investors and others in understanding and evaluating our operating results in the same manner as our management.</w:t>
      </w:r>
    </w:p>
    <w:p>
      <w:pPr>
        <w:spacing w:after="0" w:line="68" w:lineRule="exact"/>
        <w:rPr>
          <w:sz w:val="20"/>
          <w:szCs w:val="20"/>
          <w:color w:val="auto"/>
        </w:rPr>
      </w:pPr>
    </w:p>
    <w:p>
      <w:pPr>
        <w:jc w:val="both"/>
        <w:ind w:left="1300" w:right="1320"/>
        <w:spacing w:after="0" w:line="266" w:lineRule="auto"/>
        <w:rPr>
          <w:sz w:val="20"/>
          <w:szCs w:val="20"/>
          <w:color w:val="auto"/>
        </w:rPr>
      </w:pPr>
      <w:r>
        <w:rPr>
          <w:rFonts w:ascii="Times New Roman" w:cs="Times New Roman" w:eastAsia="Times New Roman" w:hAnsi="Times New Roman"/>
          <w:sz w:val="18"/>
          <w:szCs w:val="18"/>
          <w:color w:val="auto"/>
        </w:rPr>
        <w:t>Each of EBITDA and Adjusted EBITDA has limitations as an analytical tool, and you should not consider any of these non-GAAP financial measures in isolation or as a substitute for analysis of our results as reported under GAAP. Some of these limitations are as follows:</w:t>
      </w:r>
    </w:p>
    <w:p>
      <w:pPr>
        <w:spacing w:after="0" w:line="68" w:lineRule="exact"/>
        <w:rPr>
          <w:sz w:val="20"/>
          <w:szCs w:val="20"/>
          <w:color w:val="auto"/>
        </w:rPr>
      </w:pPr>
    </w:p>
    <w:p>
      <w:pPr>
        <w:jc w:val="both"/>
        <w:ind w:left="2000" w:right="1320" w:hanging="348"/>
        <w:spacing w:after="0" w:line="266" w:lineRule="auto"/>
        <w:tabs>
          <w:tab w:leader="none" w:pos="2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EBITDA and Adjusted EBITDA do not reflect cash capital expenditure requirements for such replacements or for new capital expenditure requirements;</w:t>
      </w:r>
    </w:p>
    <w:p>
      <w:pPr>
        <w:spacing w:after="0" w:line="67" w:lineRule="exact"/>
        <w:rPr>
          <w:rFonts w:ascii="Times New Roman" w:cs="Times New Roman" w:eastAsia="Times New Roman" w:hAnsi="Times New Roman"/>
          <w:sz w:val="18"/>
          <w:szCs w:val="18"/>
          <w:color w:val="auto"/>
        </w:rPr>
      </w:pPr>
    </w:p>
    <w:p>
      <w:pPr>
        <w:ind w:left="2000" w:right="1320" w:hanging="348"/>
        <w:spacing w:after="0" w:line="282" w:lineRule="auto"/>
        <w:tabs>
          <w:tab w:leader="none" w:pos="2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changes in, or cash requirements for, our working capital needs; and</w:t>
      </w:r>
    </w:p>
    <w:p>
      <w:pPr>
        <w:spacing w:after="0" w:line="53" w:lineRule="exact"/>
        <w:rPr>
          <w:rFonts w:ascii="Times New Roman" w:cs="Times New Roman" w:eastAsia="Times New Roman" w:hAnsi="Times New Roman"/>
          <w:sz w:val="18"/>
          <w:szCs w:val="18"/>
          <w:color w:val="auto"/>
        </w:rPr>
      </w:pPr>
    </w:p>
    <w:p>
      <w:pPr>
        <w:ind w:left="2000" w:right="1300" w:hanging="348"/>
        <w:spacing w:after="0" w:line="282" w:lineRule="auto"/>
        <w:tabs>
          <w:tab w:leader="none" w:pos="2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tax payments that may represent a reduction in cash available to us.</w:t>
      </w:r>
    </w:p>
    <w:p>
      <w:pPr>
        <w:spacing w:after="0" w:line="54" w:lineRule="exact"/>
        <w:rPr>
          <w:sz w:val="20"/>
          <w:szCs w:val="20"/>
          <w:color w:val="auto"/>
        </w:rPr>
      </w:pPr>
    </w:p>
    <w:p>
      <w:pPr>
        <w:ind w:left="1300" w:right="1320"/>
        <w:spacing w:after="0" w:line="282" w:lineRule="auto"/>
        <w:rPr>
          <w:sz w:val="20"/>
          <w:szCs w:val="20"/>
          <w:color w:val="auto"/>
        </w:rPr>
      </w:pPr>
      <w:r>
        <w:rPr>
          <w:rFonts w:ascii="Times New Roman" w:cs="Times New Roman" w:eastAsia="Times New Roman" w:hAnsi="Times New Roman"/>
          <w:sz w:val="18"/>
          <w:szCs w:val="18"/>
          <w:color w:val="auto"/>
        </w:rPr>
        <w:t>Because of these limitations, you should consider EBITDA and Adjusted EBITDA alongside other financial performance measures, including net income (loss) and our other GAAP results.</w:t>
      </w:r>
    </w:p>
    <w:p>
      <w:pPr>
        <w:spacing w:after="0" w:line="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reconciliation of net income (loss) to non-GAAP EBITDA and Adjusted EBITDA is as follows:</w:t>
      </w:r>
    </w:p>
    <w:p>
      <w:pPr>
        <w:spacing w:after="0" w:line="3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For the Three and Nine Months Ended September 30, 2024 and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9"/>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0" w:type="dxa"/>
            <w:vAlign w:val="bottom"/>
            <w:gridSpan w:val="8"/>
          </w:tcPr>
          <w:p>
            <w:pPr>
              <w:jc w:val="right"/>
              <w:ind w:right="15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9"/>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0" w:type="dxa"/>
            <w:vAlign w:val="bottom"/>
            <w:gridSpan w:val="8"/>
          </w:tcPr>
          <w:p>
            <w:pPr>
              <w:ind w:lef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4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13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3"/>
          </w:tcPr>
          <w:p>
            <w:pPr>
              <w:jc w:val="center"/>
              <w:ind w:left="21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1300" w:type="dxa"/>
            <w:vAlign w:val="bottom"/>
          </w:tcPr>
          <w:p>
            <w:pPr>
              <w:spacing w:after="0"/>
              <w:rPr>
                <w:sz w:val="4"/>
                <w:szCs w:val="4"/>
                <w:color w:val="auto"/>
              </w:rPr>
            </w:pPr>
          </w:p>
        </w:tc>
        <w:tc>
          <w:tcPr>
            <w:tcW w:w="4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13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80" w:type="dxa"/>
            <w:vAlign w:val="bottom"/>
            <w:gridSpan w:val="10"/>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4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6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4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(2,512)</w:t>
            </w: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$ 8,471</w:t>
            </w:r>
          </w:p>
        </w:tc>
        <w:tc>
          <w:tcPr>
            <w:tcW w:w="2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(4,498)</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72</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60" w:type="dxa"/>
            <w:vAlign w:val="bottom"/>
            <w:gridSpan w:val="3"/>
          </w:tcPr>
          <w:p>
            <w:pPr>
              <w:jc w:val="right"/>
              <w:ind w:right="1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4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4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4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4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9,641</w:t>
            </w:r>
          </w:p>
        </w:tc>
        <w:tc>
          <w:tcPr>
            <w:tcW w:w="2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9,417</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(280)</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(331)</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4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4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8,576</w:t>
            </w:r>
          </w:p>
        </w:tc>
        <w:tc>
          <w:tcPr>
            <w:tcW w:w="4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17,853</w:t>
            </w:r>
          </w:p>
        </w:tc>
        <w:tc>
          <w:tcPr>
            <w:tcW w:w="2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480" w:type="dxa"/>
            <w:vAlign w:val="bottom"/>
          </w:tcPr>
          <w:p>
            <w:pPr>
              <w:spacing w:after="0"/>
              <w:rPr>
                <w:sz w:val="22"/>
                <w:szCs w:val="22"/>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7,172</w:t>
            </w:r>
          </w:p>
        </w:tc>
        <w:tc>
          <w:tcPr>
            <w:tcW w:w="260" w:type="dxa"/>
            <w:vAlign w:val="bottom"/>
          </w:tcPr>
          <w:p>
            <w:pPr>
              <w:spacing w:after="0"/>
              <w:rPr>
                <w:sz w:val="22"/>
                <w:szCs w:val="22"/>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10,389</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4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4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4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(585)</w:t>
            </w: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related bonus expense</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4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4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settlements and other legal costs</w:t>
            </w:r>
          </w:p>
        </w:tc>
        <w:tc>
          <w:tcPr>
            <w:tcW w:w="4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4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w:t>
            </w:r>
          </w:p>
        </w:tc>
        <w:tc>
          <w:tcPr>
            <w:tcW w:w="2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Reduction in force (recovery) expense</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4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4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4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300" w:type="dxa"/>
            <w:vAlign w:val="bottom"/>
          </w:tcPr>
          <w:p>
            <w:pPr>
              <w:spacing w:after="0"/>
              <w:rPr>
                <w:sz w:val="20"/>
                <w:szCs w:val="20"/>
                <w:color w:val="auto"/>
              </w:rPr>
            </w:pP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Discharge of a holdback obligation related to a prior</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(3,705)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(3,705)</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4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4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480" w:type="dxa"/>
            <w:vAlign w:val="bottom"/>
            <w:shd w:val="clear" w:color="auto" w:fill="CCEEFF"/>
          </w:tcPr>
          <w:p>
            <w:pPr>
              <w:spacing w:after="0"/>
              <w:rPr>
                <w:sz w:val="21"/>
                <w:szCs w:val="21"/>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26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8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410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11,312</w:t>
            </w:r>
          </w:p>
        </w:tc>
        <w:tc>
          <w:tcPr>
            <w:tcW w:w="480" w:type="dxa"/>
            <w:vAlign w:val="bottom"/>
          </w:tcPr>
          <w:p>
            <w:pPr>
              <w:spacing w:after="0"/>
              <w:rPr>
                <w:sz w:val="23"/>
                <w:szCs w:val="23"/>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10,671</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31,001</w:t>
            </w:r>
          </w:p>
        </w:tc>
        <w:tc>
          <w:tcPr>
            <w:tcW w:w="8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28,028</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1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w w:val="98"/>
              </w:rPr>
              <w:t>For the Years Ended December 31, 2023, 2022 and 2021</w:t>
            </w: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130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13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40" w:type="dxa"/>
            <w:vAlign w:val="bottom"/>
            <w:gridSpan w:val="15"/>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4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13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3"/>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1300" w:type="dxa"/>
            <w:vAlign w:val="bottom"/>
          </w:tcPr>
          <w:p>
            <w:pPr>
              <w:spacing w:after="0"/>
              <w:rPr>
                <w:sz w:val="4"/>
                <w:szCs w:val="4"/>
                <w:color w:val="auto"/>
              </w:rPr>
            </w:pPr>
          </w:p>
        </w:tc>
        <w:tc>
          <w:tcPr>
            <w:tcW w:w="4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13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4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$(15,727)</w:t>
            </w:r>
          </w:p>
        </w:tc>
        <w:tc>
          <w:tcPr>
            <w:tcW w:w="106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(82,651)</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$ 152,218</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tcPr>
          <w:p>
            <w:pPr>
              <w:spacing w:after="0"/>
              <w:rPr>
                <w:sz w:val="22"/>
                <w:szCs w:val="22"/>
                <w:color w:val="auto"/>
              </w:rPr>
            </w:pPr>
          </w:p>
        </w:tc>
        <w:tc>
          <w:tcPr>
            <w:tcW w:w="106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179,077</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1300" w:type="dxa"/>
            <w:vAlign w:val="bottom"/>
          </w:tcPr>
          <w:p>
            <w:pPr>
              <w:spacing w:after="0"/>
              <w:rPr>
                <w:sz w:val="3"/>
                <w:szCs w:val="3"/>
                <w:color w:val="auto"/>
              </w:rPr>
            </w:pPr>
          </w:p>
        </w:tc>
        <w:tc>
          <w:tcPr>
            <w:tcW w:w="4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4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4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5"/>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11,498</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60" w:type="dxa"/>
            <w:vAlign w:val="bottom"/>
            <w:gridSpan w:val="3"/>
          </w:tcPr>
          <w:p>
            <w:pPr>
              <w:jc w:val="right"/>
              <w:ind w:right="1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4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4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(3,534)</w:t>
            </w:r>
          </w:p>
        </w:tc>
        <w:tc>
          <w:tcPr>
            <w:tcW w:w="1060" w:type="dxa"/>
            <w:vAlign w:val="bottom"/>
            <w:tcBorders>
              <w:bottom w:val="single" w:sz="8" w:color="CCEEFF"/>
            </w:tcBorders>
            <w:gridSpan w:val="5"/>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107,924</w:t>
            </w:r>
          </w:p>
        </w:tc>
        <w:tc>
          <w:tcPr>
            <w:tcW w:w="86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156,042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180" w:type="dxa"/>
            <w:vAlign w:val="bottom"/>
          </w:tcPr>
          <w:p>
            <w:pPr>
              <w:spacing w:after="0"/>
              <w:rPr>
                <w:sz w:val="22"/>
                <w:szCs w:val="22"/>
                <w:color w:val="auto"/>
              </w:rPr>
            </w:pPr>
          </w:p>
        </w:tc>
        <w:tc>
          <w:tcPr>
            <w:tcW w:w="106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23,493</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29,324</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1300" w:type="dxa"/>
            <w:vAlign w:val="bottom"/>
          </w:tcPr>
          <w:p>
            <w:pPr>
              <w:spacing w:after="0"/>
              <w:rPr>
                <w:sz w:val="3"/>
                <w:szCs w:val="3"/>
                <w:color w:val="auto"/>
              </w:rPr>
            </w:pPr>
          </w:p>
        </w:tc>
        <w:tc>
          <w:tcPr>
            <w:tcW w:w="4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4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4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(1,505)</w:t>
            </w:r>
          </w:p>
        </w:tc>
        <w:tc>
          <w:tcPr>
            <w:tcW w:w="106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(25,370)</w:t>
            </w:r>
          </w:p>
        </w:tc>
        <w:tc>
          <w:tcPr>
            <w:tcW w:w="8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(166,518)</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transaction costs</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9"/>
              </w:rPr>
              <w:t>50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4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5501005</wp:posOffset>
            </wp:positionH>
            <wp:positionV relativeFrom="paragraph">
              <wp:posOffset>-6025515</wp:posOffset>
            </wp:positionV>
            <wp:extent cx="25717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4832350</wp:posOffset>
            </wp:positionH>
            <wp:positionV relativeFrom="paragraph">
              <wp:posOffset>-6025515</wp:posOffset>
            </wp:positionV>
            <wp:extent cx="25717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-6025515</wp:posOffset>
            </wp:positionV>
            <wp:extent cx="25717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5509260</wp:posOffset>
            </wp:positionH>
            <wp:positionV relativeFrom="paragraph">
              <wp:posOffset>-2159635</wp:posOffset>
            </wp:positionV>
            <wp:extent cx="15430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4883785</wp:posOffset>
            </wp:positionH>
            <wp:positionV relativeFrom="paragraph">
              <wp:posOffset>-2159635</wp:posOffset>
            </wp:positionV>
            <wp:extent cx="15430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ectPr>
          <w:pgSz w:w="11900" w:h="16838" w:orient="portrait"/>
          <w:cols w:equalWidth="0" w:num="1">
            <w:col w:w="11020"/>
          </w:cols>
          <w:pgMar w:left="440" w:top="263" w:right="439" w:bottom="609" w:gutter="0" w:footer="0" w:header="0"/>
        </w:sectPr>
      </w:pPr>
    </w:p>
    <w:bookmarkStart w:id="57" w:name="page58"/>
    <w:bookmarkEnd w:id="57"/>
    <w:tbl>
      <w:tblPr>
        <w:tblLayout w:type="fixed"/>
        <w:tblInd w:w="300" w:type="dxa"/>
        <w:tblCellMar>
          <w:top w:w="0" w:type="dxa"/>
          <w:left w:w="0" w:type="dxa"/>
          <w:bottom w:w="0" w:type="dxa"/>
          <w:right w:w="0" w:type="dxa"/>
        </w:tblCellMar>
      </w:tblPr>
      <w:tr>
        <w:trPr>
          <w:trHeight w:val="161"/>
        </w:trPr>
        <w:tc>
          <w:tcPr>
            <w:tcW w:w="5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402"/>
        </w:trPr>
        <w:tc>
          <w:tcPr>
            <w:tcW w:w="1540" w:type="dxa"/>
            <w:vAlign w:val="bottom"/>
            <w:tcBorders>
              <w:top w:val="single" w:sz="8" w:color="0000EE"/>
            </w:tcBorders>
          </w:tcPr>
          <w:p>
            <w:pPr>
              <w:spacing w:after="0"/>
              <w:rPr>
                <w:sz w:val="24"/>
                <w:szCs w:val="24"/>
                <w:color w:val="auto"/>
              </w:rPr>
            </w:pPr>
          </w:p>
        </w:tc>
        <w:tc>
          <w:tcPr>
            <w:tcW w:w="4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0" w:type="dxa"/>
            <w:vAlign w:val="bottom"/>
            <w:gridSpan w:val="8"/>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1"/>
        </w:trPr>
        <w:tc>
          <w:tcPr>
            <w:tcW w:w="1540" w:type="dxa"/>
            <w:vAlign w:val="bottom"/>
          </w:tcPr>
          <w:p>
            <w:pPr>
              <w:spacing w:after="0"/>
              <w:rPr>
                <w:sz w:val="4"/>
                <w:szCs w:val="4"/>
                <w:color w:val="auto"/>
              </w:rPr>
            </w:pPr>
          </w:p>
        </w:tc>
        <w:tc>
          <w:tcPr>
            <w:tcW w:w="424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7"/>
        </w:trPr>
        <w:tc>
          <w:tcPr>
            <w:tcW w:w="154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62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9"/>
                <w:szCs w:val="19"/>
                <w:color w:val="auto"/>
              </w:rPr>
            </w:pPr>
          </w:p>
        </w:tc>
        <w:tc>
          <w:tcPr>
            <w:tcW w:w="84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9"/>
                <w:szCs w:val="19"/>
                <w:color w:val="auto"/>
              </w:rPr>
            </w:pPr>
          </w:p>
        </w:tc>
        <w:tc>
          <w:tcPr>
            <w:tcW w:w="7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9"/>
                <w:szCs w:val="19"/>
                <w:color w:val="auto"/>
              </w:rPr>
            </w:pPr>
          </w:p>
        </w:tc>
      </w:tr>
      <w:tr>
        <w:trPr>
          <w:trHeight w:val="50"/>
        </w:trPr>
        <w:tc>
          <w:tcPr>
            <w:tcW w:w="1540" w:type="dxa"/>
            <w:vAlign w:val="bottom"/>
          </w:tcPr>
          <w:p>
            <w:pPr>
              <w:spacing w:after="0"/>
              <w:rPr>
                <w:sz w:val="4"/>
                <w:szCs w:val="4"/>
                <w:color w:val="auto"/>
              </w:rPr>
            </w:pPr>
          </w:p>
        </w:tc>
        <w:tc>
          <w:tcPr>
            <w:tcW w:w="424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7"/>
        </w:trPr>
        <w:tc>
          <w:tcPr>
            <w:tcW w:w="154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51"/>
        </w:trPr>
        <w:tc>
          <w:tcPr>
            <w:tcW w:w="1540" w:type="dxa"/>
            <w:vAlign w:val="bottom"/>
          </w:tcPr>
          <w:p>
            <w:pPr>
              <w:spacing w:after="0"/>
              <w:rPr>
                <w:sz w:val="4"/>
                <w:szCs w:val="4"/>
                <w:color w:val="auto"/>
              </w:rPr>
            </w:pPr>
          </w:p>
        </w:tc>
        <w:tc>
          <w:tcPr>
            <w:tcW w:w="424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57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1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2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7"/>
        </w:trPr>
        <w:tc>
          <w:tcPr>
            <w:tcW w:w="5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Transaction related bonus expense</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14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10,119</w:t>
            </w:r>
          </w:p>
        </w:tc>
        <w:tc>
          <w:tcPr>
            <w:tcW w:w="26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80" w:type="dxa"/>
            <w:vAlign w:val="bottom"/>
          </w:tcPr>
          <w:p>
            <w:pPr>
              <w:spacing w:after="0"/>
              <w:rPr>
                <w:sz w:val="22"/>
                <w:szCs w:val="22"/>
                <w:color w:val="auto"/>
              </w:rPr>
            </w:pPr>
          </w:p>
        </w:tc>
      </w:tr>
      <w:tr>
        <w:trPr>
          <w:trHeight w:val="41"/>
        </w:trPr>
        <w:tc>
          <w:tcPr>
            <w:tcW w:w="1540" w:type="dxa"/>
            <w:vAlign w:val="bottom"/>
          </w:tcPr>
          <w:p>
            <w:pPr>
              <w:spacing w:after="0"/>
              <w:rPr>
                <w:sz w:val="3"/>
                <w:szCs w:val="3"/>
                <w:color w:val="auto"/>
              </w:rPr>
            </w:pPr>
          </w:p>
        </w:tc>
        <w:tc>
          <w:tcPr>
            <w:tcW w:w="42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77"/>
        </w:trPr>
        <w:tc>
          <w:tcPr>
            <w:tcW w:w="57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costs</w:t>
            </w:r>
          </w:p>
        </w:tc>
        <w:tc>
          <w:tcPr>
            <w:tcW w:w="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7"/>
        </w:trPr>
        <w:tc>
          <w:tcPr>
            <w:tcW w:w="5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Legal settlements and other legal costs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14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26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Pr>
          <w:p>
            <w:pPr>
              <w:spacing w:after="0"/>
              <w:rPr>
                <w:sz w:val="22"/>
                <w:szCs w:val="22"/>
                <w:color w:val="auto"/>
              </w:rPr>
            </w:pPr>
          </w:p>
        </w:tc>
      </w:tr>
      <w:tr>
        <w:trPr>
          <w:trHeight w:val="41"/>
        </w:trPr>
        <w:tc>
          <w:tcPr>
            <w:tcW w:w="1540" w:type="dxa"/>
            <w:vAlign w:val="bottom"/>
          </w:tcPr>
          <w:p>
            <w:pPr>
              <w:spacing w:after="0"/>
              <w:rPr>
                <w:sz w:val="3"/>
                <w:szCs w:val="3"/>
                <w:color w:val="auto"/>
              </w:rPr>
            </w:pPr>
          </w:p>
        </w:tc>
        <w:tc>
          <w:tcPr>
            <w:tcW w:w="42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77"/>
        </w:trPr>
        <w:tc>
          <w:tcPr>
            <w:tcW w:w="57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Discharge of holdback obligation related to prior acquisition</w:t>
            </w:r>
          </w:p>
        </w:tc>
        <w:tc>
          <w:tcPr>
            <w:tcW w:w="7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(3,705)</w:t>
            </w: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40" w:type="dxa"/>
            <w:vAlign w:val="bottom"/>
          </w:tcPr>
          <w:p>
            <w:pPr>
              <w:spacing w:after="0"/>
              <w:rPr>
                <w:sz w:val="22"/>
                <w:szCs w:val="22"/>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(142,352)</w:t>
            </w:r>
          </w:p>
        </w:tc>
        <w:tc>
          <w:tcPr>
            <w:tcW w:w="120" w:type="dxa"/>
            <w:vAlign w:val="bottom"/>
          </w:tcPr>
          <w:p>
            <w:pPr>
              <w:spacing w:after="0"/>
              <w:rPr>
                <w:sz w:val="22"/>
                <w:szCs w:val="2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1540" w:type="dxa"/>
            <w:vAlign w:val="bottom"/>
          </w:tcPr>
          <w:p>
            <w:pPr>
              <w:spacing w:after="0"/>
              <w:rPr>
                <w:sz w:val="3"/>
                <w:szCs w:val="3"/>
                <w:color w:val="auto"/>
              </w:rPr>
            </w:pPr>
          </w:p>
        </w:tc>
        <w:tc>
          <w:tcPr>
            <w:tcW w:w="42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57"/>
        </w:trPr>
        <w:tc>
          <w:tcPr>
            <w:tcW w:w="5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Reduction in force (recovery) expense</w:t>
            </w:r>
          </w:p>
        </w:tc>
        <w:tc>
          <w:tcPr>
            <w:tcW w:w="4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48"/>
        </w:trPr>
        <w:tc>
          <w:tcPr>
            <w:tcW w:w="1540" w:type="dxa"/>
            <w:vAlign w:val="bottom"/>
            <w:tcBorders>
              <w:top w:val="single" w:sz="8" w:color="CCEEFF"/>
            </w:tcBorders>
            <w:shd w:val="clear" w:color="auto" w:fill="CCEEFF"/>
          </w:tcPr>
          <w:p>
            <w:pPr>
              <w:spacing w:after="0"/>
              <w:rPr>
                <w:sz w:val="4"/>
                <w:szCs w:val="4"/>
                <w:color w:val="auto"/>
              </w:rPr>
            </w:pPr>
          </w:p>
        </w:tc>
        <w:tc>
          <w:tcPr>
            <w:tcW w:w="4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70"/>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36,907</w:t>
            </w:r>
          </w:p>
        </w:tc>
        <w:tc>
          <w:tcPr>
            <w:tcW w:w="140" w:type="dxa"/>
            <w:vAlign w:val="bottom"/>
          </w:tcPr>
          <w:p>
            <w:pPr>
              <w:spacing w:after="0"/>
              <w:rPr>
                <w:sz w:val="23"/>
                <w:szCs w:val="23"/>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  (9,633)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31,698</w:t>
            </w:r>
          </w:p>
        </w:tc>
        <w:tc>
          <w:tcPr>
            <w:tcW w:w="80" w:type="dxa"/>
            <w:vAlign w:val="bottom"/>
          </w:tcPr>
          <w:p>
            <w:pPr>
              <w:spacing w:after="0"/>
              <w:rPr>
                <w:sz w:val="23"/>
                <w:szCs w:val="23"/>
                <w:color w:val="auto"/>
              </w:rPr>
            </w:pPr>
          </w:p>
        </w:tc>
      </w:tr>
      <w:tr>
        <w:trPr>
          <w:trHeight w:val="21"/>
        </w:trPr>
        <w:tc>
          <w:tcPr>
            <w:tcW w:w="15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4917440</wp:posOffset>
            </wp:positionH>
            <wp:positionV relativeFrom="paragraph">
              <wp:posOffset>-1748155</wp:posOffset>
            </wp:positionV>
            <wp:extent cx="1543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-1748155</wp:posOffset>
            </wp:positionV>
            <wp:extent cx="1543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Average Monthly Net Revenues Per Paying Client</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Average monthly net revenues per paying client measures how much clients, for the period of measurement, are willing to pay us for our subscription and additional offerings and the efficiency of the bid-auction process for our featured listings placements. We calculate this metric by dividing the average monthly net revenues for any particular period by the average monthly number of paying clients in the same respective period. The increase in our average monthly net revenues per paying client for both the three and nine months ended September 30, 2024 was due to sunset of certain products, which had lower average monthly spending clients, in the fourth quarter of 2023.</w:t>
      </w:r>
    </w:p>
    <w:p>
      <w:pPr>
        <w:spacing w:after="0" w:line="22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23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50"/>
        </w:trPr>
        <w:tc>
          <w:tcPr>
            <w:tcW w:w="388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27"/>
        </w:trPr>
        <w:tc>
          <w:tcPr>
            <w:tcW w:w="3880" w:type="dxa"/>
            <w:vAlign w:val="bottom"/>
          </w:tcPr>
          <w:p>
            <w:pPr>
              <w:spacing w:after="0"/>
              <w:rPr>
                <w:sz w:val="19"/>
                <w:szCs w:val="19"/>
                <w:color w:val="auto"/>
              </w:rPr>
            </w:pPr>
          </w:p>
        </w:tc>
        <w:tc>
          <w:tcPr>
            <w:tcW w:w="108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108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9"/>
                <w:szCs w:val="19"/>
                <w:color w:val="auto"/>
              </w:rPr>
            </w:pPr>
          </w:p>
        </w:tc>
        <w:tc>
          <w:tcPr>
            <w:tcW w:w="104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104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50"/>
        </w:trPr>
        <w:tc>
          <w:tcPr>
            <w:tcW w:w="388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77"/>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monthly net revenues per paying client</w:t>
            </w:r>
          </w:p>
        </w:tc>
        <w:tc>
          <w:tcPr>
            <w:tcW w:w="108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$3,043</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$2,874</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$3,025</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$2,831</w:t>
            </w:r>
          </w:p>
        </w:tc>
      </w:tr>
      <w:tr>
        <w:trPr>
          <w:trHeight w:val="54"/>
        </w:trPr>
        <w:tc>
          <w:tcPr>
            <w:tcW w:w="388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-222250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-222250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-222250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-222250</wp:posOffset>
            </wp:positionV>
            <wp:extent cx="342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Average monthly revenue per paying client was $2,891 for the year ended December 31, 2023 compared with $3,291 for the year ended December 31, 2022. The decline in our average monthly net revenue per paying client for the year ended December 31, 2023, as compared to the prior year, was due to spend declines in established markets. We expected these pressures given the continued liquidity challenges that clients are facing.</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Average Monthly Paying Clients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define average monthly paying clients as the monthly average of clients billed each month over a particular period (and for which services were provided). Our paying clients include both individual cannabis businesses as well as retail websites or businesses within a larger organization that have independent relationships with us, many of whom are owned by holding companies where decision-making is decentralized such that purchasing decisions are made, and relationships with us are located, at a lower organizational level. In addition, any client may choose to purchase multiple listing solutions for each of their retail websites or businesses.</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Average monthly net revenues per paying clients for the three months ended September 30, 2024 decreased 6% to 5,100 average monthly paying clients from 5,414 average monthly paying clients in the same period in 2023. Average monthly paying clients for the nine months ended September 30, 2024 decreased 10% to 5,027 average monthly paying clients from 5,555 average monthly paying clients in the same period in 2023.</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980" w:type="dxa"/>
            <w:vAlign w:val="bottom"/>
          </w:tcPr>
          <w:p>
            <w:pPr>
              <w:spacing w:after="0"/>
              <w:rPr>
                <w:sz w:val="16"/>
                <w:szCs w:val="16"/>
                <w:color w:val="auto"/>
              </w:rPr>
            </w:pPr>
          </w:p>
        </w:tc>
        <w:tc>
          <w:tcPr>
            <w:tcW w:w="24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50"/>
        </w:trPr>
        <w:tc>
          <w:tcPr>
            <w:tcW w:w="398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27"/>
        </w:trPr>
        <w:tc>
          <w:tcPr>
            <w:tcW w:w="3980" w:type="dxa"/>
            <w:vAlign w:val="bottom"/>
          </w:tcPr>
          <w:p>
            <w:pPr>
              <w:spacing w:after="0"/>
              <w:rPr>
                <w:sz w:val="19"/>
                <w:szCs w:val="19"/>
                <w:color w:val="auto"/>
              </w:rPr>
            </w:pPr>
          </w:p>
        </w:tc>
        <w:tc>
          <w:tcPr>
            <w:tcW w:w="110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110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9"/>
                <w:szCs w:val="19"/>
                <w:color w:val="auto"/>
              </w:rPr>
            </w:pPr>
          </w:p>
        </w:tc>
        <w:tc>
          <w:tcPr>
            <w:tcW w:w="104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9"/>
                <w:szCs w:val="19"/>
                <w:color w:val="auto"/>
              </w:rPr>
            </w:pPr>
          </w:p>
        </w:tc>
        <w:tc>
          <w:tcPr>
            <w:tcW w:w="104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50"/>
        </w:trPr>
        <w:tc>
          <w:tcPr>
            <w:tcW w:w="398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77"/>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monthly paying clients</w:t>
            </w:r>
          </w:p>
        </w:tc>
        <w:tc>
          <w:tcPr>
            <w:tcW w:w="110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5,100</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5,414</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5,027</w:t>
            </w:r>
          </w:p>
        </w:tc>
        <w:tc>
          <w:tcPr>
            <w:tcW w:w="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5,555</w:t>
            </w:r>
          </w:p>
        </w:tc>
      </w:tr>
      <w:tr>
        <w:trPr>
          <w:trHeight w:val="54"/>
        </w:trPr>
        <w:tc>
          <w:tcPr>
            <w:tcW w:w="398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-222250</wp:posOffset>
            </wp:positionV>
            <wp:extent cx="514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-222250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-222250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-222250</wp:posOffset>
            </wp:positionV>
            <wp:extent cx="342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Average monthly paying clients for the year ended December 31, 2023 decreased by approximately 1% to 5,419 average monthly paying clients from 5,457 average monthly paying clients in the same period in 2022. The decrease in average monthly paying clients in 2023 as compared to the same period in 2022 was primarily due to elevated churn as a result of the cannabis industry facing price deflation in 2023.</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Growth of Our Two-Sided Weedmaps Marketplace</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We have historically grown through and intend to focus on continuing to grow through the expansion of our two-sided marketplace, which occurs through growth of the number and type of businesses and consumers that we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attract to our platform. We believe that expansion of the number and types of cannabis businesses that choose to list on our platform will continue to make our platform more compelling for consumers and drive traffic and consumer engagement, which in turn will make our platform more valuable to cannabis businesses.</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Growth and Retention of Our Paying Clients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revenue grows primarily through acquiring and retaining paying clients and increasing the revenue per paying client over time. We have a history of attracting new paying clients and increasing their annual spend with us over time, primarily due to the value they receive once they are onboarded and able to take advantage of the benefits of participating in our two-sided marketplace and leveraging our software solutions.</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Prices of certain commodity products, including gas prices, are historically volatile and subject to fluctuations arising from changes in domestic and international supply and demand, labor costs, competition, market speculation, government regulations, trade restrictions and tariffs, inflation, the military conflict between Russia and Ukraine and the recent state of war between Israel and Hamas and the related risk of a larger regional conflict. Increasing prices in the component materials for the goods or services of our clients may impact their ability to maintain or increase their spend with us and their ability to pay their invoices on time. Rapid and significant changes in commodity prices may negatively affect our revenue if our clients are unable to mitigate inflationary increases through various customer pricing actions and cost reduction initiatives. This could also negatively impact our net dollar retention and our collections on accounts receivable.</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Regulation and Maturation of Cannabis Markets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believe that we will have significant opportunities for greater growth as more jurisdictions legalize cannabis for medical and/or adult-use and the regulatory environment continues to develop. As of September 30, 2024, thirty-nine states, the District of Columbia, Puerto Rico, the Virgin Islands, Guam and the Northern Mariana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three states continue to prohibit cannabis entirely. We intend to explore new expansion opportunities as additional jurisdictions legalize cannabis for medical or adult use and leverage our business model informed by our 15-year operating history to enter new markets.</w:t>
      </w:r>
    </w:p>
    <w:p>
      <w:pPr>
        <w:spacing w:after="0" w:line="8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also have a significant opportunity to monetize transactions originating from users engaging with a retailer on the Weedmaps marketplace or tracked via one of our Weedmaps for Business solutions. Given U.S. federal prohibitions on plant-touching businesses and our current policy not to participate in the chain of commerce associated with the sale of cannabis products, we do not charge take-rates or payment fees for transactions originating from users who engage with a retailer on the Weedmaps platform or tracked via one of our Weedmaps for Business solutions. A change in U.S. federal regulations could result in our ability to engage in such monetization efforts without adverse consequences to our business. A change in U.S. federal regulations could also increase access to capital and remove limitations of Section 280E of the Internal Revenue Code of 1986, as amended, thus allowing deduction or credit for certain expenses of cannabis business to increase our cash flow and liquidity, as well as those of many industry participants.</w:t>
      </w:r>
    </w:p>
    <w:p>
      <w:pPr>
        <w:spacing w:after="0" w:line="86"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Our long-term growth depends on our ability to successfully capitalize on new and existing cannabis markets. Each market must reach a critical mass of both cannabis businesses and consumers for listing subscriptions, advertising placements and other solutions to have meaningful appeal to potential clients. As regulated markets mature and as we incur expenses to attract paying clients and convert non-paying clients to paying clients, we may generate losses in new markets for an extended period.</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Furthermore, we compete with cannabis-focused and general two-sided marketplaces, internet search engines and various other newspaper, television and media companies and other software providers. 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 Our current and future competitors may also enjoy other competitive advantages, such as greater name recognition, more offerings and larger marketing budgets.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Brand Recognition and Reputation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believe that maintaining and enhancing our brand identity and our reputation is critical to maintaining and growing our relationships with clients and consumers and to our ability to attract new clients and consumers. Historically, a substantial majority of our marketing spending was on out-of-home advertising on billboards, buses and other non-digital outlets. Starting in 2019, consistent with the overall shift in perceptions regarding cannabis, a number of demand-side digital advertising platforms allowed us to advertise online. We also invested in growing our internal digital performance advertising team. We believe there is an opportunity to improve market efficiency through digital channels and expect to shift our marketing spending accordingly. Over the longer term, we expect to shift and accelerate our marketing spend to additional online and traditional channels, such as broadcast television or radio, as they become available to us. Further, we have begun reinvesting in our own on-the-ground and field marketing presence and are increasing the types and cadence of client events. These events and in-store activations allow Weedmaps to engage with consumers at the point of purchase and also afford Weedmaps with the opportunity to engage directly with our clients, understand their needs and challenges and foster goodwill.</w:t>
      </w:r>
    </w:p>
    <w:p>
      <w:pPr>
        <w:spacing w:after="0" w:line="8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Negative publicity, whether or not justified, relating to events or activities attributed to us, our employees, clients or others associated with any of these parties, may tarnish our reputation and reduce the value of our brand. Given our high visibility and relatively long operating history compared to many of our competitors,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spacing w:after="0" w:line="8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Growth</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intend to continue to make focused organic and inorganic investments to grow our revenue and scale operations to support that growth.</w:t>
      </w:r>
    </w:p>
    <w:p>
      <w:pPr>
        <w:spacing w:after="0" w:line="5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Given our long operating history in the United States and the strength of our network, often businesses will initially list on our platform without targeted sales or marketing efforts by us. However, we plan to accelerate our investments in marketing to maintain and increase our brand awareness through both online and offline channels. We also plan to invest in expanding our business listings thereby enhancing our client and consumer experience, and improving the depth and quality of information provided on our platform. We also intend to continue to invest in several areas to continue enhancing the functionality of our Weedmaps for Business offering. We expect significant near-term investments to enhance our data assets and evolve our current listings and software offerings to our brand clients, among other areas. We anticipate undertaking such investments in order to be positioned to capitalize on the rapidly expanding cannabis market.</w:t>
      </w:r>
    </w:p>
    <w:p>
      <w:pPr>
        <w:spacing w:after="0" w:line="80"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As operating expenses and capital expenditures fluctuate over time, we may accordingly experience short-term, negative impacts to our operating results and cash flows.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revenues are derived primarily from monthly subscriptions to Weedmaps for Business, featured and deal listings, other ad solutions and WM Dispatch. Our Weedmaps for Business subscriptions generally have one-month terms that automatically renew unless notice of cancellation is provided in advance. Featured and deal listings and other ad solutions are offered as add-on products to the Weedmaps for Business subscriptions. Featured and deal listings provide customers with premium placement ad solutions and discount and promotion pricing tools. Other ad solutions include banner ads and promotion tiles on the Company’s marketplace ad as well as other advertising products on and off the Weedmaps marketplace. We have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products are provided. We rarely need to allocate the transaction price to separate performance obligations. In the rare case that allocation of the transaction price is needed, we recognize revenue in proportion to the standalone selling prices of the underlying services at contract inception.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0" w:name="page61"/>
    <w:bookmarkEnd w:id="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Our cost structure has two components: cost of revenues and operating expenses. Our operating expenses include costs related to selling and marketing, product development, general and administrative functions and depreciation and amortization. Certain of our costs and expenses, including those associated with the operation of our technical infrastructure as well as components of our operating expenses, are generally less variable in nature and may not correlate to changes in revenue.</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(Exclusive of Depreciation and Amortization)</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Cost of revenues excludes depreciation and amortization expense and primarily consists of web hosting, internet service and credit card processing costs. Cost of revenues is primarily driven by fluctuations in revenue leading to increases or decreases in credit card processing and web hosting cost. We expect our cost of revenue to continue to increase on an absolute basis and remain relatively flat as a percentage of revenue as we scale our business and inventory costs related to multi-media offerings.</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Selling and marketing expenses consist of salaries and benefits, stock-based compensation expense, travel expense and incentive compensation for our sales and marketing employees. In addition, sales and marketing expenses include customer acquisition marketing, events cost and branding and advertising costs. Over the longer term, we expect sales and marketing expense to increase in a manner consistent with revenue growth, however, we may experience fluctuations in some periods as we enter and develop new markets or have large one-time marketing projects.</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 Expenses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Product development costs consist of salaries and benefits and stock-based compensation expense for employees, including engineering and technical teams who are responsible for building new products, as well as maintaining and improving existing products. Product development costs that do not meet the criteria for capitalization are expensed as incurred. Amortization expense related to capitalized software development cost is included in depreciation, amortization and asset impairment expense in the consolidated statements of operations. We believe that continued investment in our platform is important for our growth and expect our product development expenses will increase in a manner consistent with revenue growth as our operations grow.</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consist primarily of payroll, benefit costs and stock-based compensation expense for our employees involved in general corporate functions including our senior leadership team as well as costs associated with the use by these functions of software and facilities and equipment, such as rent, insurance and other occupancy expenses. General and administrative expenses also include provision for credit losses and professional and outside services related to legal and other consulting services. General and administrative expenses are primarily driven by headcount required to support our business and meet our obligations as a public company. We expect general and administrative expenses to decline as percentage of revenue as we scale our business and leverage investments in these areas.</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expenses primarily consist of depreciation on computer equipment, furniture and fixtures, leasehold improvements, capitalized software development costs and amortization of intangibles. We expect depreciation and amortization expenses to increase on an absolute basis for the foreseeable future as we scale our business.</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primarily of change in fair value of warrant liability, TRA liability remeasurement, interest income and other tax related expenses.</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account for income taxes pursuant to the asset and liability method which requires the recognition of deferred income tax assets and liabilities related to the expected future tax consequences arising from temporary differences between the carrying amounts and tax bases of assets and liabilities based on enacted statutory tax rates applicable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1" w:name="page62"/>
    <w:bookmarkEnd w:id="61"/>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00" w:right="1300"/>
        <w:spacing w:after="0" w:line="255" w:lineRule="auto"/>
        <w:rPr>
          <w:sz w:val="20"/>
          <w:szCs w:val="20"/>
          <w:color w:val="auto"/>
        </w:rPr>
      </w:pPr>
      <w:r>
        <w:rPr>
          <w:rFonts w:ascii="Times New Roman" w:cs="Times New Roman" w:eastAsia="Times New Roman" w:hAnsi="Times New Roman"/>
          <w:sz w:val="18"/>
          <w:szCs w:val="18"/>
          <w:color w:val="auto"/>
        </w:rPr>
        <w:t>to the periods in which the temporary differences are expected to reverse. Any effects of changes in income tax rates or laws are included in income tax expense in the period of enactment. A valuation allowance is recognized if we determine it is more-likely-than-not that all or a portion of a deferred tax asset will not be recognized. In making such determination, we consider all available evidence, including scheduled reversals of deferred tax liabilities, projected future taxable income, tax planning strategies and recent and expected future results of operation. See Note 2, “Summary of Significant Accounting Policies” to our unaudited condensed consolidated financial statements included in this prospectus for further information.</w:t>
      </w:r>
    </w:p>
    <w:p>
      <w:pPr>
        <w:spacing w:after="0" w:line="3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and Nine Months Ended September 30, 2024 and 2023</w:t>
      </w:r>
    </w:p>
    <w:p>
      <w:pPr>
        <w:spacing w:after="0" w:line="121"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and express the relationship of certain line items as a percentage of net sales for those periods. The period-to-period comparison of financial results is not necessarily indicative of future results.</w:t>
      </w:r>
    </w:p>
    <w:p>
      <w:pPr>
        <w:spacing w:after="0" w:line="18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00" w:type="dxa"/>
            <w:vAlign w:val="bottom"/>
            <w:gridSpan w:val="6"/>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700" w:type="dxa"/>
            <w:vAlign w:val="bottom"/>
            <w:gridSpan w:val="4"/>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4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1700" w:type="dxa"/>
            <w:vAlign w:val="bottom"/>
            <w:gridSpan w:val="4"/>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50"/>
        </w:trPr>
        <w:tc>
          <w:tcPr>
            <w:tcW w:w="4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195"/>
        </w:trPr>
        <w:tc>
          <w:tcPr>
            <w:tcW w:w="4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71"/>
        </w:trPr>
        <w:tc>
          <w:tcPr>
            <w:tcW w:w="4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r>
      <w:tr>
        <w:trPr>
          <w:trHeight w:val="227"/>
        </w:trPr>
        <w:tc>
          <w:tcPr>
            <w:tcW w:w="4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50"/>
        </w:trPr>
        <w:tc>
          <w:tcPr>
            <w:tcW w:w="4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318"/>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0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$46,552</w:t>
            </w:r>
          </w:p>
        </w:tc>
        <w:tc>
          <w:tcPr>
            <w:tcW w:w="9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$46,687</w:t>
            </w:r>
          </w:p>
        </w:tc>
        <w:tc>
          <w:tcPr>
            <w:tcW w:w="3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$136,844</w:t>
            </w:r>
          </w:p>
        </w:tc>
        <w:tc>
          <w:tcPr>
            <w:tcW w:w="2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$141,526</w:t>
            </w:r>
          </w:p>
        </w:tc>
      </w:tr>
      <w:tr>
        <w:trPr>
          <w:trHeight w:val="27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54"/>
        </w:trPr>
        <w:tc>
          <w:tcPr>
            <w:tcW w:w="4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52"/>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 (exclusive of depreciation and</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spacing w:after="0"/>
              <w:rPr>
                <w:sz w:val="21"/>
                <w:szCs w:val="21"/>
                <w:color w:val="auto"/>
              </w:rPr>
            </w:pPr>
          </w:p>
        </w:tc>
      </w:tr>
      <w:tr>
        <w:trPr>
          <w:trHeight w:val="268"/>
        </w:trPr>
        <w:tc>
          <w:tcPr>
            <w:tcW w:w="4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9,748</w:t>
            </w:r>
          </w:p>
        </w:tc>
      </w:tr>
      <w:tr>
        <w:trPr>
          <w:trHeight w:val="270"/>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9,671</w:t>
            </w:r>
          </w:p>
        </w:tc>
        <w:tc>
          <w:tcPr>
            <w:tcW w:w="220" w:type="dxa"/>
            <w:vAlign w:val="bottom"/>
          </w:tcPr>
          <w:p>
            <w:pPr>
              <w:spacing w:after="0"/>
              <w:rPr>
                <w:sz w:val="23"/>
                <w:szCs w:val="23"/>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11,544</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30,374</w:t>
            </w:r>
          </w:p>
        </w:tc>
        <w:tc>
          <w:tcPr>
            <w:tcW w:w="20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36,171</w:t>
            </w:r>
          </w:p>
        </w:tc>
      </w:tr>
      <w:tr>
        <w:trPr>
          <w:trHeight w:val="54"/>
        </w:trPr>
        <w:tc>
          <w:tcPr>
            <w:tcW w:w="4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304"/>
        </w:trPr>
        <w:tc>
          <w:tcPr>
            <w:tcW w:w="4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2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9,484</w:t>
            </w:r>
          </w:p>
        </w:tc>
        <w:tc>
          <w:tcPr>
            <w:tcW w:w="2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28,355</w:t>
            </w:r>
          </w:p>
        </w:tc>
        <w:tc>
          <w:tcPr>
            <w:tcW w:w="2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27,882</w:t>
            </w:r>
          </w:p>
        </w:tc>
      </w:tr>
      <w:tr>
        <w:trPr>
          <w:trHeight w:val="270"/>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16,494</w:t>
            </w:r>
          </w:p>
        </w:tc>
        <w:tc>
          <w:tcPr>
            <w:tcW w:w="22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18,151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51,549</w:t>
            </w:r>
          </w:p>
        </w:tc>
        <w:tc>
          <w:tcPr>
            <w:tcW w:w="20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55,839</w:t>
            </w:r>
          </w:p>
        </w:tc>
      </w:tr>
      <w:tr>
        <w:trPr>
          <w:trHeight w:val="54"/>
        </w:trPr>
        <w:tc>
          <w:tcPr>
            <w:tcW w:w="4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318"/>
        </w:trPr>
        <w:tc>
          <w:tcPr>
            <w:tcW w:w="4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2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9,641</w:t>
            </w:r>
          </w:p>
        </w:tc>
        <w:tc>
          <w:tcPr>
            <w:tcW w:w="2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9,417</w:t>
            </w:r>
          </w:p>
        </w:tc>
      </w:tr>
      <w:tr>
        <w:trPr>
          <w:trHeight w:val="28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 charges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8,382</w:t>
            </w:r>
          </w:p>
        </w:tc>
      </w:tr>
      <w:tr>
        <w:trPr>
          <w:trHeight w:val="54"/>
        </w:trPr>
        <w:tc>
          <w:tcPr>
            <w:tcW w:w="4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70"/>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0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41,348</w:t>
            </w: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52,235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126,648</w:t>
            </w:r>
          </w:p>
        </w:tc>
        <w:tc>
          <w:tcPr>
            <w:tcW w:w="200" w:type="dxa"/>
            <w:vAlign w:val="bottom"/>
            <w:shd w:val="clear" w:color="auto" w:fill="CCEEFF"/>
          </w:tcPr>
          <w:p>
            <w:pPr>
              <w:spacing w:after="0"/>
              <w:rPr>
                <w:sz w:val="23"/>
                <w:szCs w:val="23"/>
                <w:color w:val="auto"/>
              </w:rPr>
            </w:pP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147,439</w:t>
            </w:r>
          </w:p>
        </w:tc>
      </w:tr>
      <w:tr>
        <w:trPr>
          <w:trHeight w:val="48"/>
        </w:trPr>
        <w:tc>
          <w:tcPr>
            <w:tcW w:w="43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right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540" w:type="dxa"/>
            <w:vAlign w:val="bottom"/>
            <w:tcBorders>
              <w:top w:val="single" w:sz="8" w:color="auto"/>
              <w:right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auto"/>
              <w:right w:val="single" w:sz="8" w:color="CCEEFF"/>
            </w:tcBorders>
            <w:shd w:val="clear" w:color="auto" w:fill="CCEEFF"/>
          </w:tcPr>
          <w:p>
            <w:pPr>
              <w:spacing w:after="0"/>
              <w:rPr>
                <w:sz w:val="4"/>
                <w:szCs w:val="4"/>
                <w:color w:val="auto"/>
              </w:rPr>
            </w:pPr>
          </w:p>
        </w:tc>
      </w:tr>
      <w:tr>
        <w:trPr>
          <w:trHeight w:val="283"/>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(5,548)</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10,196</w:t>
            </w:r>
          </w:p>
        </w:tc>
        <w:tc>
          <w:tcPr>
            <w:tcW w:w="20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(5,913)</w:t>
            </w:r>
          </w:p>
        </w:tc>
      </w:tr>
      <w:tr>
        <w:trPr>
          <w:trHeight w:val="54"/>
        </w:trPr>
        <w:tc>
          <w:tcPr>
            <w:tcW w:w="4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304"/>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right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right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right w:val="single" w:sz="8" w:color="CCEEFF"/>
            </w:tcBorders>
            <w:shd w:val="clear" w:color="auto" w:fill="CCEEFF"/>
          </w:tcPr>
          <w:p>
            <w:pPr>
              <w:spacing w:after="0"/>
              <w:rPr>
                <w:sz w:val="24"/>
                <w:szCs w:val="24"/>
                <w:color w:val="auto"/>
              </w:rPr>
            </w:pPr>
          </w:p>
        </w:tc>
      </w:tr>
      <w:tr>
        <w:trPr>
          <w:trHeight w:val="270"/>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585</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(460)</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(780)</w:t>
            </w:r>
          </w:p>
        </w:tc>
      </w:tr>
      <w:tr>
        <w:trPr>
          <w:trHeight w:val="54"/>
        </w:trPr>
        <w:tc>
          <w:tcPr>
            <w:tcW w:w="4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304"/>
        </w:trPr>
        <w:tc>
          <w:tcPr>
            <w:tcW w:w="4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2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(548)</w:t>
            </w:r>
          </w:p>
        </w:tc>
        <w:tc>
          <w:tcPr>
            <w:tcW w:w="9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3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(1,486)</w:t>
            </w:r>
          </w:p>
        </w:tc>
        <w:tc>
          <w:tcPr>
            <w:tcW w:w="9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70"/>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2,884</w:t>
            </w:r>
          </w:p>
        </w:tc>
      </w:tr>
      <w:tr>
        <w:trPr>
          <w:trHeight w:val="48"/>
        </w:trPr>
        <w:tc>
          <w:tcPr>
            <w:tcW w:w="4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r>
      <w:tr>
        <w:trPr>
          <w:trHeight w:val="318"/>
        </w:trPr>
        <w:tc>
          <w:tcPr>
            <w:tcW w:w="4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w:t>
            </w:r>
          </w:p>
        </w:tc>
        <w:tc>
          <w:tcPr>
            <w:tcW w:w="2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(2,512)</w:t>
            </w:r>
          </w:p>
        </w:tc>
        <w:tc>
          <w:tcPr>
            <w:tcW w:w="3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8,543</w:t>
            </w:r>
          </w:p>
        </w:tc>
        <w:tc>
          <w:tcPr>
            <w:tcW w:w="2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w:t>
            </w:r>
          </w:p>
        </w:tc>
      </w:tr>
      <w:tr>
        <w:trPr>
          <w:trHeight w:val="27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23"/>
                <w:szCs w:val="23"/>
                <w:color w:val="auto"/>
              </w:rPr>
            </w:pPr>
          </w:p>
        </w:tc>
        <w:tc>
          <w:tcPr>
            <w:tcW w:w="9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8"/>
        </w:trPr>
        <w:tc>
          <w:tcPr>
            <w:tcW w:w="4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r>
      <w:tr>
        <w:trPr>
          <w:trHeight w:val="318"/>
        </w:trPr>
        <w:tc>
          <w:tcPr>
            <w:tcW w:w="4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2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(2,512)</w:t>
            </w:r>
          </w:p>
        </w:tc>
        <w:tc>
          <w:tcPr>
            <w:tcW w:w="3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w:t>
            </w:r>
          </w:p>
        </w:tc>
        <w:tc>
          <w:tcPr>
            <w:tcW w:w="2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w:t>
            </w:r>
          </w:p>
        </w:tc>
      </w:tr>
      <w:tr>
        <w:trPr>
          <w:trHeight w:val="252"/>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noncontrolling</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34"/>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220" w:type="dxa"/>
            <w:vAlign w:val="bottom"/>
          </w:tcPr>
          <w:p>
            <w:pPr>
              <w:spacing w:after="0"/>
              <w:rPr>
                <w:sz w:val="20"/>
                <w:szCs w:val="20"/>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(974)</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20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(1,711)</w:t>
            </w:r>
          </w:p>
        </w:tc>
      </w:tr>
      <w:tr>
        <w:trPr>
          <w:trHeight w:val="48"/>
        </w:trPr>
        <w:tc>
          <w:tcPr>
            <w:tcW w:w="4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r>
      <w:tr>
        <w:trPr>
          <w:trHeight w:val="290"/>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WM Technology, Inc.</w:t>
            </w: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22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(1,538)</w:t>
            </w:r>
          </w:p>
        </w:tc>
        <w:tc>
          <w:tcPr>
            <w:tcW w:w="3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200" w:type="dxa"/>
            <w:vAlign w:val="bottom"/>
            <w:shd w:val="clear" w:color="auto" w:fill="CCEEFF"/>
          </w:tcPr>
          <w:p>
            <w:pPr>
              <w:spacing w:after="0"/>
              <w:rPr>
                <w:sz w:val="24"/>
                <w:szCs w:val="24"/>
                <w:color w:val="auto"/>
              </w:rPr>
            </w:pP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(2,787)</w:t>
            </w:r>
          </w:p>
        </w:tc>
      </w:tr>
      <w:tr>
        <w:trPr>
          <w:trHeight w:val="27"/>
        </w:trPr>
        <w:tc>
          <w:tcPr>
            <w:tcW w:w="43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440" w:type="dxa"/>
            <w:vAlign w:val="bottom"/>
            <w:tcBorders>
              <w:top w:val="single" w:sz="8" w:color="auto"/>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auto"/>
              <w:right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540" w:type="dxa"/>
            <w:vAlign w:val="bottom"/>
            <w:tcBorders>
              <w:top w:val="single" w:sz="8" w:color="auto"/>
              <w:right w:val="single" w:sz="8" w:color="auto"/>
            </w:tcBorders>
            <w:shd w:val="clear" w:color="auto" w:fill="000000"/>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auto"/>
              <w:right w:val="single" w:sz="8" w:color="CCEEFF"/>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5474970</wp:posOffset>
            </wp:positionH>
            <wp:positionV relativeFrom="paragraph">
              <wp:posOffset>-4465320</wp:posOffset>
            </wp:positionV>
            <wp:extent cx="1885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4815205</wp:posOffset>
            </wp:positionH>
            <wp:positionV relativeFrom="paragraph">
              <wp:posOffset>-4465320</wp:posOffset>
            </wp:positionV>
            <wp:extent cx="1885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4120515</wp:posOffset>
            </wp:positionH>
            <wp:positionV relativeFrom="paragraph">
              <wp:posOffset>-4465320</wp:posOffset>
            </wp:positionV>
            <wp:extent cx="1885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154305</wp:posOffset>
            </wp:positionV>
            <wp:extent cx="8229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jc w:val="both"/>
        <w:ind w:left="1640" w:right="1300" w:hanging="348"/>
        <w:spacing w:after="0" w:line="241" w:lineRule="auto"/>
        <w:tabs>
          <w:tab w:leader="none" w:pos="1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nine months ended September 30, 2023, net revenues and general and administrative expenses have been retrospectively adjusted to reflect the restatement of previously reported revenue and credit losses. See Note 2, “Summary of Significant Accounting Policies,” to our unaudited condensed consolidated financial statements included in this prospectus for further information.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340" w:type="dxa"/>
            <w:vAlign w:val="bottom"/>
            <w:gridSpan w:val="4"/>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100" w:type="dxa"/>
            <w:vAlign w:val="bottom"/>
            <w:gridSpan w:val="4"/>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13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00" w:type="dxa"/>
            <w:vAlign w:val="bottom"/>
            <w:gridSpan w:val="3"/>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Pr>
          <w:p>
            <w:pPr>
              <w:spacing w:after="0"/>
              <w:rPr>
                <w:sz w:val="16"/>
                <w:szCs w:val="16"/>
                <w:color w:val="auto"/>
              </w:rPr>
            </w:pPr>
          </w:p>
        </w:tc>
        <w:tc>
          <w:tcPr>
            <w:tcW w:w="2660" w:type="dxa"/>
            <w:vAlign w:val="bottom"/>
            <w:gridSpan w:val="3"/>
          </w:tcPr>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51"/>
        </w:trPr>
        <w:tc>
          <w:tcPr>
            <w:tcW w:w="1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gridSpan w:val="2"/>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gridSpan w:val="2"/>
          </w:tcPr>
          <w:p>
            <w:pPr>
              <w:spacing w:after="0"/>
              <w:rPr>
                <w:sz w:val="4"/>
                <w:szCs w:val="4"/>
                <w:color w:val="auto"/>
              </w:rPr>
            </w:pPr>
          </w:p>
        </w:tc>
        <w:tc>
          <w:tcPr>
            <w:tcW w:w="1300" w:type="dxa"/>
            <w:vAlign w:val="bottom"/>
          </w:tcPr>
          <w:p>
            <w:pPr>
              <w:spacing w:after="0"/>
              <w:rPr>
                <w:sz w:val="4"/>
                <w:szCs w:val="4"/>
                <w:color w:val="auto"/>
              </w:rPr>
            </w:pPr>
          </w:p>
        </w:tc>
      </w:tr>
      <w:tr>
        <w:trPr>
          <w:trHeight w:val="195"/>
        </w:trPr>
        <w:tc>
          <w:tcPr>
            <w:tcW w:w="13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00" w:type="dxa"/>
            <w:vAlign w:val="bottom"/>
          </w:tcPr>
          <w:p>
            <w:pPr>
              <w:spacing w:after="0"/>
              <w:rPr>
                <w:sz w:val="16"/>
                <w:szCs w:val="16"/>
                <w:color w:val="auto"/>
              </w:rPr>
            </w:pPr>
          </w:p>
        </w:tc>
      </w:tr>
      <w:tr>
        <w:trPr>
          <w:trHeight w:val="271"/>
        </w:trPr>
        <w:tc>
          <w:tcPr>
            <w:tcW w:w="1300" w:type="dxa"/>
            <w:vAlign w:val="bottom"/>
          </w:tcPr>
          <w:p>
            <w:pPr>
              <w:spacing w:after="0"/>
              <w:rPr>
                <w:sz w:val="23"/>
                <w:szCs w:val="23"/>
                <w:color w:val="auto"/>
              </w:rPr>
            </w:pPr>
          </w:p>
        </w:tc>
        <w:tc>
          <w:tcPr>
            <w:tcW w:w="3860" w:type="dxa"/>
            <w:vAlign w:val="bottom"/>
            <w:tcBorders>
              <w:bottom w:val="single" w:sz="8" w:color="CCEEFF"/>
            </w:tcBorders>
          </w:tcPr>
          <w:p>
            <w:pPr>
              <w:spacing w:after="0"/>
              <w:rPr>
                <w:sz w:val="23"/>
                <w:szCs w:val="23"/>
                <w:color w:val="auto"/>
              </w:rPr>
            </w:pPr>
          </w:p>
        </w:tc>
        <w:tc>
          <w:tcPr>
            <w:tcW w:w="4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As Restated</w:t>
            </w:r>
            <w:r>
              <w:rPr>
                <w:rFonts w:ascii="Times New Roman" w:cs="Times New Roman" w:eastAsia="Times New Roman" w:hAnsi="Times New Roman"/>
                <w:sz w:val="23"/>
                <w:szCs w:val="23"/>
                <w:b w:val="1"/>
                <w:bCs w:val="1"/>
                <w:color w:val="auto"/>
                <w:w w:val="98"/>
                <w:vertAlign w:val="superscript"/>
              </w:rPr>
              <w:t>1</w:t>
            </w:r>
          </w:p>
        </w:tc>
        <w:tc>
          <w:tcPr>
            <w:tcW w:w="56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As Restated</w:t>
            </w:r>
            <w:r>
              <w:rPr>
                <w:rFonts w:ascii="Times New Roman" w:cs="Times New Roman" w:eastAsia="Times New Roman" w:hAnsi="Times New Roman"/>
                <w:sz w:val="23"/>
                <w:szCs w:val="23"/>
                <w:b w:val="1"/>
                <w:bCs w:val="1"/>
                <w:color w:val="auto"/>
                <w:w w:val="98"/>
                <w:vertAlign w:val="superscript"/>
              </w:rPr>
              <w:t>1</w:t>
            </w:r>
          </w:p>
        </w:tc>
        <w:tc>
          <w:tcPr>
            <w:tcW w:w="1300" w:type="dxa"/>
            <w:vAlign w:val="bottom"/>
          </w:tcPr>
          <w:p>
            <w:pPr>
              <w:spacing w:after="0"/>
              <w:rPr>
                <w:sz w:val="23"/>
                <w:szCs w:val="23"/>
                <w:color w:val="auto"/>
              </w:rPr>
            </w:pPr>
          </w:p>
        </w:tc>
      </w:tr>
      <w:tr>
        <w:trPr>
          <w:trHeight w:val="311"/>
        </w:trPr>
        <w:tc>
          <w:tcPr>
            <w:tcW w:w="1300" w:type="dxa"/>
            <w:vAlign w:val="bottom"/>
          </w:tcPr>
          <w:p>
            <w:pPr>
              <w:spacing w:after="0"/>
              <w:rPr>
                <w:sz w:val="24"/>
                <w:szCs w:val="24"/>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3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100%</w:t>
            </w:r>
          </w:p>
        </w:tc>
        <w:tc>
          <w:tcPr>
            <w:tcW w:w="56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100%</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100%</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2"/>
        </w:trPr>
        <w:tc>
          <w:tcPr>
            <w:tcW w:w="1300" w:type="dxa"/>
            <w:vAlign w:val="bottom"/>
          </w:tcPr>
          <w:p>
            <w:pPr>
              <w:spacing w:after="0"/>
              <w:rPr>
                <w:sz w:val="21"/>
                <w:szCs w:val="21"/>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 (exclusive of depreciation and</w:t>
            </w:r>
          </w:p>
        </w:tc>
        <w:tc>
          <w:tcPr>
            <w:tcW w:w="4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268"/>
        </w:trPr>
        <w:tc>
          <w:tcPr>
            <w:tcW w:w="1300" w:type="dxa"/>
            <w:vAlign w:val="bottom"/>
          </w:tcPr>
          <w:p>
            <w:pPr>
              <w:spacing w:after="0"/>
              <w:rPr>
                <w:sz w:val="23"/>
                <w:szCs w:val="23"/>
                <w:color w:val="auto"/>
              </w:rPr>
            </w:pPr>
          </w:p>
        </w:tc>
        <w:tc>
          <w:tcPr>
            <w:tcW w:w="3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3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6%</w:t>
            </w:r>
          </w:p>
        </w:tc>
        <w:tc>
          <w:tcPr>
            <w:tcW w:w="5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7%</w:t>
            </w:r>
          </w:p>
        </w:tc>
        <w:tc>
          <w:tcPr>
            <w:tcW w:w="1300" w:type="dxa"/>
            <w:vAlign w:val="bottom"/>
          </w:tcPr>
          <w:p>
            <w:pPr>
              <w:spacing w:after="0"/>
              <w:rPr>
                <w:sz w:val="23"/>
                <w:szCs w:val="23"/>
                <w:color w:val="auto"/>
              </w:rPr>
            </w:pPr>
          </w:p>
        </w:tc>
      </w:tr>
      <w:tr>
        <w:trPr>
          <w:trHeight w:val="270"/>
        </w:trPr>
        <w:tc>
          <w:tcPr>
            <w:tcW w:w="1300" w:type="dxa"/>
            <w:vAlign w:val="bottom"/>
          </w:tcPr>
          <w:p>
            <w:pPr>
              <w:spacing w:after="0"/>
              <w:rPr>
                <w:sz w:val="23"/>
                <w:szCs w:val="23"/>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3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25%</w:t>
            </w:r>
          </w:p>
        </w:tc>
        <w:tc>
          <w:tcPr>
            <w:tcW w:w="56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3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26%</w:t>
            </w:r>
          </w:p>
        </w:tc>
        <w:tc>
          <w:tcPr>
            <w:tcW w:w="1300" w:type="dxa"/>
            <w:vAlign w:val="bottom"/>
          </w:tcPr>
          <w:p>
            <w:pPr>
              <w:spacing w:after="0"/>
              <w:rPr>
                <w:sz w:val="23"/>
                <w:szCs w:val="23"/>
                <w:color w:val="auto"/>
              </w:rPr>
            </w:pPr>
          </w:p>
        </w:tc>
      </w:tr>
      <w:tr>
        <w:trPr>
          <w:trHeight w:val="486"/>
        </w:trPr>
        <w:tc>
          <w:tcPr>
            <w:tcW w:w="13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86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55</w:t>
            </w: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5303520</wp:posOffset>
            </wp:positionH>
            <wp:positionV relativeFrom="paragraph">
              <wp:posOffset>-1379220</wp:posOffset>
            </wp:positionV>
            <wp:extent cx="36004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4669155</wp:posOffset>
            </wp:positionH>
            <wp:positionV relativeFrom="paragraph">
              <wp:posOffset>-1379220</wp:posOffset>
            </wp:positionV>
            <wp:extent cx="3600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3820795</wp:posOffset>
            </wp:positionH>
            <wp:positionV relativeFrom="paragraph">
              <wp:posOffset>-1379220</wp:posOffset>
            </wp:positionV>
            <wp:extent cx="3429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3375025</wp:posOffset>
            </wp:positionH>
            <wp:positionV relativeFrom="paragraph">
              <wp:posOffset>-1379220</wp:posOffset>
            </wp:positionV>
            <wp:extent cx="1714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ectPr>
          <w:pgSz w:w="11900" w:h="16838" w:orient="portrait"/>
          <w:cols w:equalWidth="0" w:num="1">
            <w:col w:w="11020"/>
          </w:cols>
          <w:pgMar w:left="440" w:top="263" w:right="439" w:bottom="730" w:gutter="0" w:footer="0" w:header="0"/>
        </w:sectPr>
      </w:pPr>
    </w:p>
    <w:bookmarkStart w:id="62" w:name="page63"/>
    <w:bookmarkEnd w:id="62"/>
    <w:tbl>
      <w:tblPr>
        <w:tblLayout w:type="fixed"/>
        <w:tblInd w:w="300" w:type="dxa"/>
        <w:tblCellMar>
          <w:top w:w="0" w:type="dxa"/>
          <w:left w:w="0" w:type="dxa"/>
          <w:bottom w:w="0" w:type="dxa"/>
          <w:right w:w="0" w:type="dxa"/>
        </w:tblCellMar>
      </w:tblPr>
      <w:tr>
        <w:trPr>
          <w:trHeight w:val="161"/>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2680" w:type="dxa"/>
            <w:vAlign w:val="bottom"/>
          </w:tcPr>
          <w:p>
            <w:pPr>
              <w:spacing w:after="0"/>
              <w:rPr>
                <w:sz w:val="24"/>
                <w:szCs w:val="24"/>
                <w:color w:val="auto"/>
              </w:rPr>
            </w:pPr>
          </w:p>
        </w:tc>
        <w:tc>
          <w:tcPr>
            <w:tcW w:w="2380" w:type="dxa"/>
            <w:vAlign w:val="bottom"/>
            <w:gridSpan w:val="9"/>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24"/>
                <w:szCs w:val="24"/>
                <w:color w:val="auto"/>
              </w:rPr>
            </w:pPr>
          </w:p>
        </w:tc>
        <w:tc>
          <w:tcPr>
            <w:tcW w:w="1560" w:type="dxa"/>
            <w:vAlign w:val="bottom"/>
            <w:gridSpan w:val="7"/>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15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7"/>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50"/>
        </w:trPr>
        <w:tc>
          <w:tcPr>
            <w:tcW w:w="1540" w:type="dxa"/>
            <w:vAlign w:val="bottom"/>
          </w:tcPr>
          <w:p>
            <w:pPr>
              <w:spacing w:after="0"/>
              <w:rPr>
                <w:sz w:val="4"/>
                <w:szCs w:val="4"/>
                <w:color w:val="auto"/>
              </w:rPr>
            </w:pPr>
          </w:p>
        </w:tc>
        <w:tc>
          <w:tcPr>
            <w:tcW w:w="26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gridSpan w:val="3"/>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3"/>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r>
      <w:tr>
        <w:trPr>
          <w:trHeight w:val="195"/>
        </w:trPr>
        <w:tc>
          <w:tcPr>
            <w:tcW w:w="15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r>
      <w:tr>
        <w:trPr>
          <w:trHeight w:val="271"/>
        </w:trPr>
        <w:tc>
          <w:tcPr>
            <w:tcW w:w="1540" w:type="dxa"/>
            <w:vAlign w:val="bottom"/>
            <w:tcBorders>
              <w:bottom w:val="single" w:sz="8" w:color="CCEEFF"/>
            </w:tcBorders>
          </w:tcPr>
          <w:p>
            <w:pPr>
              <w:spacing w:after="0"/>
              <w:rPr>
                <w:sz w:val="23"/>
                <w:szCs w:val="23"/>
                <w:color w:val="auto"/>
              </w:rPr>
            </w:pPr>
          </w:p>
        </w:tc>
        <w:tc>
          <w:tcPr>
            <w:tcW w:w="268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As Restated</w:t>
            </w:r>
            <w:r>
              <w:rPr>
                <w:rFonts w:ascii="Times New Roman" w:cs="Times New Roman" w:eastAsia="Times New Roman" w:hAnsi="Times New Roman"/>
                <w:sz w:val="23"/>
                <w:szCs w:val="23"/>
                <w:b w:val="1"/>
                <w:bCs w:val="1"/>
                <w:color w:val="auto"/>
                <w:w w:val="98"/>
                <w:vertAlign w:val="superscript"/>
              </w:rPr>
              <w:t>1</w:t>
            </w:r>
          </w:p>
        </w:tc>
        <w:tc>
          <w:tcPr>
            <w:tcW w:w="56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As Restated</w:t>
            </w:r>
            <w:r>
              <w:rPr>
                <w:rFonts w:ascii="Times New Roman" w:cs="Times New Roman" w:eastAsia="Times New Roman" w:hAnsi="Times New Roman"/>
                <w:sz w:val="23"/>
                <w:szCs w:val="23"/>
                <w:b w:val="1"/>
                <w:bCs w:val="1"/>
                <w:color w:val="auto"/>
                <w:w w:val="98"/>
                <w:vertAlign w:val="superscript"/>
              </w:rPr>
              <w:t>1</w:t>
            </w:r>
          </w:p>
        </w:tc>
      </w:tr>
      <w:tr>
        <w:trPr>
          <w:trHeight w:val="311"/>
        </w:trPr>
        <w:tc>
          <w:tcPr>
            <w:tcW w:w="4220" w:type="dxa"/>
            <w:vAlign w:val="bottom"/>
            <w:tcBorders>
              <w:bottom w:val="single" w:sz="8" w:color="CCEEFF"/>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1360" w:type="dxa"/>
            <w:vAlign w:val="bottom"/>
            <w:tcBorders>
              <w:bottom w:val="single" w:sz="8" w:color="CCEEFF"/>
            </w:tcBorders>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560" w:type="dxa"/>
            <w:vAlign w:val="bottom"/>
            <w:tcBorders>
              <w:bottom w:val="single" w:sz="8" w:color="CCEEFF"/>
              <w:right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360" w:type="dxa"/>
            <w:vAlign w:val="bottom"/>
            <w:tcBorders>
              <w:bottom w:val="single" w:sz="8" w:color="CCEEFF"/>
            </w:tcBorders>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r>
      <w:tr>
        <w:trPr>
          <w:trHeight w:val="270"/>
        </w:trPr>
        <w:tc>
          <w:tcPr>
            <w:tcW w:w="4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136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56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36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r>
      <w:tr>
        <w:trPr>
          <w:trHeight w:val="54"/>
        </w:trPr>
        <w:tc>
          <w:tcPr>
            <w:tcW w:w="1540" w:type="dxa"/>
            <w:vAlign w:val="bottom"/>
          </w:tcPr>
          <w:p>
            <w:pPr>
              <w:spacing w:after="0"/>
              <w:rPr>
                <w:sz w:val="4"/>
                <w:szCs w:val="4"/>
                <w:color w:val="auto"/>
              </w:rPr>
            </w:pPr>
          </w:p>
        </w:tc>
        <w:tc>
          <w:tcPr>
            <w:tcW w:w="2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70"/>
        </w:trPr>
        <w:tc>
          <w:tcPr>
            <w:tcW w:w="422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136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560" w:type="dxa"/>
            <w:vAlign w:val="bottom"/>
            <w:tcBorders>
              <w:right w:val="single" w:sz="8" w:color="CCEEFF"/>
            </w:tcBorders>
            <w:shd w:val="clear" w:color="auto" w:fill="CCEEFF"/>
          </w:tcPr>
          <w:p>
            <w:pPr>
              <w:spacing w:after="0"/>
              <w:rPr>
                <w:sz w:val="23"/>
                <w:szCs w:val="23"/>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36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48"/>
        </w:trPr>
        <w:tc>
          <w:tcPr>
            <w:tcW w:w="1540" w:type="dxa"/>
            <w:vAlign w:val="bottom"/>
            <w:tcBorders>
              <w:top w:val="single" w:sz="8" w:color="CCEEFF"/>
            </w:tcBorders>
            <w:shd w:val="clear" w:color="auto" w:fill="CCEEFF"/>
          </w:tcPr>
          <w:p>
            <w:pPr>
              <w:spacing w:after="0"/>
              <w:rPr>
                <w:sz w:val="4"/>
                <w:szCs w:val="4"/>
                <w:color w:val="auto"/>
              </w:rPr>
            </w:pPr>
          </w:p>
        </w:tc>
        <w:tc>
          <w:tcPr>
            <w:tcW w:w="2680" w:type="dxa"/>
            <w:vAlign w:val="bottom"/>
            <w:tcBorders>
              <w:top w:val="single" w:sz="8" w:color="CCEEFF"/>
              <w:right w:val="single" w:sz="8" w:color="CCEEFF"/>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right w:val="single" w:sz="8" w:color="CCEEFF"/>
            </w:tcBorders>
            <w:shd w:val="clear" w:color="auto" w:fill="CCEEFF"/>
          </w:tcPr>
          <w:p>
            <w:pPr>
              <w:spacing w:after="0"/>
              <w:rPr>
                <w:sz w:val="4"/>
                <w:szCs w:val="4"/>
                <w:color w:val="auto"/>
              </w:rPr>
            </w:pPr>
          </w:p>
        </w:tc>
        <w:tc>
          <w:tcPr>
            <w:tcW w:w="260" w:type="dxa"/>
            <w:vAlign w:val="bottom"/>
            <w:tcBorders>
              <w:top w:val="single" w:sz="8" w:color="auto"/>
              <w:right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84"/>
        </w:trPr>
        <w:tc>
          <w:tcPr>
            <w:tcW w:w="4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56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54"/>
        </w:trPr>
        <w:tc>
          <w:tcPr>
            <w:tcW w:w="1540" w:type="dxa"/>
            <w:vAlign w:val="bottom"/>
          </w:tcPr>
          <w:p>
            <w:pPr>
              <w:spacing w:after="0"/>
              <w:rPr>
                <w:sz w:val="4"/>
                <w:szCs w:val="4"/>
                <w:color w:val="auto"/>
              </w:rPr>
            </w:pPr>
          </w:p>
        </w:tc>
        <w:tc>
          <w:tcPr>
            <w:tcW w:w="2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70"/>
        </w:trPr>
        <w:tc>
          <w:tcPr>
            <w:tcW w:w="422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136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c>
          <w:tcPr>
            <w:tcW w:w="560" w:type="dxa"/>
            <w:vAlign w:val="bottom"/>
            <w:tcBorders>
              <w:right w:val="single" w:sz="8" w:color="CCEEFF"/>
            </w:tcBorders>
            <w:shd w:val="clear" w:color="auto" w:fill="CCEEFF"/>
          </w:tcPr>
          <w:p>
            <w:pPr>
              <w:spacing w:after="0"/>
              <w:rPr>
                <w:sz w:val="23"/>
                <w:szCs w:val="23"/>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36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r>
      <w:tr>
        <w:trPr>
          <w:trHeight w:val="48"/>
        </w:trPr>
        <w:tc>
          <w:tcPr>
            <w:tcW w:w="1540" w:type="dxa"/>
            <w:vAlign w:val="bottom"/>
            <w:tcBorders>
              <w:top w:val="single" w:sz="8" w:color="CCEEFF"/>
            </w:tcBorders>
            <w:shd w:val="clear" w:color="auto" w:fill="CCEEFF"/>
          </w:tcPr>
          <w:p>
            <w:pPr>
              <w:spacing w:after="0"/>
              <w:rPr>
                <w:sz w:val="4"/>
                <w:szCs w:val="4"/>
                <w:color w:val="auto"/>
              </w:rPr>
            </w:pPr>
          </w:p>
        </w:tc>
        <w:tc>
          <w:tcPr>
            <w:tcW w:w="2680" w:type="dxa"/>
            <w:vAlign w:val="bottom"/>
            <w:tcBorders>
              <w:top w:val="single" w:sz="8" w:color="CCEEFF"/>
              <w:right w:val="single" w:sz="8" w:color="CCEEFF"/>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right w:val="single" w:sz="8" w:color="CCEEFF"/>
            </w:tcBorders>
            <w:shd w:val="clear" w:color="auto" w:fill="CCEEFF"/>
          </w:tcPr>
          <w:p>
            <w:pPr>
              <w:spacing w:after="0"/>
              <w:rPr>
                <w:sz w:val="4"/>
                <w:szCs w:val="4"/>
                <w:color w:val="auto"/>
              </w:rPr>
            </w:pPr>
          </w:p>
        </w:tc>
        <w:tc>
          <w:tcPr>
            <w:tcW w:w="260" w:type="dxa"/>
            <w:vAlign w:val="bottom"/>
            <w:tcBorders>
              <w:top w:val="single" w:sz="8" w:color="auto"/>
              <w:right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84"/>
        </w:trPr>
        <w:tc>
          <w:tcPr>
            <w:tcW w:w="4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Operating income (loss)</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136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56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36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54"/>
        </w:trPr>
        <w:tc>
          <w:tcPr>
            <w:tcW w:w="1540" w:type="dxa"/>
            <w:vAlign w:val="bottom"/>
          </w:tcPr>
          <w:p>
            <w:pPr>
              <w:spacing w:after="0"/>
              <w:rPr>
                <w:sz w:val="4"/>
                <w:szCs w:val="4"/>
                <w:color w:val="auto"/>
              </w:rPr>
            </w:pPr>
          </w:p>
        </w:tc>
        <w:tc>
          <w:tcPr>
            <w:tcW w:w="2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04"/>
        </w:trPr>
        <w:tc>
          <w:tcPr>
            <w:tcW w:w="42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right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right w:val="single" w:sz="8" w:color="CCEEFF"/>
            </w:tcBorders>
            <w:shd w:val="clear" w:color="auto" w:fill="CCEEFF"/>
          </w:tcPr>
          <w:p>
            <w:pPr>
              <w:spacing w:after="0"/>
              <w:rPr>
                <w:sz w:val="24"/>
                <w:szCs w:val="24"/>
                <w:color w:val="auto"/>
              </w:rPr>
            </w:pPr>
          </w:p>
        </w:tc>
        <w:tc>
          <w:tcPr>
            <w:tcW w:w="260" w:type="dxa"/>
            <w:vAlign w:val="bottom"/>
            <w:tcBorders>
              <w:bottom w:val="single" w:sz="8" w:color="CCEEFF"/>
              <w:right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r>
      <w:tr>
        <w:trPr>
          <w:trHeight w:val="270"/>
        </w:trPr>
        <w:tc>
          <w:tcPr>
            <w:tcW w:w="4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3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54"/>
        </w:trPr>
        <w:tc>
          <w:tcPr>
            <w:tcW w:w="1540" w:type="dxa"/>
            <w:vAlign w:val="bottom"/>
          </w:tcPr>
          <w:p>
            <w:pPr>
              <w:spacing w:after="0"/>
              <w:rPr>
                <w:sz w:val="4"/>
                <w:szCs w:val="4"/>
                <w:color w:val="auto"/>
              </w:rPr>
            </w:pPr>
          </w:p>
        </w:tc>
        <w:tc>
          <w:tcPr>
            <w:tcW w:w="2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04"/>
        </w:trPr>
        <w:tc>
          <w:tcPr>
            <w:tcW w:w="4220" w:type="dxa"/>
            <w:vAlign w:val="bottom"/>
            <w:tcBorders>
              <w:bottom w:val="single" w:sz="8" w:color="CCEEFF"/>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360" w:type="dxa"/>
            <w:vAlign w:val="bottom"/>
            <w:tcBorders>
              <w:bottom w:val="single" w:sz="8" w:color="CCEEFF"/>
            </w:tcBorders>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70"/>
        </w:trPr>
        <w:tc>
          <w:tcPr>
            <w:tcW w:w="4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5"/>
              </w:rPr>
              <w:t>    0%</w:t>
            </w:r>
          </w:p>
        </w:tc>
        <w:tc>
          <w:tcPr>
            <w:tcW w:w="11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48"/>
        </w:trPr>
        <w:tc>
          <w:tcPr>
            <w:tcW w:w="1540" w:type="dxa"/>
            <w:vAlign w:val="bottom"/>
          </w:tcPr>
          <w:p>
            <w:pPr>
              <w:spacing w:after="0"/>
              <w:rPr>
                <w:sz w:val="4"/>
                <w:szCs w:val="4"/>
                <w:color w:val="auto"/>
              </w:rPr>
            </w:pPr>
          </w:p>
        </w:tc>
        <w:tc>
          <w:tcPr>
            <w:tcW w:w="268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r>
      <w:tr>
        <w:trPr>
          <w:trHeight w:val="318"/>
        </w:trPr>
        <w:tc>
          <w:tcPr>
            <w:tcW w:w="4220" w:type="dxa"/>
            <w:vAlign w:val="bottom"/>
            <w:tcBorders>
              <w:bottom w:val="single" w:sz="8" w:color="CCEEFF"/>
              <w:right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1360" w:type="dxa"/>
            <w:vAlign w:val="bottom"/>
            <w:tcBorders>
              <w:bottom w:val="single" w:sz="8" w:color="CCEEFF"/>
            </w:tcBorders>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560" w:type="dxa"/>
            <w:vAlign w:val="bottom"/>
            <w:tcBorders>
              <w:bottom w:val="single" w:sz="8" w:color="CCEEFF"/>
              <w:right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1"/>
              </w:rPr>
              <w:t>    6%</w:t>
            </w:r>
          </w:p>
        </w:tc>
        <w:tc>
          <w:tcPr>
            <w:tcW w:w="1360" w:type="dxa"/>
            <w:vAlign w:val="bottom"/>
            <w:tcBorders>
              <w:bottom w:val="single" w:sz="8" w:color="CCEEFF"/>
            </w:tcBorders>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70"/>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5"/>
              </w:rPr>
              <w:t>    0%</w:t>
            </w:r>
          </w:p>
        </w:tc>
        <w:tc>
          <w:tcPr>
            <w:tcW w:w="11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1"/>
              </w:rPr>
              <w:t>    0%</w:t>
            </w:r>
          </w:p>
        </w:tc>
        <w:tc>
          <w:tcPr>
            <w:tcW w:w="11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23"/>
                <w:szCs w:val="23"/>
                <w:color w:val="auto"/>
              </w:rPr>
            </w:pPr>
          </w:p>
        </w:tc>
      </w:tr>
      <w:tr>
        <w:trPr>
          <w:trHeight w:val="48"/>
        </w:trPr>
        <w:tc>
          <w:tcPr>
            <w:tcW w:w="1540" w:type="dxa"/>
            <w:vAlign w:val="bottom"/>
          </w:tcPr>
          <w:p>
            <w:pPr>
              <w:spacing w:after="0"/>
              <w:rPr>
                <w:sz w:val="4"/>
                <w:szCs w:val="4"/>
                <w:color w:val="auto"/>
              </w:rPr>
            </w:pPr>
          </w:p>
        </w:tc>
        <w:tc>
          <w:tcPr>
            <w:tcW w:w="268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18"/>
        </w:trPr>
        <w:tc>
          <w:tcPr>
            <w:tcW w:w="4220" w:type="dxa"/>
            <w:vAlign w:val="bottom"/>
            <w:tcBorders>
              <w:bottom w:val="single" w:sz="8" w:color="CCEEFF"/>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1360" w:type="dxa"/>
            <w:vAlign w:val="bottom"/>
            <w:tcBorders>
              <w:bottom w:val="single" w:sz="8" w:color="CCEEFF"/>
            </w:tcBorders>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560" w:type="dxa"/>
            <w:vAlign w:val="bottom"/>
            <w:tcBorders>
              <w:bottom w:val="single" w:sz="8" w:color="CCEEFF"/>
              <w:right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360" w:type="dxa"/>
            <w:vAlign w:val="bottom"/>
            <w:tcBorders>
              <w:bottom w:val="single" w:sz="8" w:color="CCEEFF"/>
            </w:tcBorders>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52"/>
        </w:trPr>
        <w:tc>
          <w:tcPr>
            <w:tcW w:w="4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noncontrolling</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34"/>
        </w:trPr>
        <w:tc>
          <w:tcPr>
            <w:tcW w:w="4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interests</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13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36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48"/>
        </w:trPr>
        <w:tc>
          <w:tcPr>
            <w:tcW w:w="1540" w:type="dxa"/>
            <w:vAlign w:val="bottom"/>
          </w:tcPr>
          <w:p>
            <w:pPr>
              <w:spacing w:after="0"/>
              <w:rPr>
                <w:sz w:val="4"/>
                <w:szCs w:val="4"/>
                <w:color w:val="auto"/>
              </w:rPr>
            </w:pPr>
          </w:p>
        </w:tc>
        <w:tc>
          <w:tcPr>
            <w:tcW w:w="268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r>
      <w:tr>
        <w:trPr>
          <w:trHeight w:val="265"/>
        </w:trPr>
        <w:tc>
          <w:tcPr>
            <w:tcW w:w="422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WM</w:t>
            </w: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tcBorders>
              <w:right w:val="single" w:sz="8" w:color="CCEEFF"/>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60" w:type="dxa"/>
            <w:vAlign w:val="bottom"/>
            <w:tcBorders>
              <w:right w:val="single" w:sz="8" w:color="CCEEFF"/>
            </w:tcBorders>
            <w:shd w:val="clear" w:color="auto" w:fill="CCEEFF"/>
          </w:tcPr>
          <w:p>
            <w:pPr>
              <w:spacing w:after="0"/>
              <w:rPr>
                <w:sz w:val="23"/>
                <w:szCs w:val="23"/>
                <w:color w:val="auto"/>
              </w:rPr>
            </w:pPr>
          </w:p>
        </w:tc>
        <w:tc>
          <w:tcPr>
            <w:tcW w:w="260" w:type="dxa"/>
            <w:vAlign w:val="bottom"/>
            <w:tcBorders>
              <w:right w:val="single" w:sz="8" w:color="CCEEFF"/>
            </w:tcBorders>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241"/>
        </w:trPr>
        <w:tc>
          <w:tcPr>
            <w:tcW w:w="4220" w:type="dxa"/>
            <w:vAlign w:val="bottom"/>
            <w:tcBorders>
              <w:right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Technology, Inc.</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78"/>
              </w:rPr>
              <w:t>   7%</w:t>
            </w: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82"/>
              </w:rPr>
              <w:t>   (3)%</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4"/>
              </w:rPr>
              <w:t>   4%</w:t>
            </w: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5"/>
              </w:rPr>
              <w:t>   (2)%</w:t>
            </w:r>
          </w:p>
        </w:tc>
      </w:tr>
      <w:tr>
        <w:trPr>
          <w:trHeight w:val="27"/>
        </w:trPr>
        <w:tc>
          <w:tcPr>
            <w:tcW w:w="1540" w:type="dxa"/>
            <w:vAlign w:val="bottom"/>
            <w:tcBorders>
              <w:top w:val="single" w:sz="8" w:color="CCEEFF"/>
            </w:tcBorders>
            <w:shd w:val="clear" w:color="auto" w:fill="CCEEFF"/>
          </w:tcPr>
          <w:p>
            <w:pPr>
              <w:spacing w:after="0"/>
              <w:rPr>
                <w:sz w:val="2"/>
                <w:szCs w:val="2"/>
                <w:color w:val="auto"/>
              </w:rPr>
            </w:pPr>
          </w:p>
        </w:tc>
        <w:tc>
          <w:tcPr>
            <w:tcW w:w="2680" w:type="dxa"/>
            <w:vAlign w:val="bottom"/>
            <w:tcBorders>
              <w:top w:val="single" w:sz="8" w:color="CCEEFF"/>
              <w:right w:val="single" w:sz="8" w:color="CCEEFF"/>
            </w:tcBorders>
            <w:shd w:val="clear" w:color="auto" w:fill="CCEEFF"/>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auto"/>
              <w:right w:val="single" w:sz="8" w:color="auto"/>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right w:val="single" w:sz="8" w:color="CCEEFF"/>
            </w:tcBorders>
            <w:shd w:val="clear" w:color="auto" w:fill="CCEEFF"/>
          </w:tcPr>
          <w:p>
            <w:pPr>
              <w:spacing w:after="0"/>
              <w:rPr>
                <w:sz w:val="2"/>
                <w:szCs w:val="2"/>
                <w:color w:val="auto"/>
              </w:rPr>
            </w:pPr>
          </w:p>
        </w:tc>
        <w:tc>
          <w:tcPr>
            <w:tcW w:w="260" w:type="dxa"/>
            <w:vAlign w:val="bottom"/>
            <w:tcBorders>
              <w:top w:val="single" w:sz="8" w:color="auto"/>
              <w:right w:val="single" w:sz="8" w:color="auto"/>
            </w:tcBorders>
            <w:shd w:val="clear" w:color="auto" w:fill="000000"/>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-3462655</wp:posOffset>
            </wp:positionV>
            <wp:extent cx="3429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-3462655</wp:posOffset>
            </wp:positionV>
            <wp:extent cx="3429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-3462655</wp:posOffset>
            </wp:positionV>
            <wp:extent cx="3429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-3462655</wp:posOffset>
            </wp:positionV>
            <wp:extent cx="17145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240030</wp:posOffset>
            </wp:positionV>
            <wp:extent cx="8229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left="640" w:right="299" w:hanging="348"/>
        <w:spacing w:after="0" w:line="241" w:lineRule="auto"/>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nine months ended September 30, 2023, net revenues and general and administrative expenses have been retrospectively adjusted to reflect the restatement of previously reported revenue and credit losses. See Note 2, “Summary of Significant Accounting Policies,” to our unaudited condensed consolidated financial statements included in this prospectus for further information.</w:t>
      </w:r>
    </w:p>
    <w:p>
      <w:pPr>
        <w:spacing w:after="0" w:line="3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September 30, 2024 and 2023</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7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2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50"/>
        </w:trPr>
        <w:tc>
          <w:tcPr>
            <w:tcW w:w="51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r>
      <w:tr>
        <w:trPr>
          <w:trHeight w:val="195"/>
        </w:trPr>
        <w:tc>
          <w:tcPr>
            <w:tcW w:w="5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60" w:type="dxa"/>
            <w:vAlign w:val="bottom"/>
          </w:tcPr>
          <w:p>
            <w:pPr>
              <w:jc w:val="center"/>
              <w:ind w:left="8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71"/>
        </w:trPr>
        <w:tc>
          <w:tcPr>
            <w:tcW w:w="5100" w:type="dxa"/>
            <w:vAlign w:val="bottom"/>
          </w:tcPr>
          <w:p>
            <w:pPr>
              <w:spacing w:after="0"/>
              <w:rPr>
                <w:sz w:val="23"/>
                <w:szCs w:val="23"/>
                <w:color w:val="auto"/>
              </w:rPr>
            </w:pPr>
          </w:p>
        </w:tc>
        <w:tc>
          <w:tcPr>
            <w:tcW w:w="90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80" w:type="dxa"/>
            <w:vAlign w:val="bottom"/>
            <w:tcBorders>
              <w:bottom w:val="single" w:sz="8" w:color="auto"/>
            </w:tcBorders>
            <w:gridSpan w:val="2"/>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54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7"/>
        </w:trPr>
        <w:tc>
          <w:tcPr>
            <w:tcW w:w="5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50"/>
        </w:trPr>
        <w:tc>
          <w:tcPr>
            <w:tcW w:w="5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84"/>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9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$46,552</w:t>
            </w:r>
          </w:p>
        </w:tc>
        <w:tc>
          <w:tcPr>
            <w:tcW w:w="1360" w:type="dxa"/>
            <w:vAlign w:val="bottom"/>
            <w:shd w:val="clear" w:color="auto" w:fill="CCEEFF"/>
          </w:tcPr>
          <w:p>
            <w:pPr>
              <w:jc w:val="center"/>
              <w:ind w:left="124"/>
              <w:spacing w:after="0"/>
              <w:rPr>
                <w:sz w:val="20"/>
                <w:szCs w:val="20"/>
                <w:color w:val="auto"/>
              </w:rPr>
            </w:pPr>
            <w:r>
              <w:rPr>
                <w:rFonts w:ascii="Times New Roman" w:cs="Times New Roman" w:eastAsia="Times New Roman" w:hAnsi="Times New Roman"/>
                <w:sz w:val="18"/>
                <w:szCs w:val="18"/>
                <w:color w:val="auto"/>
              </w:rPr>
              <w:t>$46,687</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$(135)</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54"/>
        </w:trPr>
        <w:tc>
          <w:tcPr>
            <w:tcW w:w="5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3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5243195</wp:posOffset>
            </wp:positionH>
            <wp:positionV relativeFrom="paragraph">
              <wp:posOffset>-401955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-401955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-401955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jc w:val="both"/>
        <w:ind w:left="640" w:right="299" w:hanging="348"/>
        <w:spacing w:after="0" w:line="241" w:lineRule="auto"/>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September 30, 2023, net revenues has been retrospectively adjusted to reflect the restatement of previously reported revenue. See Note 2, “Summary of Significant Accounting Policies,” to our unaudited condensed consolidated financial statements included in this prospectus for further information.</w:t>
      </w:r>
    </w:p>
    <w:p>
      <w:pPr>
        <w:spacing w:after="0" w:line="73"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Net revenues decreased by $0.1 million or less than 0.1% for the three months ended September 30, 2024 compared to the same period in 2023. The decrease was primarily due to a decrease in net revenues from our Featured Listing and WM Deal products of $2.7 million driven by our clients continuing to face constrained marketing budgets, the ongoing consolidation of our industry, partially offset by an increase in net revenues from our Weedmaps for Business and other SaaS solutions of $2.7 million driven by favorable pricing changes partially offset by a loss in revenue from products that were sunset in December 2023.</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2024, Featured Listing and WM Deal products, Weedmaps for Business and other ad solutions represented approximately 63%, 29% and 8% of our total net revenues,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63" w:name="page64"/>
    <w:bookmarkEnd w:id="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shows our total costs and expenses:</w:t>
      </w:r>
    </w:p>
    <w:p>
      <w:pPr>
        <w:spacing w:after="0" w:line="23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2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12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12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12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500" w:type="dxa"/>
            <w:vAlign w:val="bottom"/>
            <w:gridSpan w:val="2"/>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23"/>
                <w:szCs w:val="23"/>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7"/>
        </w:trPr>
        <w:tc>
          <w:tcPr>
            <w:tcW w:w="12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540" w:type="dxa"/>
            <w:vAlign w:val="bottom"/>
            <w:tcBorders>
              <w:top w:val="single" w:sz="8" w:color="auto"/>
            </w:tcBorders>
            <w:gridSpan w:val="6"/>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12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$ 2,182</w:t>
            </w:r>
          </w:p>
        </w:tc>
        <w:tc>
          <w:tcPr>
            <w:tcW w:w="6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$ 3,015</w:t>
            </w:r>
          </w:p>
        </w:tc>
        <w:tc>
          <w:tcPr>
            <w:tcW w:w="10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CCEEFF"/>
            </w:tcBorders>
            <w:gridSpan w:val="4"/>
            <w:shd w:val="clear" w:color="auto" w:fill="CCEEFF"/>
          </w:tcPr>
          <w:p>
            <w:pPr>
              <w:jc w:val="right"/>
              <w:ind w:right="528"/>
              <w:spacing w:after="0"/>
              <w:rPr>
                <w:sz w:val="20"/>
                <w:szCs w:val="20"/>
                <w:color w:val="auto"/>
              </w:rPr>
            </w:pPr>
            <w:r>
              <w:rPr>
                <w:rFonts w:ascii="Times New Roman" w:cs="Times New Roman" w:eastAsia="Times New Roman" w:hAnsi="Times New Roman"/>
                <w:sz w:val="18"/>
                <w:szCs w:val="18"/>
                <w:color w:val="auto"/>
              </w:rPr>
              <w:t>$   (833)</w:t>
            </w:r>
          </w:p>
        </w:tc>
        <w:tc>
          <w:tcPr>
            <w:tcW w:w="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0"/>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9,671</w:t>
            </w:r>
          </w:p>
        </w:tc>
        <w:tc>
          <w:tcPr>
            <w:tcW w:w="60" w:type="dxa"/>
            <w:vAlign w:val="bottom"/>
          </w:tcPr>
          <w:p>
            <w:pPr>
              <w:spacing w:after="0"/>
              <w:rPr>
                <w:sz w:val="23"/>
                <w:szCs w:val="23"/>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11,544</w:t>
            </w:r>
          </w:p>
        </w:tc>
        <w:tc>
          <w:tcPr>
            <w:tcW w:w="1860" w:type="dxa"/>
            <w:vAlign w:val="bottom"/>
            <w:gridSpan w:val="4"/>
          </w:tcPr>
          <w:p>
            <w:pPr>
              <w:jc w:val="right"/>
              <w:ind w:right="508"/>
              <w:spacing w:after="0"/>
              <w:rPr>
                <w:sz w:val="20"/>
                <w:szCs w:val="20"/>
                <w:color w:val="auto"/>
              </w:rPr>
            </w:pPr>
            <w:r>
              <w:rPr>
                <w:rFonts w:ascii="Times New Roman" w:cs="Times New Roman" w:eastAsia="Times New Roman" w:hAnsi="Times New Roman"/>
                <w:sz w:val="18"/>
                <w:szCs w:val="18"/>
                <w:color w:val="auto"/>
              </w:rPr>
              <w:t>(1,873)</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9,484</w:t>
            </w:r>
          </w:p>
        </w:tc>
        <w:tc>
          <w:tcPr>
            <w:tcW w:w="6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0"/>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16,494</w:t>
            </w:r>
          </w:p>
        </w:tc>
        <w:tc>
          <w:tcPr>
            <w:tcW w:w="60" w:type="dxa"/>
            <w:vAlign w:val="bottom"/>
          </w:tcPr>
          <w:p>
            <w:pPr>
              <w:spacing w:after="0"/>
              <w:rPr>
                <w:sz w:val="23"/>
                <w:szCs w:val="23"/>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18,151</w:t>
            </w:r>
          </w:p>
        </w:tc>
        <w:tc>
          <w:tcPr>
            <w:tcW w:w="100" w:type="dxa"/>
            <w:vAlign w:val="bottom"/>
          </w:tcPr>
          <w:p>
            <w:pPr>
              <w:spacing w:after="0"/>
              <w:rPr>
                <w:sz w:val="23"/>
                <w:szCs w:val="23"/>
                <w:color w:val="auto"/>
              </w:rPr>
            </w:pPr>
          </w:p>
        </w:tc>
        <w:tc>
          <w:tcPr>
            <w:tcW w:w="1860" w:type="dxa"/>
            <w:vAlign w:val="bottom"/>
            <w:gridSpan w:val="4"/>
          </w:tcPr>
          <w:p>
            <w:pPr>
              <w:jc w:val="right"/>
              <w:ind w:right="508"/>
              <w:spacing w:after="0"/>
              <w:rPr>
                <w:sz w:val="20"/>
                <w:szCs w:val="20"/>
                <w:color w:val="auto"/>
              </w:rPr>
            </w:pPr>
            <w:r>
              <w:rPr>
                <w:rFonts w:ascii="Times New Roman" w:cs="Times New Roman" w:eastAsia="Times New Roman" w:hAnsi="Times New Roman"/>
                <w:sz w:val="18"/>
                <w:szCs w:val="18"/>
                <w:color w:val="auto"/>
              </w:rPr>
              <w:t>(1,657)</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6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c>
          <w:tcPr>
            <w:tcW w:w="6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0"/>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impairment charges</w:t>
            </w:r>
          </w:p>
        </w:tc>
        <w:tc>
          <w:tcPr>
            <w:tcW w:w="920" w:type="dxa"/>
            <w:vAlign w:val="bottom"/>
          </w:tcPr>
          <w:p>
            <w:pPr>
              <w:spacing w:after="0"/>
              <w:rPr>
                <w:sz w:val="23"/>
                <w:szCs w:val="23"/>
                <w:color w:val="auto"/>
              </w:rPr>
            </w:pPr>
          </w:p>
        </w:tc>
        <w:tc>
          <w:tcPr>
            <w:tcW w:w="6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100" w:type="dxa"/>
            <w:vAlign w:val="bottom"/>
          </w:tcPr>
          <w:p>
            <w:pPr>
              <w:spacing w:after="0"/>
              <w:rPr>
                <w:sz w:val="23"/>
                <w:szCs w:val="23"/>
                <w:color w:val="auto"/>
              </w:rPr>
            </w:pPr>
          </w:p>
        </w:tc>
        <w:tc>
          <w:tcPr>
            <w:tcW w:w="1860" w:type="dxa"/>
            <w:vAlign w:val="bottom"/>
            <w:gridSpan w:val="4"/>
          </w:tcPr>
          <w:p>
            <w:pPr>
              <w:jc w:val="right"/>
              <w:ind w:right="508"/>
              <w:spacing w:after="0"/>
              <w:rPr>
                <w:sz w:val="20"/>
                <w:szCs w:val="20"/>
                <w:color w:val="auto"/>
              </w:rPr>
            </w:pPr>
            <w:r>
              <w:rPr>
                <w:rFonts w:ascii="Times New Roman" w:cs="Times New Roman" w:eastAsia="Times New Roman" w:hAnsi="Times New Roman"/>
                <w:sz w:val="18"/>
                <w:szCs w:val="18"/>
                <w:color w:val="auto"/>
              </w:rPr>
              <w:t>(8,382)</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(100)%</w:t>
            </w:r>
          </w:p>
        </w:tc>
        <w:tc>
          <w:tcPr>
            <w:tcW w:w="0" w:type="dxa"/>
            <w:vAlign w:val="bottom"/>
          </w:tcPr>
          <w:p>
            <w:pPr>
              <w:spacing w:after="0"/>
              <w:rPr>
                <w:sz w:val="1"/>
                <w:szCs w:val="1"/>
                <w:color w:val="auto"/>
              </w:rPr>
            </w:pPr>
          </w:p>
        </w:tc>
      </w:tr>
      <w:tr>
        <w:trPr>
          <w:trHeight w:val="48"/>
        </w:trPr>
        <w:tc>
          <w:tcPr>
            <w:tcW w:w="12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$ 41,348</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52,235</w:t>
            </w:r>
          </w:p>
        </w:tc>
        <w:tc>
          <w:tcPr>
            <w:tcW w:w="1860" w:type="dxa"/>
            <w:vAlign w:val="bottom"/>
            <w:gridSpan w:val="4"/>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(10,887)</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(127)%</w:t>
            </w:r>
          </w:p>
        </w:tc>
        <w:tc>
          <w:tcPr>
            <w:tcW w:w="0" w:type="dxa"/>
            <w:vAlign w:val="bottom"/>
          </w:tcPr>
          <w:p>
            <w:pPr>
              <w:spacing w:after="0"/>
              <w:rPr>
                <w:sz w:val="1"/>
                <w:szCs w:val="1"/>
                <w:color w:val="auto"/>
              </w:rPr>
            </w:pPr>
          </w:p>
        </w:tc>
      </w:tr>
      <w:tr>
        <w:trPr>
          <w:trHeight w:val="162"/>
        </w:trPr>
        <w:tc>
          <w:tcPr>
            <w:tcW w:w="1280" w:type="dxa"/>
            <w:vAlign w:val="bottom"/>
            <w:tcBorders>
              <w:top w:val="single" w:sz="8" w:color="CCEEFF"/>
              <w:bottom w:val="single" w:sz="8" w:color="auto"/>
            </w:tcBorders>
          </w:tcPr>
          <w:p>
            <w:pPr>
              <w:spacing w:after="0"/>
              <w:rPr>
                <w:sz w:val="14"/>
                <w:szCs w:val="14"/>
                <w:color w:val="auto"/>
              </w:rPr>
            </w:pPr>
          </w:p>
        </w:tc>
        <w:tc>
          <w:tcPr>
            <w:tcW w:w="1820" w:type="dxa"/>
            <w:vAlign w:val="bottom"/>
            <w:tcBorders>
              <w:top w:val="single" w:sz="8" w:color="CCEEFF"/>
            </w:tcBorders>
          </w:tcPr>
          <w:p>
            <w:pPr>
              <w:spacing w:after="0"/>
              <w:rPr>
                <w:sz w:val="14"/>
                <w:szCs w:val="14"/>
                <w:color w:val="auto"/>
              </w:rPr>
            </w:pPr>
          </w:p>
        </w:tc>
        <w:tc>
          <w:tcPr>
            <w:tcW w:w="920" w:type="dxa"/>
            <w:vAlign w:val="bottom"/>
            <w:tcBorders>
              <w:top w:val="single" w:sz="8" w:color="CCEEFF"/>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80" w:type="dxa"/>
            <w:vAlign w:val="bottom"/>
            <w:tcBorders>
              <w:top w:val="single" w:sz="8" w:color="CCEEFF"/>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4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4831715</wp:posOffset>
            </wp:positionH>
            <wp:positionV relativeFrom="paragraph">
              <wp:posOffset>-1765300</wp:posOffset>
            </wp:positionV>
            <wp:extent cx="36004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-1765300</wp:posOffset>
            </wp:positionV>
            <wp:extent cx="36004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-1765300</wp:posOffset>
            </wp:positionV>
            <wp:extent cx="3600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1" w:lineRule="exact"/>
        <w:rPr>
          <w:sz w:val="20"/>
          <w:szCs w:val="20"/>
          <w:color w:val="auto"/>
        </w:rPr>
      </w:pPr>
    </w:p>
    <w:p>
      <w:pPr>
        <w:jc w:val="both"/>
        <w:ind w:left="640" w:right="319" w:hanging="348"/>
        <w:spacing w:after="0" w:line="241" w:lineRule="auto"/>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September 30, 2023, general and administrative expenses have been retrospectively adjusted to reflect the restatement of previously reported credit losses. See Note 2, “Summary of Significant Accounting Policies,” to our unaudited condensed consolidated financial statements included in this prospectus for further information.</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decrease in cost of revenues was primarily related to a decrease of $0.6 million for cost of revenues associated with multi-channel marketing and cloud communication platforms, primarily due to the sunset in December 2023 of WM CRM, WM Screens and WM AdSuite and a decrease of $0.2 million in server costs.</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decrease in sales and marketing expenses was primarily related to decreases in personnel-related costs of $0.4 million, decrease in advertising expense of $1.2 million and a decrease in event expense of $0.3 million. The decrease in personnel related costs was primarily driven by lower headcount resulting in decreases in salaries and wages of $0.4 million, stock-based compensation expense of $0.2 million and payroll tax expense of $0.1 million, partially offset by increases in bonus and commission expense of $0.3 million.</w:t>
      </w:r>
    </w:p>
    <w:p>
      <w:pPr>
        <w:spacing w:after="0" w:line="1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Product Development Expenses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increase in product development expenses was primarily due to an increase in contracted outside services expense of $0.6 million and an increase in personnel-related costs of $1.1 million. The increase in personnel-related costs was primarily due to increases in salaries and bonus expense of $1.1 million driven by lower capitalized software development costs compared to the same period in 2023, resulting in an increase in net salaries and wages expense.</w:t>
      </w:r>
    </w:p>
    <w:p>
      <w:pPr>
        <w:spacing w:after="0" w:line="1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decrease in general and administrative expenses was primarily due to decreases in salaries and wages of $0.2 million, stock-based compensation expense of $0.5 million, employee benefits of $0.2 million, rent expense of $0.5 million due to gain from lease modification, professional legal and audit services of $0.4 million, facilities expense of $0.8 million, software expense of $0.3 million, and insurance expense of $0.3 million, partially offset by increases in bonus expense of $0.5 million, outside service expense of $0.2 million, office expense of $0.5 million and provision for credit losses of $0.1 million, payroll tax of $0.1 million and severance of $0.1 million.</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increase in depreciation and amortization expense was primarily due to an increase in capitalized software amortization, partially offset by a decrease in amortization of intangible assets.</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Asset Impairment Charges</w:t>
      </w:r>
    </w:p>
    <w:p>
      <w:pPr>
        <w:spacing w:after="0" w:line="11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decrease in asset impairment charges was primarily due to $8.3 million in impairment of intangible assets and property and equipment associated with the sunset of certain product offerings in December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4" w:name="page65"/>
    <w:bookmarkEnd w:id="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4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242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30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50"/>
        </w:trPr>
        <w:tc>
          <w:tcPr>
            <w:tcW w:w="47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7"/>
        </w:trPr>
        <w:tc>
          <w:tcPr>
            <w:tcW w:w="47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51"/>
        </w:trPr>
        <w:tc>
          <w:tcPr>
            <w:tcW w:w="47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7"/>
        </w:trPr>
        <w:tc>
          <w:tcPr>
            <w:tcW w:w="4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50"/>
        </w:trPr>
        <w:tc>
          <w:tcPr>
            <w:tcW w:w="4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04"/>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3"/>
              </w:rPr>
              <w:t>$ ​585</w:t>
            </w:r>
          </w:p>
        </w:tc>
        <w:tc>
          <w:tcPr>
            <w:tcW w:w="13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(460)</w:t>
            </w: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 ​1,045</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(227)%</w:t>
            </w:r>
          </w:p>
        </w:tc>
      </w:tr>
      <w:tr>
        <w:trPr>
          <w:trHeight w:val="257"/>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(548)</w:t>
            </w:r>
          </w:p>
        </w:tc>
        <w:tc>
          <w:tcPr>
            <w:tcW w:w="1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rPr>
                <w:sz w:val="22"/>
                <w:szCs w:val="2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(479)</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694%</w:t>
            </w:r>
          </w:p>
        </w:tc>
      </w:tr>
      <w:tr>
        <w:trPr>
          <w:trHeight w:val="40"/>
        </w:trPr>
        <w:tc>
          <w:tcPr>
            <w:tcW w:w="4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43"/>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w:t>
            </w:r>
          </w:p>
        </w:tc>
        <w:tc>
          <w:tcPr>
            <w:tcW w:w="13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3,565</w:t>
            </w: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(3,467)</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w:t>
            </w:r>
          </w:p>
        </w:tc>
      </w:tr>
      <w:tr>
        <w:trPr>
          <w:trHeight w:val="61"/>
        </w:trPr>
        <w:tc>
          <w:tcPr>
            <w:tcW w:w="47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r>
      <w:tr>
        <w:trPr>
          <w:trHeight w:val="28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3"/>
              </w:rPr>
              <w:t>$ ​135</w:t>
            </w:r>
          </w:p>
        </w:tc>
        <w:tc>
          <w:tcPr>
            <w:tcW w:w="13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$3,036</w:t>
            </w:r>
          </w:p>
        </w:tc>
        <w:tc>
          <w:tcPr>
            <w:tcW w:w="14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$(2,901</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5106035</wp:posOffset>
            </wp:positionH>
            <wp:positionV relativeFrom="paragraph">
              <wp:posOffset>-967740</wp:posOffset>
            </wp:positionV>
            <wp:extent cx="857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-967740</wp:posOffset>
            </wp:positionV>
            <wp:extent cx="857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-967740</wp:posOffset>
            </wp:positionV>
            <wp:extent cx="857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decrease in other income (expense), net was primarily due to favorable changes in fair value of warrant liability of $1.0 million, a decrease in TRA liability of $0.5 million and a decrease in other income of $3.5 million, primarily due to a non-cash gain recorded in September 2023 of $3.7 million associated with the discharge of a holdback obligation related to a prior acquisition.</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2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50"/>
        </w:trPr>
        <w:tc>
          <w:tcPr>
            <w:tcW w:w="532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r>
      <w:tr>
        <w:trPr>
          <w:trHeight w:val="227"/>
        </w:trPr>
        <w:tc>
          <w:tcPr>
            <w:tcW w:w="5320" w:type="dxa"/>
            <w:vAlign w:val="bottom"/>
          </w:tcPr>
          <w:p>
            <w:pPr>
              <w:spacing w:after="0"/>
              <w:rPr>
                <w:sz w:val="19"/>
                <w:szCs w:val="19"/>
                <w:color w:val="auto"/>
              </w:rPr>
            </w:pPr>
          </w:p>
        </w:tc>
        <w:tc>
          <w:tcPr>
            <w:tcW w:w="78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8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34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51"/>
        </w:trPr>
        <w:tc>
          <w:tcPr>
            <w:tcW w:w="532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r>
      <w:tr>
        <w:trPr>
          <w:trHeight w:val="227"/>
        </w:trPr>
        <w:tc>
          <w:tcPr>
            <w:tcW w:w="5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50"/>
        </w:trPr>
        <w:tc>
          <w:tcPr>
            <w:tcW w:w="5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83"/>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$21</w:t>
            </w:r>
          </w:p>
        </w:tc>
        <w:tc>
          <w:tcPr>
            <w:tcW w:w="1580" w:type="dxa"/>
            <w:vAlign w:val="bottom"/>
            <w:gridSpan w:val="2"/>
            <w:shd w:val="clear" w:color="auto" w:fill="CCEEFF"/>
          </w:tcPr>
          <w:p>
            <w:pPr>
              <w:jc w:val="center"/>
              <w:ind w:left="22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N/M</w:t>
            </w:r>
          </w:p>
        </w:tc>
      </w:tr>
      <w:tr>
        <w:trPr>
          <w:trHeight w:val="54"/>
        </w:trPr>
        <w:tc>
          <w:tcPr>
            <w:tcW w:w="532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4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5243195</wp:posOffset>
            </wp:positionH>
            <wp:positionV relativeFrom="paragraph">
              <wp:posOffset>-401955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-401955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-401955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0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2024, we recorded $21 thousand in income tax provisions due to the impact of the full valuation allowance on its net deferred assets. See Note 2, “Summary of Significant Accounting Policies,” to our unaudited condensed consolidated financial statements included in this prospectus for further information.</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Comparison of Nine Months Ended September 30, 2024 and 2023</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50"/>
        </w:trPr>
        <w:tc>
          <w:tcPr>
            <w:tcW w:w="506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195"/>
        </w:trPr>
        <w:tc>
          <w:tcPr>
            <w:tcW w:w="50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40" w:type="dxa"/>
            <w:vAlign w:val="bottom"/>
          </w:tcPr>
          <w:p>
            <w:pPr>
              <w:jc w:val="center"/>
              <w:ind w:left="4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71"/>
        </w:trPr>
        <w:tc>
          <w:tcPr>
            <w:tcW w:w="5060" w:type="dxa"/>
            <w:vAlign w:val="bottom"/>
          </w:tcPr>
          <w:p>
            <w:pPr>
              <w:spacing w:after="0"/>
              <w:rPr>
                <w:sz w:val="23"/>
                <w:szCs w:val="23"/>
                <w:color w:val="auto"/>
              </w:rPr>
            </w:pPr>
          </w:p>
        </w:tc>
        <w:tc>
          <w:tcPr>
            <w:tcW w:w="94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tcBorders>
              <w:bottom w:val="single" w:sz="8" w:color="auto"/>
            </w:tcBorders>
          </w:tcPr>
          <w:p>
            <w:pPr>
              <w:jc w:val="center"/>
              <w:ind w:left="84"/>
              <w:spacing w:after="0"/>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800" w:type="dxa"/>
            <w:vAlign w:val="bottom"/>
            <w:tcBorders>
              <w:bottom w:val="single" w:sz="8" w:color="auto"/>
            </w:tcBorders>
            <w:gridSpan w:val="2"/>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7"/>
        </w:trPr>
        <w:tc>
          <w:tcPr>
            <w:tcW w:w="50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40" w:type="dxa"/>
            <w:vAlign w:val="bottom"/>
          </w:tcPr>
          <w:p>
            <w:pPr>
              <w:spacing w:after="0"/>
              <w:rPr>
                <w:sz w:val="19"/>
                <w:szCs w:val="19"/>
                <w:color w:val="auto"/>
              </w:rPr>
            </w:pPr>
          </w:p>
        </w:tc>
      </w:tr>
      <w:tr>
        <w:trPr>
          <w:trHeight w:val="50"/>
        </w:trPr>
        <w:tc>
          <w:tcPr>
            <w:tcW w:w="50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284"/>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9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$136,844</w:t>
            </w:r>
          </w:p>
        </w:tc>
        <w:tc>
          <w:tcPr>
            <w:tcW w:w="1240" w:type="dxa"/>
            <w:vAlign w:val="bottom"/>
            <w:shd w:val="clear" w:color="auto" w:fill="CCEEFF"/>
          </w:tcPr>
          <w:p>
            <w:pPr>
              <w:jc w:val="center"/>
              <w:ind w:left="84"/>
              <w:spacing w:after="0"/>
              <w:rPr>
                <w:sz w:val="20"/>
                <w:szCs w:val="20"/>
                <w:color w:val="auto"/>
              </w:rPr>
            </w:pPr>
            <w:r>
              <w:rPr>
                <w:rFonts w:ascii="Times New Roman" w:cs="Times New Roman" w:eastAsia="Times New Roman" w:hAnsi="Times New Roman"/>
                <w:sz w:val="18"/>
                <w:szCs w:val="18"/>
                <w:color w:val="auto"/>
              </w:rPr>
              <w:t>$141,526</w:t>
            </w:r>
          </w:p>
        </w:tc>
        <w:tc>
          <w:tcPr>
            <w:tcW w:w="8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$(4,682)</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54"/>
        </w:trPr>
        <w:tc>
          <w:tcPr>
            <w:tcW w:w="506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12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-401955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-401955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-401955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jc w:val="both"/>
        <w:ind w:left="640" w:right="299" w:hanging="348"/>
        <w:spacing w:after="0" w:line="241" w:lineRule="auto"/>
        <w:tabs>
          <w:tab w:leader="none" w:pos="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nine months ended September 30, 2023, net revenues has been retrospectively adjusted to reflect the restatement of previously reported revenue. See Note 2, “Summary of Significant Accounting Policies,” to our unaudited condensed consolidated financial statements included in this prospectus for further information.</w:t>
      </w:r>
    </w:p>
    <w:p>
      <w:pPr>
        <w:spacing w:after="0" w:line="73"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Net revenues decreased by $4.7 million, or 3%, for the nine months ended September 30, 2024 compared to the same period in 2023. The decrease was primarily due to a decrease in net revenues from our Featured Listing and WM Deal products of $11.0 million driven by our clients continuing to face constrained marketing budgets, the ongoing consolidation of our industry, partially offset by an increase in net revenues from our Weedmaps for Business and other SaaS solutions of $6.4 million driven by favorable pricing changes partially offset by a loss in revenue from products that were sunset in December 2023.</w:t>
      </w:r>
    </w:p>
    <w:p>
      <w:pPr>
        <w:spacing w:after="0" w:line="7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For nine months ended September 30, 2024, Featured Listing and WM Deal products, Weedmaps for Business and other ad solutions represented approximately 63%, 29% and 8% of our total net revenues,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5" w:name="page66"/>
    <w:bookmarkEnd w:id="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shows our total costs and expenses:</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6"/>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80" w:type="dxa"/>
            <w:vAlign w:val="bottom"/>
            <w:gridSpan w:val="4"/>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36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6"/>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36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36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6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7"/>
        </w:trPr>
        <w:tc>
          <w:tcPr>
            <w:tcW w:w="36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36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9,748</w:t>
            </w:r>
          </w:p>
        </w:tc>
        <w:tc>
          <w:tcPr>
            <w:tcW w:w="2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 (3,019)</w:t>
            </w:r>
          </w:p>
        </w:tc>
        <w:tc>
          <w:tcPr>
            <w:tcW w:w="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36,171</w:t>
            </w:r>
          </w:p>
        </w:tc>
        <w:tc>
          <w:tcPr>
            <w:tcW w:w="2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(5,797)</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54"/>
        </w:trPr>
        <w:tc>
          <w:tcPr>
            <w:tcW w:w="36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14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27,882</w:t>
            </w:r>
          </w:p>
        </w:tc>
        <w:tc>
          <w:tcPr>
            <w:tcW w:w="2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55,839</w:t>
            </w:r>
          </w:p>
        </w:tc>
        <w:tc>
          <w:tcPr>
            <w:tcW w:w="2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(4,290)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54"/>
        </w:trPr>
        <w:tc>
          <w:tcPr>
            <w:tcW w:w="36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9,417</w:t>
            </w:r>
          </w:p>
        </w:tc>
        <w:tc>
          <w:tcPr>
            <w:tcW w:w="2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7"/>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 charges</w:t>
            </w: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20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(8,382)</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(100)%</w:t>
            </w:r>
          </w:p>
        </w:tc>
        <w:tc>
          <w:tcPr>
            <w:tcW w:w="0" w:type="dxa"/>
            <w:vAlign w:val="bottom"/>
          </w:tcPr>
          <w:p>
            <w:pPr>
              <w:spacing w:after="0"/>
              <w:rPr>
                <w:sz w:val="1"/>
                <w:szCs w:val="1"/>
                <w:color w:val="auto"/>
              </w:rPr>
            </w:pPr>
          </w:p>
        </w:tc>
      </w:tr>
      <w:tr>
        <w:trPr>
          <w:trHeight w:val="61"/>
        </w:trPr>
        <w:tc>
          <w:tcPr>
            <w:tcW w:w="36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126,648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147,439</w:t>
            </w:r>
          </w:p>
        </w:tc>
        <w:tc>
          <w:tcPr>
            <w:tcW w:w="2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 (20,791)</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(151)%</w:t>
            </w:r>
          </w:p>
        </w:tc>
        <w:tc>
          <w:tcPr>
            <w:tcW w:w="0" w:type="dxa"/>
            <w:vAlign w:val="bottom"/>
          </w:tcPr>
          <w:p>
            <w:pPr>
              <w:spacing w:after="0"/>
              <w:rPr>
                <w:sz w:val="1"/>
                <w:szCs w:val="1"/>
                <w:color w:val="auto"/>
              </w:rPr>
            </w:pPr>
          </w:p>
        </w:tc>
      </w:tr>
      <w:tr>
        <w:trPr>
          <w:trHeight w:val="27"/>
        </w:trPr>
        <w:tc>
          <w:tcPr>
            <w:tcW w:w="360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right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620" w:type="dxa"/>
            <w:vAlign w:val="bottom"/>
            <w:tcBorders>
              <w:top w:val="single" w:sz="8" w:color="auto"/>
              <w:right w:val="single" w:sz="8" w:color="auto"/>
            </w:tcBorders>
            <w:shd w:val="clear" w:color="auto" w:fill="000000"/>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auto"/>
              <w:right w:val="single" w:sz="8" w:color="auto"/>
            </w:tcBorders>
            <w:shd w:val="clear" w:color="auto" w:fill="000000"/>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auto"/>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5071745</wp:posOffset>
            </wp:positionH>
            <wp:positionV relativeFrom="paragraph">
              <wp:posOffset>-1653540</wp:posOffset>
            </wp:positionV>
            <wp:extent cx="1200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-1653540</wp:posOffset>
            </wp:positionV>
            <wp:extent cx="1200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-1653540</wp:posOffset>
            </wp:positionV>
            <wp:extent cx="1200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4" w:lineRule="exact"/>
        <w:rPr>
          <w:sz w:val="20"/>
          <w:szCs w:val="20"/>
          <w:color w:val="auto"/>
        </w:rPr>
      </w:pPr>
    </w:p>
    <w:p>
      <w:pPr>
        <w:jc w:val="both"/>
        <w:ind w:left="640" w:right="299" w:hanging="348"/>
        <w:spacing w:after="0" w:line="241" w:lineRule="auto"/>
        <w:tabs>
          <w:tab w:leader="none" w:pos="6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nine months ended September 30, 2023, general and administrative expenses have been retrospectively adjusted to reflect the restatement of previously reported credit losses. See Note 2, “Summary of Significant Accounting Policies,” to our unaudited condensed consolidated financial statements included in this prospectus for further information.</w:t>
      </w:r>
    </w:p>
    <w:p>
      <w:pPr>
        <w:spacing w:after="0" w:line="3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decrease in cost of revenue was primarily related to a decrease of $2.3 million for cost of revenues associated with multi-channel marketing and cloud communication platforms primarily due to the sunset in December 2023 of WM CRM, WM Screens and WM AdSuite and a decrease of $0.7 million in server costs.</w:t>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decrease in sales and marketing expenses was primarily due to a decrease in personnel-related costs of $5.6 million, a decrease in outside services of $0.4 million and a decrease in advertising expense of $0.7 million, partially offset by an increase in event expense of $0.2 million and an increase in print and products expense of $0.7 million. The decrease in personnel-related costs was primarily driven by lower headcount resulting in decreases in salaries and wages of $2.5 million, bonus expense of $1.8 million, payroll taxes of $0.3 million and $1.0 million in stock-based compensation expense.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Product Development Expenses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increase in product development expenses was due to an increase in outside increase in travel and entertainment expense of $0.1 million partially offset by a decrease in personnel-related costs of $1.4 million. The decrease in personnel-related costs was primarily due to decreases in salaries and wages of $1.0 million, driven by a decline in headcount, partially offset by lower capitalized so the same period in 2023 and stock-based compensation expense of $0.4 million.</w:t>
      </w:r>
    </w:p>
    <w:p>
      <w:pPr>
        <w:spacing w:after="0" w:line="3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decrease in general and administrative expenses was primarily due to a decrease in personnel-related costs of $3.0 million, a decrease in facilities expense of $1.7 million, a decrease in insurance expense of $1.4 million, a decrease in rent expense of $0.8 million, a decrease in software expense of $0.9 million and a decrease in provision for credit losses of $0.1 million, partially offset by $1.5 million charge recorded in the second quarter of 2024 related to potential settlement of an SEC matter, increases in professional legal and audit services of $0.5 million, an increase in office expense of $0.5 million, an increase in promotional expense of $0.2 million and an increase in outside service expense of $0.9 million.</w:t>
      </w:r>
    </w:p>
    <w:p>
      <w:pPr>
        <w:spacing w:after="0" w:line="8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decrease in personnel-related costs was primarily driven by lower headcount resulting into a decrease in salaries and wages of $1.2 million, a decrease in severance costs of $0.5 million, a decrease in stock-based compensation expense of $1.8 million, a decrease in employee benefit expense of $0.4 million, partially offset by an increase 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6" w:name="page67"/>
    <w:bookmarkEnd w:id="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bonus expense of $0.8 million and an increase in payroll tax expense of $0.1 million. See Note 4, “Commitments and Contingencies” to our unaudited condensed consolidated financial statements included in this prospectus for additional information related to the potential settlement of an SEC matter.</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decrease in depreciation and amortization expense was primarily due to an increase in capitalized software amortization, partially offset by a decrease in amortization of intangible assets.</w:t>
      </w:r>
    </w:p>
    <w:p>
      <w:pPr>
        <w:spacing w:after="0" w:line="3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Asset Impairment Charges</w:t>
      </w:r>
    </w:p>
    <w:p>
      <w:pPr>
        <w:spacing w:after="0" w:line="11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decrease in asset impairment charges was primarily due to $8.3 million in impairment of intangible assets and property and equipment associated with the sunset of certain product offerings in December 2023.</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3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00" w:type="dxa"/>
            <w:vAlign w:val="bottom"/>
          </w:tcPr>
          <w:p>
            <w:pPr>
              <w:spacing w:after="0"/>
              <w:rPr>
                <w:sz w:val="13"/>
                <w:szCs w:val="13"/>
                <w:color w:val="auto"/>
              </w:rPr>
            </w:pPr>
          </w:p>
        </w:tc>
        <w:tc>
          <w:tcPr>
            <w:tcW w:w="1500" w:type="dxa"/>
            <w:vAlign w:val="bottom"/>
            <w:gridSpan w:val="4"/>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5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6"/>
                <w:szCs w:val="16"/>
                <w:color w:val="auto"/>
              </w:rPr>
            </w:pPr>
          </w:p>
        </w:tc>
        <w:tc>
          <w:tcPr>
            <w:tcW w:w="15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50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5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9"/>
                <w:szCs w:val="19"/>
                <w:color w:val="auto"/>
              </w:rPr>
            </w:pPr>
          </w:p>
        </w:tc>
        <w:tc>
          <w:tcPr>
            <w:tcW w:w="6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9"/>
                <w:szCs w:val="19"/>
                <w:color w:val="auto"/>
              </w:rPr>
            </w:pPr>
          </w:p>
        </w:tc>
        <w:tc>
          <w:tcPr>
            <w:tcW w:w="8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50"/>
        </w:trPr>
        <w:tc>
          <w:tcPr>
            <w:tcW w:w="50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gridSpan w:val="2"/>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5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50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195</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(780)</w:t>
            </w:r>
          </w:p>
        </w:tc>
        <w:tc>
          <w:tcPr>
            <w:tcW w:w="126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975</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(125)%</w:t>
            </w: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8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(1,486)</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2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(797)</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54"/>
        </w:trPr>
        <w:tc>
          <w:tcPr>
            <w:tcW w:w="50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60" w:type="dxa"/>
            <w:vAlign w:val="bottom"/>
            <w:shd w:val="clear" w:color="auto" w:fill="CCEEFF"/>
          </w:tcPr>
          <w:p>
            <w:pPr>
              <w:spacing w:after="0"/>
              <w:rPr>
                <w:sz w:val="22"/>
                <w:szCs w:val="22"/>
                <w:color w:val="auto"/>
              </w:rPr>
            </w:pPr>
          </w:p>
        </w:tc>
        <w:tc>
          <w:tcPr>
            <w:tcW w:w="12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(3,246)</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2"/>
              </w:rPr>
              <w:t>(113)%</w:t>
            </w:r>
          </w:p>
        </w:tc>
        <w:tc>
          <w:tcPr>
            <w:tcW w:w="0" w:type="dxa"/>
            <w:vAlign w:val="bottom"/>
          </w:tcPr>
          <w:p>
            <w:pPr>
              <w:spacing w:after="0"/>
              <w:rPr>
                <w:sz w:val="1"/>
                <w:szCs w:val="1"/>
                <w:color w:val="auto"/>
              </w:rPr>
            </w:pPr>
          </w:p>
        </w:tc>
      </w:tr>
      <w:tr>
        <w:trPr>
          <w:trHeight w:val="61"/>
        </w:trPr>
        <w:tc>
          <w:tcPr>
            <w:tcW w:w="50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(1,653)</w:t>
            </w:r>
          </w:p>
        </w:tc>
        <w:tc>
          <w:tcPr>
            <w:tcW w:w="7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9"/>
              </w:rPr>
              <w:t>$ 1,415</w:t>
            </w:r>
          </w:p>
        </w:tc>
        <w:tc>
          <w:tcPr>
            <w:tcW w:w="12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 (3,068)</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(217)%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5003165</wp:posOffset>
            </wp:positionH>
            <wp:positionV relativeFrom="paragraph">
              <wp:posOffset>-1002030</wp:posOffset>
            </wp:positionV>
            <wp:extent cx="18859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-1002030</wp:posOffset>
            </wp:positionV>
            <wp:extent cx="18859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-1002030</wp:posOffset>
            </wp:positionV>
            <wp:extent cx="18859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12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decrease in other income (expense) net was primarily due to favorable changes in fair value of warrant liability of $1.0 million, partially offset by an increase in TRA liability of $0.8 million and a decrease in other expense of $3.2 million, primarily due to a non-cash gain recorded in September 2023 of $3.7 million associated with the discharge of a holdback obligation related to a prior acquisition.</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2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50"/>
        </w:trPr>
        <w:tc>
          <w:tcPr>
            <w:tcW w:w="532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r>
      <w:tr>
        <w:trPr>
          <w:trHeight w:val="227"/>
        </w:trPr>
        <w:tc>
          <w:tcPr>
            <w:tcW w:w="5320" w:type="dxa"/>
            <w:vAlign w:val="bottom"/>
          </w:tcPr>
          <w:p>
            <w:pPr>
              <w:spacing w:after="0"/>
              <w:rPr>
                <w:sz w:val="19"/>
                <w:szCs w:val="19"/>
                <w:color w:val="auto"/>
              </w:rPr>
            </w:pP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4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9"/>
                <w:szCs w:val="19"/>
                <w:color w:val="auto"/>
              </w:rPr>
            </w:pPr>
          </w:p>
        </w:tc>
        <w:tc>
          <w:tcPr>
            <w:tcW w:w="34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50"/>
        </w:trPr>
        <w:tc>
          <w:tcPr>
            <w:tcW w:w="532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r>
      <w:tr>
        <w:trPr>
          <w:trHeight w:val="227"/>
        </w:trPr>
        <w:tc>
          <w:tcPr>
            <w:tcW w:w="5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50"/>
        </w:trPr>
        <w:tc>
          <w:tcPr>
            <w:tcW w:w="5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r>
      <w:tr>
        <w:trPr>
          <w:trHeight w:val="284"/>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$72</w:t>
            </w:r>
          </w:p>
        </w:tc>
        <w:tc>
          <w:tcPr>
            <w:tcW w:w="1580" w:type="dxa"/>
            <w:vAlign w:val="bottom"/>
            <w:gridSpan w:val="2"/>
            <w:shd w:val="clear" w:color="auto" w:fill="CCEEFF"/>
          </w:tcPr>
          <w:p>
            <w:pPr>
              <w:jc w:val="center"/>
              <w:ind w:left="202"/>
              <w:spacing w:after="0"/>
              <w:rPr>
                <w:sz w:val="20"/>
                <w:szCs w:val="20"/>
                <w:color w:val="auto"/>
              </w:rPr>
            </w:pPr>
            <w:r>
              <w:rPr>
                <w:rFonts w:ascii="Times New Roman" w:cs="Times New Roman" w:eastAsia="Times New Roman" w:hAnsi="Times New Roman"/>
                <w:sz w:val="18"/>
                <w:szCs w:val="18"/>
                <w:color w:val="auto"/>
                <w:w w:val="96"/>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$72</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N/M</w:t>
            </w:r>
          </w:p>
        </w:tc>
      </w:tr>
      <w:tr>
        <w:trPr>
          <w:trHeight w:val="54"/>
        </w:trPr>
        <w:tc>
          <w:tcPr>
            <w:tcW w:w="532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4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5226050</wp:posOffset>
            </wp:positionH>
            <wp:positionV relativeFrom="paragraph">
              <wp:posOffset>-401955</wp:posOffset>
            </wp:positionV>
            <wp:extent cx="857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-401955</wp:posOffset>
            </wp:positionV>
            <wp:extent cx="857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-401955</wp:posOffset>
            </wp:positionV>
            <wp:extent cx="857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0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2024, we recorded $72 thousand in income tax provisions due to the impact of the full valuation allowance on its net deferred assets. See Note 2, “Summary of Significant Accounting Policies,” to our unaudited condensed consolidated financial statements included in this prospectus for further information.</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cannabis industry has certain industry holidays that in recent years have resulted in increased purchases by cannabis consumers. Such “holidays” include, but are not limited to 420, July 10th and the Wednesday before Thanksgiving (“Green Wednesday”). Likewise, our clients will typically increase their spend heading into these events. We also typically invest in marketing spend around these holidays which can create some seasonality in our sales and market expenses from quarter to quarter.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7" w:name="page68"/>
    <w:bookmarkEnd w:id="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tables show our cash, accounts receivable and working capital as of the dates indicated:</w:t>
      </w: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180" w:type="dxa"/>
            <w:vAlign w:val="bottom"/>
          </w:tcPr>
          <w:p>
            <w:pPr>
              <w:spacing w:after="0"/>
              <w:rPr>
                <w:sz w:val="16"/>
                <w:szCs w:val="16"/>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51"/>
        </w:trPr>
        <w:tc>
          <w:tcPr>
            <w:tcW w:w="6180" w:type="dxa"/>
            <w:vAlign w:val="bottom"/>
          </w:tcPr>
          <w:p>
            <w:pPr>
              <w:spacing w:after="0"/>
              <w:rPr>
                <w:sz w:val="4"/>
                <w:szCs w:val="4"/>
                <w:color w:val="auto"/>
              </w:rPr>
            </w:pPr>
          </w:p>
        </w:tc>
        <w:tc>
          <w:tcPr>
            <w:tcW w:w="2480" w:type="dxa"/>
            <w:vAlign w:val="bottom"/>
            <w:tcBorders>
              <w:bottom w:val="single" w:sz="8" w:color="auto"/>
            </w:tcBorders>
            <w:gridSpan w:val="2"/>
          </w:tcPr>
          <w:p>
            <w:pPr>
              <w:spacing w:after="0"/>
              <w:rPr>
                <w:sz w:val="4"/>
                <w:szCs w:val="4"/>
                <w:color w:val="auto"/>
              </w:rPr>
            </w:pPr>
          </w:p>
        </w:tc>
      </w:tr>
      <w:tr>
        <w:trPr>
          <w:trHeight w:val="227"/>
        </w:trPr>
        <w:tc>
          <w:tcPr>
            <w:tcW w:w="6180" w:type="dxa"/>
            <w:vAlign w:val="bottom"/>
          </w:tcPr>
          <w:p>
            <w:pPr>
              <w:spacing w:after="0"/>
              <w:rPr>
                <w:sz w:val="19"/>
                <w:szCs w:val="19"/>
                <w:color w:val="auto"/>
              </w:rPr>
            </w:pPr>
          </w:p>
        </w:tc>
        <w:tc>
          <w:tcPr>
            <w:tcW w:w="248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50"/>
        </w:trPr>
        <w:tc>
          <w:tcPr>
            <w:tcW w:w="61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318"/>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2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$45,043</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$34,350</w:t>
            </w:r>
          </w:p>
        </w:tc>
      </w:tr>
      <w:tr>
        <w:trPr>
          <w:trHeight w:val="270"/>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$ 7,907</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$11,158</w:t>
            </w:r>
          </w:p>
        </w:tc>
      </w:tr>
      <w:tr>
        <w:trPr>
          <w:trHeight w:val="54"/>
        </w:trPr>
        <w:tc>
          <w:tcPr>
            <w:tcW w:w="61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70"/>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$31,577</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$17,771</w:t>
            </w:r>
          </w:p>
        </w:tc>
      </w:tr>
      <w:tr>
        <w:trPr>
          <w:trHeight w:val="54"/>
        </w:trPr>
        <w:tc>
          <w:tcPr>
            <w:tcW w:w="6180" w:type="dxa"/>
            <w:vAlign w:val="bottom"/>
            <w:shd w:val="clear" w:color="auto" w:fill="CCEEFF"/>
          </w:tcPr>
          <w:p>
            <w:pPr>
              <w:spacing w:after="0"/>
              <w:rPr>
                <w:sz w:val="4"/>
                <w:szCs w:val="4"/>
                <w:color w:val="auto"/>
              </w:rPr>
            </w:pPr>
          </w:p>
        </w:tc>
        <w:tc>
          <w:tcPr>
            <w:tcW w:w="1260" w:type="dxa"/>
            <w:vAlign w:val="bottom"/>
            <w:shd w:val="clear" w:color="auto" w:fill="CCEEFF"/>
          </w:tcPr>
          <w:p>
            <w:pPr>
              <w:spacing w:after="0"/>
              <w:rPr>
                <w:sz w:val="4"/>
                <w:szCs w:val="4"/>
                <w:color w:val="auto"/>
              </w:rPr>
            </w:pPr>
          </w:p>
        </w:tc>
        <w:tc>
          <w:tcPr>
            <w:tcW w:w="12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4883150</wp:posOffset>
            </wp:positionH>
            <wp:positionV relativeFrom="paragraph">
              <wp:posOffset>-813435</wp:posOffset>
            </wp:positionV>
            <wp:extent cx="514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As of September 30, 2024 and December 31, 2023, we had cash of $45.0 million and $34.4 million, respectively. Our funds are being used for funding our current operations and potential strategic acquisitions in the future. We also intend to increase our capital expenditures to support the organic growth in our business and operations. We expect to fund our liquidity requirements from cash and working capital on hand at September 30, 2024, as well as from cash provided by operating activities. We believe that our existing cash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We may not be able to secure additional financing to meet our operating requirements on acceptable terms, or at all.</w:t>
      </w:r>
    </w:p>
    <w:p>
      <w:pPr>
        <w:spacing w:after="0" w:line="2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2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50"/>
        </w:trPr>
        <w:tc>
          <w:tcPr>
            <w:tcW w:w="62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27"/>
        </w:trPr>
        <w:tc>
          <w:tcPr>
            <w:tcW w:w="6200" w:type="dxa"/>
            <w:vAlign w:val="bottom"/>
          </w:tcPr>
          <w:p>
            <w:pPr>
              <w:spacing w:after="0"/>
              <w:rPr>
                <w:sz w:val="19"/>
                <w:szCs w:val="19"/>
                <w:color w:val="auto"/>
              </w:rPr>
            </w:pPr>
          </w:p>
        </w:tc>
        <w:tc>
          <w:tcPr>
            <w:tcW w:w="114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51"/>
        </w:trPr>
        <w:tc>
          <w:tcPr>
            <w:tcW w:w="6200" w:type="dxa"/>
            <w:vAlign w:val="bottom"/>
          </w:tcPr>
          <w:p>
            <w:pPr>
              <w:spacing w:after="0"/>
              <w:rPr>
                <w:sz w:val="4"/>
                <w:szCs w:val="4"/>
                <w:color w:val="auto"/>
              </w:rPr>
            </w:pPr>
          </w:p>
        </w:tc>
        <w:tc>
          <w:tcPr>
            <w:tcW w:w="2220" w:type="dxa"/>
            <w:vAlign w:val="bottom"/>
            <w:tcBorders>
              <w:bottom w:val="single" w:sz="8" w:color="auto"/>
            </w:tcBorders>
            <w:gridSpan w:val="2"/>
          </w:tcPr>
          <w:p>
            <w:pPr>
              <w:spacing w:after="0"/>
              <w:rPr>
                <w:sz w:val="4"/>
                <w:szCs w:val="4"/>
                <w:color w:val="auto"/>
              </w:rPr>
            </w:pPr>
          </w:p>
        </w:tc>
      </w:tr>
      <w:tr>
        <w:trPr>
          <w:trHeight w:val="226"/>
        </w:trPr>
        <w:tc>
          <w:tcPr>
            <w:tcW w:w="6200" w:type="dxa"/>
            <w:vAlign w:val="bottom"/>
          </w:tcPr>
          <w:p>
            <w:pPr>
              <w:spacing w:after="0"/>
              <w:rPr>
                <w:sz w:val="19"/>
                <w:szCs w:val="19"/>
                <w:color w:val="auto"/>
              </w:rPr>
            </w:pPr>
          </w:p>
        </w:tc>
        <w:tc>
          <w:tcPr>
            <w:tcW w:w="2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50"/>
        </w:trPr>
        <w:tc>
          <w:tcPr>
            <w:tcW w:w="6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318"/>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$27,275</w:t>
            </w:r>
          </w:p>
        </w:tc>
        <w:tc>
          <w:tcPr>
            <w:tcW w:w="1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$12,410</w:t>
            </w: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(9,499)</w:t>
            </w:r>
          </w:p>
        </w:tc>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(8,870)</w:t>
            </w:r>
          </w:p>
        </w:tc>
      </w:tr>
      <w:tr>
        <w:trPr>
          <w:trHeight w:val="54"/>
        </w:trPr>
        <w:tc>
          <w:tcPr>
            <w:tcW w:w="6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7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(7,083)</w:t>
            </w:r>
          </w:p>
        </w:tc>
        <w:tc>
          <w:tcPr>
            <w:tcW w:w="1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(4,402)</w:t>
            </w:r>
          </w:p>
        </w:tc>
      </w:tr>
      <w:tr>
        <w:trPr>
          <w:trHeight w:val="54"/>
        </w:trPr>
        <w:tc>
          <w:tcPr>
            <w:tcW w:w="620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-813435</wp:posOffset>
            </wp:positionV>
            <wp:extent cx="857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Cash from operating activities consists primarily of net income (loss) adjusted for certain non-cash items, including depreciation and amortization, change in fair value of warrant liability, change in TRA liability, amortization of right-of-use lease assets, stock-based compensation, asset impairment charges, gain on lease termination, provision (recovery) for credit losses, and the effect of changes in working capital.</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for the nine months ended September 30, 2024 was $27.3 million, which resulted from a net income of $8.5 million, together with net cash outflows of $2.2 million from changes in operating assets and liabilities, and non-cash items of $21.0 million, consisting of depreciation and amortization of $9.6 million, change in TRA liability of $1.5 million, amortization of right-of-use lease assets of $3.3 million, stock-based compensation of $7.2 million, partially offset by change in fair value of warrant liability of $0.2 million, gain on lease termination of $0.1 million and provision (recovery) for credit losses of $0.3 million. Net cash outflows from changes in operating assets and liabilities was primarily due to an increase in prepaid expenses and other current assets of $0.4 million, a decrease in accounts payable and accrued expenses of $1.2 million, a decrease in deferred revenue of $0.2 million and a decrease in operating lease liabilities of $5.0 million, partially offset by a decrease in accounts receivable of $3.5 million and a decrease in other assets of $1.0 million. The changes in operating assets and liabilities are mostly due to fluctuations in timing of cash receipts and payments.</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for the nine months ended September 30, 2023 was $12.4 million, which resulted from net loss of $4.5 million, together with net cash outflows of $12.5 million from changes in operating assets and liabilities, and non-cash items of $29.4 million, consisting of depreciation and amortization of $9.4 million, fair value of warrant liability of $0.8 million, change in TRA liability of $0.7 million, amortization of right-of-use lease assets of $3.7 million, asset impairment charges of $8.4 million and stock-based compensation of $10.4 million, partially offset by gain from the discharge of a holdback obligation related to a prior acquisition of $3.7 million and provision (recovery) for credit losses of $0.2 million. Net cash outflows from changes in operating assets and liabilities were primarily due to a decrease in accounts payables and accrued expenses of $15.4 million, a decrease in operating lease liabilities of $4.7 million and a decrease in deferred revenue of $0.2 million, partially offset by a</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8" w:name="page69"/>
    <w:bookmarkEnd w:id="68"/>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decrease in accounts receivables of $5.3 million and a decrease in prepaid expenses and other current assets of $2.4 million. The changes in operating assets and liabilities are mostly due to fluctuations in timing of cash receipts and payments.</w:t>
      </w:r>
    </w:p>
    <w:p>
      <w:pPr>
        <w:spacing w:after="0" w:line="3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19" w:lineRule="exact"/>
        <w:rPr>
          <w:sz w:val="20"/>
          <w:szCs w:val="20"/>
          <w:color w:val="auto"/>
        </w:rPr>
      </w:pPr>
    </w:p>
    <w:p>
      <w:pPr>
        <w:jc w:val="both"/>
        <w:ind w:left="1300" w:right="132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2024 was $9.5 million, which resulted from $9.5 million cash paid for capital expenditures which includes purchases of property and equipment, including certain capitalized software development cost.</w:t>
      </w:r>
    </w:p>
    <w:p>
      <w:pPr>
        <w:spacing w:after="0" w:line="68" w:lineRule="exact"/>
        <w:rPr>
          <w:sz w:val="20"/>
          <w:szCs w:val="20"/>
          <w:color w:val="auto"/>
        </w:rPr>
      </w:pPr>
    </w:p>
    <w:p>
      <w:pPr>
        <w:jc w:val="both"/>
        <w:ind w:left="1300" w:right="132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2023 was $8.9 million, which resulted from $8.9 million cash paid for capital expenditures which includes purchases of property and equipment, including certain capitalized software development cost.</w:t>
      </w:r>
    </w:p>
    <w:p>
      <w:pPr>
        <w:spacing w:after="0" w:line="3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119"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Net cash outflows from financing activities for the nine months ended September 30, 2024 was $7.1 million, which primarily consists of $7.3 million in distributions payments to members of WMH LLC, $0.1 million in TRA payments and $0.3 million in proceeds from collection of related party note receivable.</w:t>
      </w:r>
    </w:p>
    <w:p>
      <w:pPr>
        <w:spacing w:after="0" w:line="68" w:lineRule="exact"/>
        <w:rPr>
          <w:sz w:val="20"/>
          <w:szCs w:val="20"/>
          <w:color w:val="auto"/>
        </w:rPr>
      </w:pPr>
    </w:p>
    <w:p>
      <w:pPr>
        <w:jc w:val="both"/>
        <w:ind w:left="1300" w:right="1320"/>
        <w:spacing w:after="0" w:line="266" w:lineRule="auto"/>
        <w:rPr>
          <w:sz w:val="20"/>
          <w:szCs w:val="20"/>
          <w:color w:val="auto"/>
        </w:rPr>
      </w:pPr>
      <w:r>
        <w:rPr>
          <w:rFonts w:ascii="Times New Roman" w:cs="Times New Roman" w:eastAsia="Times New Roman" w:hAnsi="Times New Roman"/>
          <w:sz w:val="18"/>
          <w:szCs w:val="18"/>
          <w:color w:val="auto"/>
        </w:rPr>
        <w:t>Net cash outflows from financing activities for the nine months ended September 30, 2023 was $4.4 million, which primarily consists of $1.5 million in repayments of insurance premium financing and $3.2 million in distributions payments to members of WMH LLC and $0.3 million in proceeds from collection of related party note receivable.</w:t>
      </w:r>
    </w:p>
    <w:p>
      <w:pPr>
        <w:spacing w:after="0" w:line="3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2023 and 2022</w:t>
      </w:r>
    </w:p>
    <w:p>
      <w:pPr>
        <w:spacing w:after="0" w:line="121"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presented and expresses the relationship of certain line items as a percentage of net revenues for those periods. The period-to-period comparison of financial results is not necessarily indicative of future results.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gridSpan w:val="8"/>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50"/>
        </w:trPr>
        <w:tc>
          <w:tcPr>
            <w:tcW w:w="1300" w:type="dxa"/>
            <w:vAlign w:val="bottom"/>
          </w:tcPr>
          <w:p>
            <w:pPr>
              <w:spacing w:after="0"/>
              <w:rPr>
                <w:sz w:val="4"/>
                <w:szCs w:val="4"/>
                <w:color w:val="auto"/>
              </w:rPr>
            </w:pPr>
          </w:p>
        </w:tc>
        <w:tc>
          <w:tcPr>
            <w:tcW w:w="47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gridSpan w:val="2"/>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gridSpan w:val="2"/>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7"/>
        </w:trPr>
        <w:tc>
          <w:tcPr>
            <w:tcW w:w="13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4"/>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5"/>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50"/>
        </w:trPr>
        <w:tc>
          <w:tcPr>
            <w:tcW w:w="1300" w:type="dxa"/>
            <w:vAlign w:val="bottom"/>
          </w:tcPr>
          <w:p>
            <w:pPr>
              <w:spacing w:after="0"/>
              <w:rPr>
                <w:sz w:val="4"/>
                <w:szCs w:val="4"/>
                <w:color w:val="auto"/>
              </w:rPr>
            </w:pPr>
          </w:p>
        </w:tc>
        <w:tc>
          <w:tcPr>
            <w:tcW w:w="47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7"/>
        </w:trPr>
        <w:tc>
          <w:tcPr>
            <w:tcW w:w="13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Revenue</w:t>
            </w:r>
          </w:p>
        </w:tc>
        <w:tc>
          <w:tcPr>
            <w:tcW w:w="180" w:type="dxa"/>
            <w:vAlign w:val="bottom"/>
          </w:tcPr>
          <w:p>
            <w:pPr>
              <w:spacing w:after="0"/>
              <w:rPr>
                <w:sz w:val="19"/>
                <w:szCs w:val="19"/>
                <w:color w:val="auto"/>
              </w:rPr>
            </w:pPr>
          </w:p>
        </w:tc>
        <w:tc>
          <w:tcPr>
            <w:tcW w:w="102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 Revenue</w:t>
            </w:r>
          </w:p>
        </w:tc>
      </w:tr>
      <w:tr>
        <w:trPr>
          <w:trHeight w:val="50"/>
        </w:trPr>
        <w:tc>
          <w:tcPr>
            <w:tcW w:w="1300" w:type="dxa"/>
            <w:vAlign w:val="bottom"/>
          </w:tcPr>
          <w:p>
            <w:pPr>
              <w:spacing w:after="0"/>
              <w:rPr>
                <w:sz w:val="4"/>
                <w:szCs w:val="4"/>
                <w:color w:val="auto"/>
              </w:rPr>
            </w:pPr>
          </w:p>
        </w:tc>
        <w:tc>
          <w:tcPr>
            <w:tcW w:w="47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gridSpan w:val="2"/>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7"/>
        </w:trPr>
        <w:tc>
          <w:tcPr>
            <w:tcW w:w="13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60" w:type="dxa"/>
            <w:vAlign w:val="bottom"/>
            <w:gridSpan w:val="8"/>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50"/>
        </w:trPr>
        <w:tc>
          <w:tcPr>
            <w:tcW w:w="1300" w:type="dxa"/>
            <w:vAlign w:val="bottom"/>
          </w:tcPr>
          <w:p>
            <w:pPr>
              <w:spacing w:after="0"/>
              <w:rPr>
                <w:sz w:val="4"/>
                <w:szCs w:val="4"/>
                <w:color w:val="auto"/>
              </w:rPr>
            </w:pPr>
          </w:p>
        </w:tc>
        <w:tc>
          <w:tcPr>
            <w:tcW w:w="4740" w:type="dxa"/>
            <w:vAlign w:val="bottom"/>
          </w:tcPr>
          <w:p>
            <w:pPr>
              <w:spacing w:after="0"/>
              <w:rPr>
                <w:sz w:val="4"/>
                <w:szCs w:val="4"/>
                <w:color w:val="auto"/>
              </w:rPr>
            </w:pPr>
          </w:p>
        </w:tc>
        <w:tc>
          <w:tcPr>
            <w:tcW w:w="66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18"/>
        </w:trPr>
        <w:tc>
          <w:tcPr>
            <w:tcW w:w="1300" w:type="dxa"/>
            <w:vAlign w:val="bottom"/>
          </w:tcPr>
          <w:p>
            <w:pPr>
              <w:spacing w:after="0"/>
              <w:rPr>
                <w:sz w:val="24"/>
                <w:szCs w:val="24"/>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$187,993</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$ 215,531</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4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2"/>
        </w:trPr>
        <w:tc>
          <w:tcPr>
            <w:tcW w:w="1300" w:type="dxa"/>
            <w:vAlign w:val="bottom"/>
          </w:tcPr>
          <w:p>
            <w:pPr>
              <w:spacing w:after="0"/>
              <w:rPr>
                <w:sz w:val="21"/>
                <w:szCs w:val="21"/>
                <w:color w:val="auto"/>
              </w:rPr>
            </w:pPr>
          </w:p>
        </w:tc>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 (exclusive of depreciation and</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268"/>
        </w:trPr>
        <w:tc>
          <w:tcPr>
            <w:tcW w:w="1300" w:type="dxa"/>
            <w:vAlign w:val="bottom"/>
          </w:tcPr>
          <w:p>
            <w:pPr>
              <w:spacing w:after="0"/>
              <w:rPr>
                <w:sz w:val="23"/>
                <w:szCs w:val="23"/>
                <w:color w:val="auto"/>
              </w:rPr>
            </w:pPr>
          </w:p>
        </w:tc>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12,527</w:t>
            </w:r>
          </w:p>
        </w:tc>
        <w:tc>
          <w:tcPr>
            <w:tcW w:w="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15,407</w:t>
            </w: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c>
          <w:tcPr>
            <w:tcW w:w="1300" w:type="dxa"/>
            <w:vAlign w:val="bottom"/>
          </w:tcPr>
          <w:p>
            <w:pPr>
              <w:spacing w:after="0"/>
              <w:rPr>
                <w:sz w:val="23"/>
                <w:szCs w:val="23"/>
                <w:color w:val="auto"/>
              </w:rPr>
            </w:pPr>
          </w:p>
        </w:tc>
      </w:tr>
      <w:tr>
        <w:trPr>
          <w:trHeight w:val="270"/>
        </w:trPr>
        <w:tc>
          <w:tcPr>
            <w:tcW w:w="1300" w:type="dxa"/>
            <w:vAlign w:val="bottom"/>
          </w:tcPr>
          <w:p>
            <w:pPr>
              <w:spacing w:after="0"/>
              <w:rPr>
                <w:sz w:val="23"/>
                <w:szCs w:val="23"/>
                <w:color w:val="auto"/>
              </w:rPr>
            </w:pPr>
          </w:p>
        </w:tc>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47,073</w:t>
            </w:r>
          </w:p>
        </w:tc>
        <w:tc>
          <w:tcPr>
            <w:tcW w:w="80" w:type="dxa"/>
            <w:vAlign w:val="bottom"/>
          </w:tcPr>
          <w:p>
            <w:pPr>
              <w:spacing w:after="0"/>
              <w:rPr>
                <w:sz w:val="23"/>
                <w:szCs w:val="23"/>
                <w:color w:val="auto"/>
              </w:rPr>
            </w:pPr>
          </w:p>
        </w:tc>
        <w:tc>
          <w:tcPr>
            <w:tcW w:w="9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25.0%</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82,624</w:t>
            </w:r>
          </w:p>
        </w:tc>
        <w:tc>
          <w:tcPr>
            <w:tcW w:w="280" w:type="dxa"/>
            <w:vAlign w:val="bottom"/>
          </w:tcPr>
          <w:p>
            <w:pPr>
              <w:spacing w:after="0"/>
              <w:rPr>
                <w:sz w:val="23"/>
                <w:szCs w:val="23"/>
                <w:color w:val="auto"/>
              </w:rPr>
            </w:pP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38.3%</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4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36,001</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19.2%</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50,520</w:t>
            </w:r>
          </w:p>
        </w:tc>
        <w:tc>
          <w:tcPr>
            <w:tcW w:w="2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23.4%</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74,313</w:t>
            </w:r>
          </w:p>
        </w:tc>
        <w:tc>
          <w:tcPr>
            <w:tcW w:w="80" w:type="dxa"/>
            <w:vAlign w:val="bottom"/>
          </w:tcPr>
          <w:p>
            <w:pPr>
              <w:spacing w:after="0"/>
              <w:rPr>
                <w:sz w:val="23"/>
                <w:szCs w:val="23"/>
                <w:color w:val="auto"/>
              </w:rPr>
            </w:pPr>
          </w:p>
        </w:tc>
        <w:tc>
          <w:tcPr>
            <w:tcW w:w="9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39.5%</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120,787</w:t>
            </w:r>
          </w:p>
        </w:tc>
        <w:tc>
          <w:tcPr>
            <w:tcW w:w="280" w:type="dxa"/>
            <w:vAlign w:val="bottom"/>
          </w:tcPr>
          <w:p>
            <w:pPr>
              <w:spacing w:after="0"/>
              <w:rPr>
                <w:sz w:val="23"/>
                <w:szCs w:val="23"/>
                <w:color w:val="auto"/>
              </w:rPr>
            </w:pP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56.0%</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4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9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11,498</w:t>
            </w:r>
          </w:p>
        </w:tc>
        <w:tc>
          <w:tcPr>
            <w:tcW w:w="2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10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80" w:type="dxa"/>
            <w:vAlign w:val="bottom"/>
          </w:tcPr>
          <w:p>
            <w:pPr>
              <w:spacing w:after="0"/>
              <w:rPr>
                <w:sz w:val="22"/>
                <w:szCs w:val="22"/>
                <w:color w:val="auto"/>
              </w:rPr>
            </w:pPr>
          </w:p>
        </w:tc>
        <w:tc>
          <w:tcPr>
            <w:tcW w:w="9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13.0%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47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206,450</w:t>
            </w:r>
          </w:p>
        </w:tc>
        <w:tc>
          <w:tcPr>
            <w:tcW w:w="80" w:type="dxa"/>
            <w:vAlign w:val="bottom"/>
            <w:shd w:val="clear" w:color="auto" w:fill="CCEEFF"/>
          </w:tcPr>
          <w:p>
            <w:pPr>
              <w:spacing w:after="0"/>
              <w:rPr>
                <w:sz w:val="23"/>
                <w:szCs w:val="23"/>
                <w:color w:val="auto"/>
              </w:rPr>
            </w:pPr>
          </w:p>
        </w:tc>
        <w:tc>
          <w:tcPr>
            <w:tcW w:w="9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109.8%</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285,153</w:t>
            </w:r>
          </w:p>
        </w:tc>
        <w:tc>
          <w:tcPr>
            <w:tcW w:w="280" w:type="dxa"/>
            <w:vAlign w:val="bottom"/>
            <w:shd w:val="clear" w:color="auto" w:fill="CCEEFF"/>
          </w:tcPr>
          <w:p>
            <w:pPr>
              <w:spacing w:after="0"/>
              <w:rPr>
                <w:sz w:val="23"/>
                <w:szCs w:val="23"/>
                <w:color w:val="auto"/>
              </w:rPr>
            </w:pPr>
          </w:p>
        </w:tc>
        <w:tc>
          <w:tcPr>
            <w:tcW w:w="7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132.3%</w:t>
            </w: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4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84"/>
        </w:trPr>
        <w:tc>
          <w:tcPr>
            <w:tcW w:w="1300" w:type="dxa"/>
            <w:vAlign w:val="bottom"/>
          </w:tcPr>
          <w:p>
            <w:pPr>
              <w:spacing w:after="0"/>
              <w:rPr>
                <w:sz w:val="24"/>
                <w:szCs w:val="24"/>
                <w:color w:val="auto"/>
              </w:rPr>
            </w:pPr>
          </w:p>
        </w:tc>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tcPr>
          <w:p>
            <w:pPr>
              <w:spacing w:after="0"/>
              <w:rPr>
                <w:sz w:val="24"/>
                <w:szCs w:val="24"/>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7"/>
              </w:rPr>
              <w:t>(18,457)</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(69,622)</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(32.3)%</w:t>
            </w:r>
          </w:p>
        </w:tc>
        <w:tc>
          <w:tcPr>
            <w:tcW w:w="1300" w:type="dxa"/>
            <w:vAlign w:val="bottom"/>
          </w:tcPr>
          <w:p>
            <w:pPr>
              <w:spacing w:after="0"/>
              <w:rPr>
                <w:sz w:val="24"/>
                <w:szCs w:val="24"/>
                <w:color w:val="auto"/>
              </w:rPr>
            </w:pPr>
          </w:p>
        </w:tc>
      </w:tr>
      <w:tr>
        <w:trPr>
          <w:trHeight w:val="54"/>
        </w:trPr>
        <w:tc>
          <w:tcPr>
            <w:tcW w:w="1300" w:type="dxa"/>
            <w:vAlign w:val="bottom"/>
          </w:tcPr>
          <w:p>
            <w:pPr>
              <w:spacing w:after="0"/>
              <w:rPr>
                <w:sz w:val="4"/>
                <w:szCs w:val="4"/>
                <w:color w:val="auto"/>
              </w:rPr>
            </w:pPr>
          </w:p>
        </w:tc>
        <w:tc>
          <w:tcPr>
            <w:tcW w:w="4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80" w:type="dxa"/>
            <w:vAlign w:val="bottom"/>
          </w:tcPr>
          <w:p>
            <w:pPr>
              <w:spacing w:after="0"/>
              <w:rPr>
                <w:sz w:val="23"/>
                <w:szCs w:val="23"/>
                <w:color w:val="auto"/>
              </w:rPr>
            </w:pPr>
          </w:p>
        </w:tc>
        <w:tc>
          <w:tcPr>
            <w:tcW w:w="9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0.8%</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25,370</w:t>
            </w:r>
          </w:p>
        </w:tc>
        <w:tc>
          <w:tcPr>
            <w:tcW w:w="280" w:type="dxa"/>
            <w:vAlign w:val="bottom"/>
          </w:tcPr>
          <w:p>
            <w:pPr>
              <w:spacing w:after="0"/>
              <w:rPr>
                <w:sz w:val="23"/>
                <w:szCs w:val="23"/>
                <w:color w:val="auto"/>
              </w:rPr>
            </w:pP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11.8%</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4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(1,256)</w:t>
            </w:r>
          </w:p>
        </w:tc>
        <w:tc>
          <w:tcPr>
            <w:tcW w:w="9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9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142,352</w:t>
            </w:r>
          </w:p>
        </w:tc>
        <w:tc>
          <w:tcPr>
            <w:tcW w:w="2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66.0%</w:t>
            </w: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80" w:type="dxa"/>
            <w:vAlign w:val="bottom"/>
          </w:tcPr>
          <w:p>
            <w:pPr>
              <w:spacing w:after="0"/>
              <w:rPr>
                <w:sz w:val="22"/>
                <w:szCs w:val="22"/>
                <w:color w:val="auto"/>
              </w:rPr>
            </w:pPr>
          </w:p>
        </w:tc>
        <w:tc>
          <w:tcPr>
            <w:tcW w:w="9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(1,674)</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47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318"/>
        </w:trPr>
        <w:tc>
          <w:tcPr>
            <w:tcW w:w="1300" w:type="dxa"/>
            <w:vAlign w:val="bottom"/>
          </w:tcPr>
          <w:p>
            <w:pPr>
              <w:spacing w:after="0"/>
              <w:rPr>
                <w:sz w:val="24"/>
                <w:szCs w:val="24"/>
                <w:color w:val="auto"/>
              </w:rPr>
            </w:pPr>
          </w:p>
        </w:tc>
        <w:tc>
          <w:tcPr>
            <w:tcW w:w="4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(15,634)</w:t>
            </w:r>
          </w:p>
        </w:tc>
        <w:tc>
          <w:tcPr>
            <w:tcW w:w="9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96,426</w:t>
            </w:r>
          </w:p>
        </w:tc>
        <w:tc>
          <w:tcPr>
            <w:tcW w:w="2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44.7%</w:t>
            </w: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0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179,077</w:t>
            </w:r>
          </w:p>
        </w:tc>
        <w:tc>
          <w:tcPr>
            <w:tcW w:w="280" w:type="dxa"/>
            <w:vAlign w:val="bottom"/>
          </w:tcPr>
          <w:p>
            <w:pPr>
              <w:spacing w:after="0"/>
              <w:rPr>
                <w:sz w:val="22"/>
                <w:szCs w:val="22"/>
                <w:color w:val="auto"/>
              </w:rPr>
            </w:pP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83.1%</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47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spacing w:after="0"/>
              <w:rPr>
                <w:sz w:val="23"/>
                <w:szCs w:val="23"/>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(15,727)</w:t>
            </w:r>
          </w:p>
        </w:tc>
        <w:tc>
          <w:tcPr>
            <w:tcW w:w="9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12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(82,651)</w:t>
            </w:r>
          </w:p>
        </w:tc>
        <w:tc>
          <w:tcPr>
            <w:tcW w:w="7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(38.3)%</w:t>
            </w: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4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interests</w:t>
            </w:r>
          </w:p>
        </w:tc>
        <w:tc>
          <w:tcPr>
            <w:tcW w:w="100" w:type="dxa"/>
            <w:vAlign w:val="bottom"/>
          </w:tcPr>
          <w:p>
            <w:pPr>
              <w:spacing w:after="0"/>
              <w:rPr>
                <w:sz w:val="23"/>
                <w:szCs w:val="23"/>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(5,829)</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33,338</w:t>
            </w:r>
          </w:p>
        </w:tc>
        <w:tc>
          <w:tcPr>
            <w:tcW w:w="280" w:type="dxa"/>
            <w:vAlign w:val="bottom"/>
          </w:tcPr>
          <w:p>
            <w:pPr>
              <w:spacing w:after="0"/>
              <w:rPr>
                <w:sz w:val="23"/>
                <w:szCs w:val="23"/>
                <w:color w:val="auto"/>
              </w:rPr>
            </w:pP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15.5%</w:t>
            </w: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47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318"/>
        </w:trPr>
        <w:tc>
          <w:tcPr>
            <w:tcW w:w="1300" w:type="dxa"/>
            <w:vAlign w:val="bottom"/>
          </w:tcPr>
          <w:p>
            <w:pPr>
              <w:spacing w:after="0"/>
              <w:rPr>
                <w:sz w:val="24"/>
                <w:szCs w:val="24"/>
                <w:color w:val="auto"/>
              </w:rPr>
            </w:pPr>
          </w:p>
        </w:tc>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attributable to WM Technology, Inc.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(9,898)</w:t>
            </w:r>
          </w:p>
        </w:tc>
        <w:tc>
          <w:tcPr>
            <w:tcW w:w="9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12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(115,989)</w:t>
            </w:r>
          </w:p>
        </w:tc>
        <w:tc>
          <w:tcPr>
            <w:tcW w:w="7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(53.8)%</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4740" w:type="dxa"/>
            <w:vAlign w:val="bottom"/>
            <w:tcBorders>
              <w:top w:val="single" w:sz="8" w:color="CCEEFF"/>
            </w:tcBorders>
          </w:tcPr>
          <w:p>
            <w:pPr>
              <w:ind w:left="412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4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5552440</wp:posOffset>
            </wp:positionH>
            <wp:positionV relativeFrom="paragraph">
              <wp:posOffset>-4748530</wp:posOffset>
            </wp:positionV>
            <wp:extent cx="12001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4926330</wp:posOffset>
            </wp:positionH>
            <wp:positionV relativeFrom="paragraph">
              <wp:posOffset>-4748530</wp:posOffset>
            </wp:positionV>
            <wp:extent cx="12001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4309110</wp:posOffset>
            </wp:positionH>
            <wp:positionV relativeFrom="paragraph">
              <wp:posOffset>-4748530</wp:posOffset>
            </wp:positionV>
            <wp:extent cx="12001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ectPr>
          <w:pgSz w:w="11900" w:h="16838" w:orient="portrait"/>
          <w:cols w:equalWidth="0" w:num="1">
            <w:col w:w="11020"/>
          </w:cols>
          <w:pgMar w:left="440" w:top="263" w:right="439" w:bottom="973" w:gutter="0" w:footer="0" w:header="0"/>
        </w:sectPr>
      </w:pPr>
    </w:p>
    <w:bookmarkStart w:id="69" w:name="page70"/>
    <w:bookmarkEnd w:id="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2023 and 2022</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summarizes our disaggregated net revenue information:</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Pr>
          <w:p>
            <w:pPr>
              <w:spacing w:after="0"/>
              <w:rPr>
                <w:sz w:val="16"/>
                <w:szCs w:val="16"/>
                <w:color w:val="auto"/>
              </w:rPr>
            </w:pPr>
          </w:p>
        </w:tc>
        <w:tc>
          <w:tcPr>
            <w:tcW w:w="100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Pr>
          <w:p>
            <w:pPr>
              <w:spacing w:after="0"/>
              <w:rPr>
                <w:sz w:val="16"/>
                <w:szCs w:val="16"/>
                <w:color w:val="auto"/>
              </w:rPr>
            </w:pPr>
          </w:p>
        </w:tc>
      </w:tr>
      <w:tr>
        <w:trPr>
          <w:trHeight w:val="51"/>
        </w:trPr>
        <w:tc>
          <w:tcPr>
            <w:tcW w:w="47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r>
      <w:tr>
        <w:trPr>
          <w:trHeight w:val="227"/>
        </w:trPr>
        <w:tc>
          <w:tcPr>
            <w:tcW w:w="4780" w:type="dxa"/>
            <w:vAlign w:val="bottom"/>
          </w:tcPr>
          <w:p>
            <w:pPr>
              <w:spacing w:after="0"/>
              <w:rPr>
                <w:sz w:val="19"/>
                <w:szCs w:val="19"/>
                <w:color w:val="auto"/>
              </w:rPr>
            </w:pPr>
          </w:p>
        </w:tc>
        <w:tc>
          <w:tcPr>
            <w:tcW w:w="94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92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00" w:type="dxa"/>
            <w:vAlign w:val="bottom"/>
            <w:gridSpan w:val="2"/>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50"/>
        </w:trPr>
        <w:tc>
          <w:tcPr>
            <w:tcW w:w="47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2"/>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r>
      <w:tr>
        <w:trPr>
          <w:trHeight w:val="227"/>
        </w:trPr>
        <w:tc>
          <w:tcPr>
            <w:tcW w:w="4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2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80" w:type="dxa"/>
            <w:vAlign w:val="bottom"/>
          </w:tcPr>
          <w:p>
            <w:pPr>
              <w:spacing w:after="0"/>
              <w:rPr>
                <w:sz w:val="19"/>
                <w:szCs w:val="19"/>
                <w:color w:val="auto"/>
              </w:rPr>
            </w:pPr>
          </w:p>
        </w:tc>
      </w:tr>
      <w:tr>
        <w:trPr>
          <w:trHeight w:val="51"/>
        </w:trPr>
        <w:tc>
          <w:tcPr>
            <w:tcW w:w="4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80" w:type="dxa"/>
            <w:vAlign w:val="bottom"/>
          </w:tcPr>
          <w:p>
            <w:pPr>
              <w:spacing w:after="0"/>
              <w:rPr>
                <w:sz w:val="4"/>
                <w:szCs w:val="4"/>
                <w:color w:val="auto"/>
              </w:rPr>
            </w:pPr>
          </w:p>
        </w:tc>
      </w:tr>
      <w:tr>
        <w:trPr>
          <w:trHeight w:val="283"/>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9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$187,993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$215,531</w:t>
            </w:r>
          </w:p>
        </w:tc>
        <w:tc>
          <w:tcPr>
            <w:tcW w:w="130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$(27,538)</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w:t>
            </w:r>
          </w:p>
        </w:tc>
      </w:tr>
      <w:tr>
        <w:trPr>
          <w:trHeight w:val="54"/>
        </w:trPr>
        <w:tc>
          <w:tcPr>
            <w:tcW w:w="478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5054600</wp:posOffset>
            </wp:positionH>
            <wp:positionV relativeFrom="paragraph">
              <wp:posOffset>-401955</wp:posOffset>
            </wp:positionV>
            <wp:extent cx="18859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-401955</wp:posOffset>
            </wp:positionV>
            <wp:extent cx="18859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-401955</wp:posOffset>
            </wp:positionV>
            <wp:extent cx="18859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Net revenues decreased by $27.5 million, or 13%, for the year ended December 31, 2023 compared to the same period in 2022. The decrease was primarily driven by a decrease in average monthly net revenue per paying client primarily as a result of a decrease in revenue from our Featured Listings and WM Deal products of $23.1 million, Weedmaps for Business of $3.9 million and other WM Ad solutions of $0.5 million.</w:t>
      </w:r>
    </w:p>
    <w:p>
      <w:pPr>
        <w:spacing w:after="0" w:line="7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featured and deal listings, Weedmaps for Business and other ad solutions represented 67%, 25% and 8% of our total net revenues, respectively.</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2022, we approved plans to reduce our workforce as part of certain cost-reduction initiatives intended to reduce operating expenses and sharpen our focus on key growth priorities. The decreases in our sales and marketing expenses, product development expenses and general and administrative expenses are primarily driven by the reduction in employee headcount. As of December 31, 2023, we had 440 full-time employees and 19 temporary employees, including 196 in engineering, product and design, 181 in sales and marketing and 82 in general and administrative. As of December 31, 2022, we had 580 full-time employees and 3 temporary employees, including 224 in engineering, product and design, 245 in sales and marketing and 114 in general and administrative. Of these employees, 573 are located in the United States and 10 are located in Canada. The following table shows our total costs and expenses:</w:t>
      </w:r>
    </w:p>
    <w:p>
      <w:pPr>
        <w:spacing w:after="0" w:line="223"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8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50"/>
        </w:trPr>
        <w:tc>
          <w:tcPr>
            <w:tcW w:w="484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7"/>
        </w:trPr>
        <w:tc>
          <w:tcPr>
            <w:tcW w:w="4840" w:type="dxa"/>
            <w:vAlign w:val="bottom"/>
          </w:tcPr>
          <w:p>
            <w:pPr>
              <w:spacing w:after="0"/>
              <w:rPr>
                <w:sz w:val="19"/>
                <w:szCs w:val="19"/>
                <w:color w:val="auto"/>
              </w:rPr>
            </w:pPr>
          </w:p>
        </w:tc>
        <w:tc>
          <w:tcPr>
            <w:tcW w:w="7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9"/>
                <w:szCs w:val="19"/>
                <w:color w:val="auto"/>
              </w:rPr>
            </w:pPr>
          </w:p>
        </w:tc>
        <w:tc>
          <w:tcPr>
            <w:tcW w:w="6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9"/>
                <w:szCs w:val="19"/>
                <w:color w:val="auto"/>
              </w:rPr>
            </w:pPr>
          </w:p>
        </w:tc>
        <w:tc>
          <w:tcPr>
            <w:tcW w:w="9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50"/>
        </w:trPr>
        <w:tc>
          <w:tcPr>
            <w:tcW w:w="484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7"/>
        </w:trPr>
        <w:tc>
          <w:tcPr>
            <w:tcW w:w="4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8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50"/>
        </w:trPr>
        <w:tc>
          <w:tcPr>
            <w:tcW w:w="48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4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$ 12,527</w:t>
            </w:r>
          </w:p>
        </w:tc>
        <w:tc>
          <w:tcPr>
            <w:tcW w:w="3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$ 15,407</w:t>
            </w:r>
          </w:p>
        </w:tc>
        <w:tc>
          <w:tcPr>
            <w:tcW w:w="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(2,880)</w:t>
            </w: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r>
      <w:tr>
        <w:trPr>
          <w:trHeight w:val="27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47,073</w:t>
            </w:r>
          </w:p>
        </w:tc>
        <w:tc>
          <w:tcPr>
            <w:tcW w:w="3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82,624</w:t>
            </w:r>
          </w:p>
        </w:tc>
        <w:tc>
          <w:tcPr>
            <w:tcW w:w="60" w:type="dxa"/>
            <w:vAlign w:val="bottom"/>
          </w:tcPr>
          <w:p>
            <w:pPr>
              <w:spacing w:after="0"/>
              <w:rPr>
                <w:sz w:val="23"/>
                <w:szCs w:val="23"/>
                <w:color w:val="auto"/>
              </w:rPr>
            </w:pP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(35,551)</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r>
      <w:tr>
        <w:trPr>
          <w:trHeight w:val="54"/>
        </w:trPr>
        <w:tc>
          <w:tcPr>
            <w:tcW w:w="48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04"/>
        </w:trPr>
        <w:tc>
          <w:tcPr>
            <w:tcW w:w="4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36,001</w:t>
            </w:r>
          </w:p>
        </w:tc>
        <w:tc>
          <w:tcPr>
            <w:tcW w:w="3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50,520</w:t>
            </w:r>
          </w:p>
        </w:tc>
        <w:tc>
          <w:tcPr>
            <w:tcW w:w="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(14,519)</w:t>
            </w: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27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74,313</w:t>
            </w:r>
          </w:p>
        </w:tc>
        <w:tc>
          <w:tcPr>
            <w:tcW w:w="3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120,787</w:t>
            </w:r>
          </w:p>
        </w:tc>
        <w:tc>
          <w:tcPr>
            <w:tcW w:w="60" w:type="dxa"/>
            <w:vAlign w:val="bottom"/>
          </w:tcPr>
          <w:p>
            <w:pPr>
              <w:spacing w:after="0"/>
              <w:rPr>
                <w:sz w:val="23"/>
                <w:szCs w:val="23"/>
                <w:color w:val="auto"/>
              </w:rPr>
            </w:pP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(46,474)</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r>
        <w:trPr>
          <w:trHeight w:val="54"/>
        </w:trPr>
        <w:tc>
          <w:tcPr>
            <w:tcW w:w="48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04"/>
        </w:trPr>
        <w:tc>
          <w:tcPr>
            <w:tcW w:w="4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3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11,498</w:t>
            </w:r>
          </w:p>
        </w:tc>
        <w:tc>
          <w:tcPr>
            <w:tcW w:w="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3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 charges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380" w:type="dxa"/>
            <w:vAlign w:val="bottom"/>
          </w:tcPr>
          <w:p>
            <w:pPr>
              <w:spacing w:after="0"/>
              <w:rPr>
                <w:sz w:val="22"/>
                <w:szCs w:val="22"/>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4,317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20,086</w:t>
            </w:r>
          </w:p>
        </w:tc>
        <w:tc>
          <w:tcPr>
            <w:tcW w:w="320" w:type="dxa"/>
            <w:vAlign w:val="bottom"/>
          </w:tcPr>
          <w:p>
            <w:pPr>
              <w:spacing w:after="0"/>
              <w:rPr>
                <w:sz w:val="22"/>
                <w:szCs w:val="22"/>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5"/>
              </w:rPr>
              <w:t>465%</w:t>
            </w:r>
          </w:p>
        </w:tc>
      </w:tr>
      <w:tr>
        <w:trPr>
          <w:trHeight w:val="61"/>
        </w:trPr>
        <w:tc>
          <w:tcPr>
            <w:tcW w:w="48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r>
      <w:tr>
        <w:trPr>
          <w:trHeight w:val="270"/>
        </w:trPr>
        <w:tc>
          <w:tcPr>
            <w:tcW w:w="4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100" w:type="dxa"/>
            <w:vAlign w:val="bottom"/>
            <w:gridSpan w:val="3"/>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206,450</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285,153</w:t>
            </w:r>
          </w:p>
        </w:tc>
        <w:tc>
          <w:tcPr>
            <w:tcW w:w="12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(78,703)</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48"/>
        </w:trPr>
        <w:tc>
          <w:tcPr>
            <w:tcW w:w="48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5054600</wp:posOffset>
            </wp:positionH>
            <wp:positionV relativeFrom="paragraph">
              <wp:posOffset>-1653540</wp:posOffset>
            </wp:positionV>
            <wp:extent cx="17145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-1653540</wp:posOffset>
            </wp:positionV>
            <wp:extent cx="17145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-1653540</wp:posOffset>
            </wp:positionV>
            <wp:extent cx="17145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decrease in cost of revenues in 2023 compared with 2022 was primarily related to a decrease of $3.7 million in cost of revenues associated with outside services expense for WM CRM, WM Screens and WM AdSuite which were sunset in December 2023, partially offset by an increase of $0.9 million for server costs.</w:t>
      </w: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decrease in sales and marketing expenses was primarily related to a decrease in personnel-related costs of $27.0 million, a decrease in outside service of $5.7 million, a decrease in web advertising expense of $2.3 million, a decrease in travel expense of $0.4 million, a decrease in print and products expense of $0.4 million and a decrease in events expense of $0.4 million, partially offset by an increase in branding and advertising expense of $0.4 million. The decrease in personnel-related costs of $27.0 million were primarily due to decreased headcount of approximately 26% in 2023 compared to prior year and includes decrease in salaries and wages of $12.1 million, bonus expense of $5.5 million, stock-based compensation expense of $3.7 million and payroll tax expense of $0.7 million and a decrease in transaction related bonuses of $4.9 million.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0" w:name="page71"/>
    <w:bookmarkEnd w:id="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Product Development Expenses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decrease in product development expenses was primarily due to decreases in personnel-related costs of $11.7 million, outside services expense of $2.6 million and travel expense of $0.1 million. The decrease in personnel-related costs was primarily due to a decline in headcount of approximately 13% in 2023 compared to prior year and includes decreases in salaries and wages of $6.4 million, bonus expense of $3.8 million, stock-based compensation expense of $1.1 million and payroll tax expense of $0.4 million.</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decrease in general and administrative expenses was primarily due to decreases in provision for credit losses of $15.7 million, severance expense of $5.8 million, stock-based compensation expense of $5.3 million, salaries and wages of $5.2 million, insurance costs of $5.1 million, professional fees of $3.1 million, software expense of $1.9 million, employee benefits expense of $1.9 million, facilities expense of $0.6 million, bonus expense of $0.6 million, outside service expense of $0.6 million, donation expense of $0.5 million and payroll tax expense of $0.5 million. The decrease in compensation expense were due to decreased headcount of approximately 28% in 2023 compared to the prior year.</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increase in depreciation and amortization expense was primarily due to an increase in capitalized software amortization of $2.2 million, partially offset by a decrease in depreciation expense related to other assets of $1.6 million.</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Asset Impairment Charges</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increase in asset impairment charges was primarily due to $10.9 million in impairment of operating lease ROU asset and $1.3 million in impairment of leasehold improvement associated with our second headquarter space in Los Angeles, California, $8.7 million in impairment of intangible assets, capitalized software and property and equipment associated with the sunset of certain product offerings in December 2023 and $3.5 million related to the impairment of an equity investment. See Note 2, “Summary of Significant Accounting Policies” and Note 4, “Leases,” to our audited consolidated financial statements included in this prospectus for additional information.</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76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0" w:type="dxa"/>
            <w:vAlign w:val="bottom"/>
          </w:tcPr>
          <w:p>
            <w:pPr>
              <w:spacing w:after="0"/>
              <w:rPr>
                <w:sz w:val="16"/>
                <w:szCs w:val="16"/>
                <w:color w:val="auto"/>
              </w:rPr>
            </w:pPr>
          </w:p>
        </w:tc>
        <w:tc>
          <w:tcPr>
            <w:tcW w:w="152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50"/>
        </w:trPr>
        <w:tc>
          <w:tcPr>
            <w:tcW w:w="494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7"/>
        </w:trPr>
        <w:tc>
          <w:tcPr>
            <w:tcW w:w="4940" w:type="dxa"/>
            <w:vAlign w:val="bottom"/>
          </w:tcPr>
          <w:p>
            <w:pPr>
              <w:spacing w:after="0"/>
              <w:rPr>
                <w:sz w:val="19"/>
                <w:szCs w:val="19"/>
                <w:color w:val="auto"/>
              </w:rPr>
            </w:pPr>
          </w:p>
        </w:tc>
        <w:tc>
          <w:tcPr>
            <w:tcW w:w="6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9"/>
                <w:szCs w:val="19"/>
                <w:color w:val="auto"/>
              </w:rPr>
            </w:pPr>
          </w:p>
        </w:tc>
        <w:tc>
          <w:tcPr>
            <w:tcW w:w="6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9"/>
                <w:szCs w:val="19"/>
                <w:color w:val="auto"/>
              </w:rPr>
            </w:pPr>
          </w:p>
        </w:tc>
        <w:tc>
          <w:tcPr>
            <w:tcW w:w="9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9"/>
                <w:szCs w:val="19"/>
                <w:color w:val="auto"/>
              </w:rPr>
            </w:pPr>
          </w:p>
        </w:tc>
        <w:tc>
          <w:tcPr>
            <w:tcW w:w="5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50"/>
        </w:trPr>
        <w:tc>
          <w:tcPr>
            <w:tcW w:w="494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gridSpan w:val="2"/>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7"/>
        </w:trPr>
        <w:tc>
          <w:tcPr>
            <w:tcW w:w="4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50"/>
        </w:trPr>
        <w:tc>
          <w:tcPr>
            <w:tcW w:w="49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$ 1,505</w:t>
            </w:r>
          </w:p>
        </w:tc>
        <w:tc>
          <w:tcPr>
            <w:tcW w:w="3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$ 25,370</w:t>
            </w:r>
          </w:p>
        </w:tc>
        <w:tc>
          <w:tcPr>
            <w:tcW w:w="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(23,865)</w:t>
            </w:r>
          </w:p>
        </w:tc>
        <w:tc>
          <w:tcPr>
            <w:tcW w:w="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r>
      <w:tr>
        <w:trPr>
          <w:trHeight w:val="27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0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(1,256)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142,352</w:t>
            </w:r>
          </w:p>
        </w:tc>
        <w:tc>
          <w:tcPr>
            <w:tcW w:w="80" w:type="dxa"/>
            <w:vAlign w:val="bottom"/>
          </w:tcPr>
          <w:p>
            <w:pPr>
              <w:spacing w:after="0"/>
              <w:rPr>
                <w:sz w:val="23"/>
                <w:szCs w:val="23"/>
                <w:color w:val="auto"/>
              </w:rPr>
            </w:pP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(143,608)</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w:t>
            </w:r>
          </w:p>
        </w:tc>
      </w:tr>
      <w:tr>
        <w:trPr>
          <w:trHeight w:val="54"/>
        </w:trPr>
        <w:tc>
          <w:tcPr>
            <w:tcW w:w="49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57"/>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2,574</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26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(254)%</w:t>
            </w:r>
          </w:p>
        </w:tc>
      </w:tr>
      <w:tr>
        <w:trPr>
          <w:trHeight w:val="61"/>
        </w:trPr>
        <w:tc>
          <w:tcPr>
            <w:tcW w:w="49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r>
      <w:tr>
        <w:trPr>
          <w:trHeight w:val="270"/>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$ 2,823</w:t>
            </w:r>
          </w:p>
        </w:tc>
        <w:tc>
          <w:tcPr>
            <w:tcW w:w="360" w:type="dxa"/>
            <w:vAlign w:val="bottom"/>
          </w:tcPr>
          <w:p>
            <w:pPr>
              <w:spacing w:after="0"/>
              <w:rPr>
                <w:sz w:val="23"/>
                <w:szCs w:val="23"/>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166,048</w:t>
            </w: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(163,225)</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r>
      <w:tr>
        <w:trPr>
          <w:trHeight w:val="20"/>
        </w:trPr>
        <w:tc>
          <w:tcPr>
            <w:tcW w:w="4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5071745</wp:posOffset>
            </wp:positionH>
            <wp:positionV relativeFrom="paragraph">
              <wp:posOffset>-1002030</wp:posOffset>
            </wp:positionV>
            <wp:extent cx="1200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-1002030</wp:posOffset>
            </wp:positionV>
            <wp:extent cx="1200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-1002030</wp:posOffset>
            </wp:positionV>
            <wp:extent cx="1200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2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Other income (expense), net decreased by $163.2 million for the year ended December 31, 2023 compared to the same period in 2022. The decrease was primarily due to changes in TRA liability of $143.6 million and comparatively favorable changes in fair value of warrant liability of $23.9 million partially offset by an increase of $4.2 million related to a non-cash gain of $3.7 million associated with the discharge of a holdback obligation related to a prior acquisition and a decrease in political contribution expense of $0.5 million.</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Pr>
          <w:p>
            <w:pPr>
              <w:spacing w:after="0"/>
              <w:rPr>
                <w:sz w:val="16"/>
                <w:szCs w:val="16"/>
                <w:color w:val="auto"/>
              </w:rPr>
            </w:pPr>
          </w:p>
        </w:tc>
        <w:tc>
          <w:tcPr>
            <w:tcW w:w="148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51"/>
        </w:trPr>
        <w:tc>
          <w:tcPr>
            <w:tcW w:w="51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226"/>
        </w:trPr>
        <w:tc>
          <w:tcPr>
            <w:tcW w:w="5100" w:type="dxa"/>
            <w:vAlign w:val="bottom"/>
          </w:tcPr>
          <w:p>
            <w:pPr>
              <w:spacing w:after="0"/>
              <w:rPr>
                <w:sz w:val="19"/>
                <w:szCs w:val="19"/>
                <w:color w:val="auto"/>
              </w:rPr>
            </w:pPr>
          </w:p>
        </w:tc>
        <w:tc>
          <w:tcPr>
            <w:tcW w:w="68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50"/>
        </w:trPr>
        <w:tc>
          <w:tcPr>
            <w:tcW w:w="51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226"/>
        </w:trPr>
        <w:tc>
          <w:tcPr>
            <w:tcW w:w="5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2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20" w:type="dxa"/>
            <w:vAlign w:val="bottom"/>
          </w:tcPr>
          <w:p>
            <w:pPr>
              <w:spacing w:after="0"/>
              <w:rPr>
                <w:sz w:val="19"/>
                <w:szCs w:val="19"/>
                <w:color w:val="auto"/>
              </w:rPr>
            </w:pPr>
          </w:p>
        </w:tc>
      </w:tr>
      <w:tr>
        <w:trPr>
          <w:trHeight w:val="51"/>
        </w:trPr>
        <w:tc>
          <w:tcPr>
            <w:tcW w:w="5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83"/>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68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$93</w:t>
            </w:r>
          </w:p>
        </w:tc>
        <w:tc>
          <w:tcPr>
            <w:tcW w:w="10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$179,077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$(178,984)</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54"/>
        </w:trPr>
        <w:tc>
          <w:tcPr>
            <w:tcW w:w="51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5106035</wp:posOffset>
            </wp:positionH>
            <wp:positionV relativeFrom="paragraph">
              <wp:posOffset>-401955</wp:posOffset>
            </wp:positionV>
            <wp:extent cx="857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-401955</wp:posOffset>
            </wp:positionV>
            <wp:extent cx="857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-401955</wp:posOffset>
            </wp:positionV>
            <wp:extent cx="857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Provision for income taxes decreased by $179.0 million for the year ended December 31, 2023 compared to the same period in 2022. The decrease was primarily due to a full valuation allowance that was recorded against our deferred tax assets during the year ended December 31, 2022. See Note 16, “Income Taxes,” to our audited consolidated financial statements included in this prospectus.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1" w:name="page72"/>
    <w:bookmarkEnd w:id="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tables show our cash, accounts receivable and working capital as of the dates indicated:</w:t>
      </w: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840" w:type="dxa"/>
            <w:vAlign w:val="bottom"/>
          </w:tcPr>
          <w:p>
            <w:pPr>
              <w:spacing w:after="0"/>
              <w:rPr>
                <w:sz w:val="16"/>
                <w:szCs w:val="16"/>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51"/>
        </w:trPr>
        <w:tc>
          <w:tcPr>
            <w:tcW w:w="684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27"/>
        </w:trPr>
        <w:tc>
          <w:tcPr>
            <w:tcW w:w="6840" w:type="dxa"/>
            <w:vAlign w:val="bottom"/>
          </w:tcPr>
          <w:p>
            <w:pPr>
              <w:spacing w:after="0"/>
              <w:rPr>
                <w:sz w:val="19"/>
                <w:szCs w:val="19"/>
                <w:color w:val="auto"/>
              </w:rPr>
            </w:pPr>
          </w:p>
        </w:tc>
        <w:tc>
          <w:tcPr>
            <w:tcW w:w="78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50"/>
        </w:trPr>
        <w:tc>
          <w:tcPr>
            <w:tcW w:w="6840" w:type="dxa"/>
            <w:vAlign w:val="bottom"/>
          </w:tcPr>
          <w:p>
            <w:pPr>
              <w:spacing w:after="0"/>
              <w:rPr>
                <w:sz w:val="4"/>
                <w:szCs w:val="4"/>
                <w:color w:val="auto"/>
              </w:rPr>
            </w:pPr>
          </w:p>
        </w:tc>
        <w:tc>
          <w:tcPr>
            <w:tcW w:w="1580" w:type="dxa"/>
            <w:vAlign w:val="bottom"/>
            <w:tcBorders>
              <w:bottom w:val="single" w:sz="8" w:color="auto"/>
            </w:tcBorders>
            <w:gridSpan w:val="2"/>
          </w:tcPr>
          <w:p>
            <w:pPr>
              <w:spacing w:after="0"/>
              <w:rPr>
                <w:sz w:val="4"/>
                <w:szCs w:val="4"/>
                <w:color w:val="auto"/>
              </w:rPr>
            </w:pPr>
          </w:p>
        </w:tc>
      </w:tr>
      <w:tr>
        <w:trPr>
          <w:trHeight w:val="227"/>
        </w:trPr>
        <w:tc>
          <w:tcPr>
            <w:tcW w:w="6840" w:type="dxa"/>
            <w:vAlign w:val="bottom"/>
          </w:tcPr>
          <w:p>
            <w:pPr>
              <w:spacing w:after="0"/>
              <w:rPr>
                <w:sz w:val="19"/>
                <w:szCs w:val="19"/>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50"/>
        </w:trPr>
        <w:tc>
          <w:tcPr>
            <w:tcW w:w="6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318"/>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780" w:type="dxa"/>
            <w:vAlign w:val="bottom"/>
            <w:tcBorders>
              <w:bottom w:val="single" w:sz="8" w:color="CCEEFF"/>
            </w:tcBorders>
            <w:shd w:val="clear" w:color="auto" w:fill="CCEEFF"/>
          </w:tcPr>
          <w:p>
            <w:pPr>
              <w:jc w:val="center"/>
              <w:ind w:right="79"/>
              <w:spacing w:after="0"/>
              <w:rPr>
                <w:sz w:val="20"/>
                <w:szCs w:val="20"/>
                <w:color w:val="auto"/>
              </w:rPr>
            </w:pPr>
            <w:r>
              <w:rPr>
                <w:rFonts w:ascii="Times New Roman" w:cs="Times New Roman" w:eastAsia="Times New Roman" w:hAnsi="Times New Roman"/>
                <w:sz w:val="18"/>
                <w:szCs w:val="18"/>
                <w:color w:val="auto"/>
                <w:w w:val="99"/>
              </w:rPr>
              <w:t>$34,350</w:t>
            </w:r>
          </w:p>
        </w:tc>
        <w:tc>
          <w:tcPr>
            <w:tcW w:w="8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9"/>
              </w:rPr>
              <w:t>$28,583</w:t>
            </w:r>
          </w:p>
        </w:tc>
      </w:tr>
      <w:tr>
        <w:trPr>
          <w:trHeight w:val="27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780" w:type="dxa"/>
            <w:vAlign w:val="bottom"/>
          </w:tcPr>
          <w:p>
            <w:pPr>
              <w:jc w:val="center"/>
              <w:ind w:right="99"/>
              <w:spacing w:after="0"/>
              <w:rPr>
                <w:sz w:val="20"/>
                <w:szCs w:val="20"/>
                <w:color w:val="auto"/>
              </w:rPr>
            </w:pPr>
            <w:r>
              <w:rPr>
                <w:rFonts w:ascii="Times New Roman" w:cs="Times New Roman" w:eastAsia="Times New Roman" w:hAnsi="Times New Roman"/>
                <w:sz w:val="18"/>
                <w:szCs w:val="18"/>
                <w:color w:val="auto"/>
                <w:w w:val="95"/>
              </w:rPr>
              <w:t>$11,158</w:t>
            </w: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$17,438</w:t>
            </w:r>
          </w:p>
        </w:tc>
      </w:tr>
      <w:tr>
        <w:trPr>
          <w:trHeight w:val="54"/>
        </w:trPr>
        <w:tc>
          <w:tcPr>
            <w:tcW w:w="6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70"/>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780" w:type="dxa"/>
            <w:vAlign w:val="bottom"/>
            <w:shd w:val="clear" w:color="auto" w:fill="CCEEFF"/>
          </w:tcPr>
          <w:p>
            <w:pPr>
              <w:jc w:val="center"/>
              <w:ind w:right="79"/>
              <w:spacing w:after="0"/>
              <w:rPr>
                <w:sz w:val="20"/>
                <w:szCs w:val="20"/>
                <w:color w:val="auto"/>
              </w:rPr>
            </w:pPr>
            <w:r>
              <w:rPr>
                <w:rFonts w:ascii="Times New Roman" w:cs="Times New Roman" w:eastAsia="Times New Roman" w:hAnsi="Times New Roman"/>
                <w:sz w:val="18"/>
                <w:szCs w:val="18"/>
                <w:color w:val="auto"/>
                <w:w w:val="99"/>
              </w:rPr>
              <w:t>$17,771</w:t>
            </w:r>
          </w:p>
        </w:tc>
        <w:tc>
          <w:tcPr>
            <w:tcW w:w="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$ 8,660</w:t>
            </w:r>
          </w:p>
        </w:tc>
      </w:tr>
      <w:tr>
        <w:trPr>
          <w:trHeight w:val="54"/>
        </w:trPr>
        <w:tc>
          <w:tcPr>
            <w:tcW w:w="684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4917440</wp:posOffset>
            </wp:positionH>
            <wp:positionV relativeFrom="paragraph">
              <wp:posOffset>-814070</wp:posOffset>
            </wp:positionV>
            <wp:extent cx="24003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40030"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As of December 31, 2023 and December 31, 2022, we had cash of $34.4 million and $28.6 million, respectively. Our funds are being used for funding our current operations and potential strategic acquisitions in the future. We also intend to increase our capital expenditures to support the organic growth in our business and operations. We expect to fund our liquidity requirements from cash and working capital on hand at December 31, 2023, as well as from cash provided by operating activities. We believe that our existing cash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We may not be able to secure additional financing to meet our operating requirements on acceptable terms, or at all.</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3"/>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0"/>
        </w:trPr>
        <w:tc>
          <w:tcPr>
            <w:tcW w:w="58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27"/>
        </w:trPr>
        <w:tc>
          <w:tcPr>
            <w:tcW w:w="5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78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50"/>
        </w:trPr>
        <w:tc>
          <w:tcPr>
            <w:tcW w:w="58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27"/>
        </w:trPr>
        <w:tc>
          <w:tcPr>
            <w:tcW w:w="5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9"/>
                <w:szCs w:val="19"/>
                <w:color w:val="auto"/>
              </w:rPr>
            </w:pPr>
          </w:p>
        </w:tc>
      </w:tr>
      <w:tr>
        <w:trPr>
          <w:trHeight w:val="50"/>
        </w:trPr>
        <w:tc>
          <w:tcPr>
            <w:tcW w:w="5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318"/>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22,928</w:t>
            </w:r>
          </w:p>
        </w:tc>
        <w:tc>
          <w:tcPr>
            <w:tcW w:w="1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$(11,621)</w:t>
            </w:r>
          </w:p>
        </w:tc>
        <w:tc>
          <w:tcPr>
            <w:tcW w:w="7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$ 30,190</w:t>
            </w:r>
          </w:p>
        </w:tc>
      </w:tr>
      <w:tr>
        <w:trPr>
          <w:trHeight w:val="27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$(11,871)</w:t>
            </w:r>
          </w:p>
        </w:tc>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$(17,768)</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$(30,435)</w:t>
            </w:r>
          </w:p>
        </w:tc>
      </w:tr>
      <w:tr>
        <w:trPr>
          <w:trHeight w:val="54"/>
        </w:trPr>
        <w:tc>
          <w:tcPr>
            <w:tcW w:w="5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7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1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(9,805)</w:t>
            </w:r>
          </w:p>
        </w:tc>
        <w:tc>
          <w:tcPr>
            <w:tcW w:w="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$ 48,103</w:t>
            </w:r>
          </w:p>
        </w:tc>
      </w:tr>
      <w:tr>
        <w:trPr>
          <w:trHeight w:val="54"/>
        </w:trPr>
        <w:tc>
          <w:tcPr>
            <w:tcW w:w="58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-813435</wp:posOffset>
            </wp:positionV>
            <wp:extent cx="1371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-813435</wp:posOffset>
            </wp:positionV>
            <wp:extent cx="1371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Net Cash Provided by (Used In) Operating Activities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Cash from operating activities consists primarily of net income (loss) adjusted for certain non-cash items, including depreciation, amortization and asset impairments, change in fair value of warrant liability, change in TRA liability, stock-based compensation, deferred taxes, impairment loss, provision for doubtful accounts and the effect of changes in working capital.</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is also impacted by the effects of changes in operating assets and liabilities such as: accounts receivable which is impacted by the timing of customer billings and related collections from our customers; accounts payable and accrued expenses due to timing of payments; accrued personnel costs which are impacted by employee performance targets and the timing of payments related to employee bonus incentives.</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2023 was $22.9 million, which resulted from net loss of $15.7 million, non-cash items of $52.8 million, consisting of asset impairment charges of $24.4 million, stock-based compensation expense of $13.5 million, depreciation and amortization of $12.1 million, amortization of right of use lease assets of $4.9 million, provision for credit losses of $1.8 million, TRA remeasurement of $1.3 million, partially offset by a gain from the discharge of a holdback obligation related to a prior acquisition of $3.7 million, and the change in fair value of warrant liability of $1.5 million. The increase in net cash provided by operating activities was also impacted by net cash outflows of $14.2 million from changes in operating assets and liabilities. The net cash outflows from changes in operating assets and liabilities were primarily due to a decrease in accounts payable and accrued expenses of $15.3 million, a decrease in operating lease liabilities of $6.3 million and a decrease in deferred revenue of $0.3 million, partially offset by a decrease in accounts receivable of $4.5 million and a decrease in prepaid expenses and other assets of $3.3 million. The changes in operating assets and liabilities are mostly due to fluctuations in timing of cash receipts and payments.</w:t>
      </w:r>
    </w:p>
    <w:p>
      <w:pPr>
        <w:spacing w:after="0" w:line="8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2022 was $11.6 million, which resulted from net loss of $82.7 million, together with net cash outflows of $1.5 million from changes in operating assets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2" w:name="page73"/>
    <w:bookmarkEnd w:id="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liabilities and non-cash items of $72.5 million, consisting of depreciation and amortization of $11.5 million, fair value of warrant liability of $25.4 million, asset impairment charges of $4.3 million, stock-based compensation expense of $23.5 million, TRA remeasurement of $142.4 million, amortization of right of use lease assets of $4.7 million, changes in deferred tax assets of $179.1 million and provision for doubtful accounts of $17.2 million. The net cash outflows from changes in operating assets and liabilities were primarily due to an increase in accounts receivables of $16.3 million, a decrease in deferred revenue of $1.9 million, a decrease in operating lease liabilities of $5.5 million, partially offset by a decrease in prepaid expenses and other current assets of $7.2 million and an increase in accounts payable and accrued expenses of $14.9 million. The changes in operating assets and liabilities are mostly due to fluctuations in timing of cash receipts and payments.</w:t>
      </w:r>
    </w:p>
    <w:p>
      <w:pPr>
        <w:spacing w:after="0" w:line="2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1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2023 was $11.9 million, which resulted from $11.9 million cash paid for purchases of property and equipment, including certain capitalized software development cost.</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2022 was $17.8 million, which resulted from $16.1 million cash paid for purchases of property and equipment, including certain capitalized software development cost, $1.0 million cash paid for other investments and $0.7 million net cash paid for acquisitions.</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Net Cash Provided by (Used in) Financing Activities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2023 was $5.3 million, which resulted from $7.2 million of distribution payments to members of WMH LLC, $1.5 million for repayment of insurance premium financing and $0.4 million in proceeds from collection of related party note receivable.</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Net cash from financing activities for the year ended December 31, 2022 was $9.8 million, which resulted from $7.3 million for repayment of insurance premium financing and $2.4 million of distribution payments to members of WMH LLC.</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ind w:left="300" w:right="319"/>
        <w:spacing w:after="0" w:line="255" w:lineRule="auto"/>
        <w:rPr>
          <w:sz w:val="20"/>
          <w:szCs w:val="20"/>
          <w:color w:val="auto"/>
        </w:rPr>
      </w:pPr>
      <w:r>
        <w:rPr>
          <w:rFonts w:ascii="Times New Roman" w:cs="Times New Roman" w:eastAsia="Times New Roman" w:hAnsi="Times New Roman"/>
          <w:sz w:val="18"/>
          <w:szCs w:val="18"/>
          <w:color w:val="auto"/>
        </w:rPr>
        <w:t>We primarily finance our operations and capital expenditures through cash flows generated by operations. To the extent existing cash and investments and cash from operations are not sufficient to fund future activities, we may need to raise additional funds. We may seek to raise additional funds through equity, equity-linked or debt financings. If we raise additional funds through the incurrence of indebtedness, such indebtedness may have rights that are senior to holders of our equity securities and could contain covenants that restrict operations. Any additional equity financing may be dilutive to stockholders. We may enter into investment or acquisition transactions in the future, which could require us to seek additional equity financing, incur indebtedness, or use cash resources.</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have non-cancellable contractual agreements primarily related to leases and other purchase obligations. As of December 31, 2023, future payments on our operating leases were $45.0 million. See Note 4, “Leases,” to our audited consolidated financial statements included in this prospectus. We also have minimum outstanding purchase obligations of $7.1 million in 2024, $7.3 million in 2025 and $7.5 million in 2026, due under software license agreements, of which the majority relates to our three-year AWS Enterprise agreement.</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 of December 31, 2023 and 2022, our TRA liability was $1.8 million and $0.5 million, respectively. We expect that the payments we will be required to make under the TRA will not be substantial, and therefore, in conjunction with the recording of a full valuation allowance on the related TRA deferred tax assets, we have also adjusted the TRA liabilities as of December 31, 2023.</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will continue to evaluate the realization of the TRA tax attributes, and in the future, we may conclude that the TRA liability is probable of payment, and if the TRA is reinstated, the payments would be substantial. Assuming a reinstatement of the TRA liability, there are several assumptions that would be relevant such as, no material changes in relevant tax law, that there are no future redemptions or exchanges of Class A Units and that we earn sufficient taxable income to realize all tax benefits that are subject to the TRA, the tax savings associated with acquisitions of common units in the Business Combination would aggregate to approximately $166.3 million, as of December 31, 2023, over 15 years from Closing Date. Under this scenario, we would be required to pay to the Class A Unit holders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3" w:name="page74"/>
    <w:bookmarkEnd w:id="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approximately 85% of such amount, or $141.3 million, as of December 31, 2023, over the 15-year period from the Closing Date. The actual amounts we will be required to pay may materially differ from these hypothetical amounts, because potential future tax savings that we will be deemed to realize, and the TRA payments made by us, will be calculated based in part on the market value of the Class A Common Stock at the time of each redemption or exchange under the Exchange Agreement and the prevailing applicable tax rates applicable to us over the life of the TRA and will depend on us generating sufficient taxable income to realize the tax benefits that are subject to the TRA. Payments under the TRA are not conditioned on the Class A Unit holders’ continued ownership of us. See Note 16, “Income Taxes,” to our audited consolidated financial statements included in this prospectus.</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condensed consolidated financial statements and our consolidated financial statements are prepared in accordance with GAAP. The preparation of these condensed consolidated financial statements and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believe that the assumptions and estimates associated with revenue recognition, income taxes, stock-based compensation, capitalized software development costs, provision for doubtful accounts, goodwill and intangible assets and fair value measurements to have the greatest potential impact on our consolidated financial statements. Therefore, we consider these to be our critical accounting policies and estimates. For further information on all of our significant accounting policies, see Note 2, “Summary of Significant Accounting Policies,” to our audited consolidated financial statements included in this prospectus.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recognize revenue when the fundamental criteria for revenue recognition are met. We recognize revenue by applying the following five steps: the contract with the customer is identified; the performance obligations in the contract are identified; the transaction price is determined; the transaction price is allocated to the performance obligations in the contract; and revenue is recognized when (or as) we satisfy these performance obligations in an amount that reflects the consideration it expects to be entitled to in exchange for those services. We exclude sales taxes and other similar taxes from the measurement of the transaction price. The transaction price reflects the amount we expect to receive for such goods, net of discounts. Discounts issued are primarily related to our Together for Equity Access and Legislation, (“WM Teal”), program, through which we provide discounts including free software, advertising, educational materials and training programs to applicants or licenses under social equity licensing programs. We provide a discount to license holders who were awarded special status by the state based on owner qualifications. These are typically given in new markets to add more diversity and inclusion in the cannabis space. We validate a license’s social equity status on the applicable state’s website. For the years ended December 31, 2023, 2022 and 2021, total discounts issued were $4.2 million, $4.5 million and $2.6 million, respectively. For clients that pay in advance for listing and other services, we record deferred revenue and recognize revenue over the applicable subscription term.</w:t>
      </w:r>
    </w:p>
    <w:p>
      <w:pPr>
        <w:spacing w:after="0" w:line="88"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Our revenues are derived primarily from monthly subscriptions to Weedmaps for Business, featured and deal listings and other WM Ad solutions. Our Weedmaps for Business subscriptions generally have one-month terms that automatically renew unless notice of cancellation is provided in advance. Featured and deal listings and other WM Ad solutions are offered as add-on products to the Weedmaps for Business subscriptions. Featured and deal listings provide customers with premium placement ad solutions and discount and promotion pricing tools. Other WM Ad solutions include banner ads and promotion tiles on our marketplace ad as well as other advertising products on and off the Weedmaps marketplace. We have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products are provided. We rarely need to allocate the transaction price to separate performance obligations. In the rare case that allocation of the transaction price is needed, We recognize revenue in proportion to the standalone selling prices of the underlying services at contract inception. The determination of the performance obligations and the timing of satisfaction of such obligations either over time or at a point-in-time requires us to make significant judgment and estimates.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4" w:name="page75"/>
    <w:bookmarkEnd w:id="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When a customer is identified to be a significant collection risk, the Company fully reserves for all outstanding accounts receivable and records a credit loss for these receivables. Revenue for any new service provided to the customer is not probable of collection until the Company has collected or reached a settlement on the customers old outstanding accounts receivable balances. The Company applies all payments received against the customers oldest invoices and does not recognize revenue for any new services provided until the company has collected or reached a settlement on all prior outstanding accounts receivable.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See “Restatement of Previously Reported 2023 Quarterly Revenue and Credit Losses” of Note 2, “Summary of Significant Accounting Policies and Note 3, “Revenue from Contracts with Customers,” to our unaudited condensed consolidated financial statements included in this prospectus for further discussion.</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u w:val="single" w:color="auto"/>
          <w:color w:val="auto"/>
        </w:rPr>
        <w:t>Critical Accounting Estimates</w:t>
      </w:r>
    </w:p>
    <w:p>
      <w:pPr>
        <w:spacing w:after="0" w:line="2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of January 1 to June 16, 2021 as this period was prior to the Business Combination. Any taxable income or loss generated by WMH LLC is passed through to and included in the taxable income or loss of its members, including WM Technology, Inc. following the Business Combination, on a pro rata basis. WM Technology, Inc. is subject to U.S. federal income taxes, in addition to state and local income taxes with respect to its allocable share of any taxable income of WMH LLC following the Business Combination. We are also subject to taxes in foreign jurisdictions. Tax laws and regulations are complex and periodically changing and the determination of our provision for income taxes, including our taxable income, deferred tax assets and TRA liability, requires us to make significant judgment, assumptions and estimates.</w:t>
      </w:r>
    </w:p>
    <w:p>
      <w:pPr>
        <w:spacing w:after="0" w:line="8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we entered into a TRA with continuing members that provides for a payment to the continuing members of 85% of the amount of tax benefits, if any, that WM Technology, Inc. realizes, or is deemed to realize, as a result of redemptions or exchanges of WMH Units. In connection with such potential future tax benefits resulting from the Business Combination and subsequent redemptions or exchanges of WMH Units, we have established a deferred tax asset for the additional tax basis and a corresponding TRA liability of 85% of the expected benefit. The remaining 15% is recorded within paid-in capital. Our calculation of the TRA asset and liability requires estimates of its future qualified taxable income over the term of the TRA as a basis to determine if the related tax benefits are expected to be realized. As of December 31, 2023 and 2022, TRA liability were $1.8 million and $0.5 million.</w:t>
      </w:r>
    </w:p>
    <w:p>
      <w:pPr>
        <w:spacing w:after="0" w:line="80"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Based on the weight of all available evidence, both positive and negative, we determined during the three months ended December 31, 2022 that a full valuation allowance was required against our net deferred tax assets. We continued the remeasurement of the valuation allowance during the year ended December 31, 2023 and determined that a full valuation allowance was required as of December 31, 2023. See Note 16, “Income Taxes,” to our audited consolidated financial statements included in this prospectus.</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measure fair value of employee stock-based compensation awards on the date of grant and allocate the related expense over the requisite service period. The fair value of restricted stock units (“RSUs”) and performance-based restricted stock units (“PRSUs”) is equal to the market price of our Class A common stock on the date of grant. The fair value of the Class P Units is measured using the Black-Scholes-Merton valuation model. When awards include a performance condition that impacts the vesting of the award, we record compensation cost when it becomes probable that the performance condition will be met. The level of achievement of such goals in the performance-based restricted stock awards may cause the actual number of units that ultimately vest to range from 0% to 200% of the original units granted. Forfeitures of stock-based awards are recognized as they occur. For the years ended December 31, 2023 and 2022, we recognized stock-based compensation expense of $13.5 million and $23.5 million, respectively. See Note 14, “Stock-based Compensation,” to our audited consolidated financial statements included in this prospectus.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5" w:name="page76"/>
    <w:bookmarkEnd w:id="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 Development Costs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capitalize certain costs related to the development and enhancement of the Weedmaps platform and SaaS solutions. In accordance with authoritative guidance, we capitalize these costs when the preliminary development project stage is completed, management has authorized further funding for the completion of the project, and it is probable that the project will be completed and performed as intended. Such costs are amortized when placed in service, on a straight-line basis over the estimated useful life of the related asset, generally estimated to be three years. Costs incurred prior to meeting these criteria together with costs incurred for training and maintenance are expensed as incurred and recorded in product development expenses on our consolidated statements of operations. Costs incurred for enhancements that were expected to result in additional features or functionality are capitalized and expensed over the estimated useful life of the enhancements, generally three years. The accounting for website and internal-use software costs requires us to make significant judgment, assumptions and estimates related to the timing and amount of recognized capitalized software development costs. For the years ended December 31, 2023 and 2022, we capitalized $13.1 million and $15.5 million of costs related to the development of software applications.</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We measure credit losses on our trade accounts receivable using the current expected credit loss model under Accounting Standards Codification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which is based on the expected losses rather than incurred losses. Under the credit loss model, lifetime expected credit losses are measured and recognized at each reporting date based on historical, current and forecast information.</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calculate the expected credit losses on a pool basis for those trade receivables that have similar risk characteristics. For those trade receivables that do not share similar risk characteristics, the allowance for expected credit losses is calculated on an individual basis. Risk characteristics relevant to our accounts receivable include balance of customer account and aging status. The allowance for credit losses was $8.7 million and $12.2 million as of December 31, 2023 and December 31, 2022, respectively. See Note 2, “Summary of Significant Accounting Policies,” to our audited consolidated financial statements included in this prospectus for additional information.</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Assets and liabilities acquired from acquisitions are recorded at their estimated fair values. The excess of the purchase price over the estimated fair values of the net assets acquired, including identifiable intangible assets, is recorded as goodwill. The accounting for goodwill and intangible assets requires us to make significant judgement, estimates and assumptions. Significant estimates and assumptions in valuing acquired intangible assets and liabilities include projected cash flows attributable to the assets or liabilities, asset useful lives and discount rates.</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Goodwill is not amortized and is subject to annual impairment testing, or between annual tests if an event or change in circumstance occurs that would more likely than not reduce the fair value of a reporting unit below its carrying value. Goodwill is assessed for impairment annually on December 31. For the year ended December 31, 2023, in accordance with our annual assessment policy, we opted to bypass the qualitative assessment and performed a quantitative assessment to test goodwill for impairment. As part of our impairment assessment, the fair value of the reporting unit isestimated using a discounted cash flow valuation which incorporates assumptions regarding long-term growth rates, revenue and earnings projections, estimation of cash flows, discount rates and other factors. Changes in these inputs could materially affect the results of our impairment review. In conducting our quantitative assessment, we determined that the fair value of our goodwill substantially exceeded its carrying amount by approximately 18%, and as a result, no impairment existed as of the annual assessment date of December 31, 2023. If our forecasts of cash flows or other key inputs are negatively revised in the future, the estimated fair value of the reporting unit would be adversely impacted, potentially leading to an impairment in the future that could materially affect our operating results.</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Intangible assets deemed to have finite lives are amortized on a straight-line basis over their estimated useful lives, where the useful life is the period over which the asset is expected to contribute directly, or indirectly, to our future cash flows. Intangible assets are reviewed for impairment on an interim basis when certain events or circumstances exist. For amortizable intangible assets, impairment exists when the carrying amount of the intangible asset exceeds its fair value. At least annually, the remaining useful life is evaluated. We recorded an impairment charge of $6.1 million for the year ended December 31, 2023 related to intangible assets associated with certain product offerings that were sunset in December 2023, which is included in asset impairment charges in the consolidated statements of operations. No intangible asset impairment charges have been recorded for the years ended December 31, 2022 and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6" w:name="page77"/>
    <w:bookmarkEnd w:id="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2021. See Note 2, “Summary of Significant Accounting Policies,” and Note 9, “Goodwill and Intangible Assets,” to our audited consolidated financial statements included in this prospectus for additional information.</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Long-Lived Assets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assess potential impairments to our long-lived assets, which includes property and equipment and operating lease assets, at least annually or whenever events or circumstances indicate that the carrying amount of an asset may not be recoverable. As of December 31, 2023 and 2022, our operating leases had a weighted average remaining lease term of 6.3 years and 6.8 years and a weighted-average discount rate of 9.8%. Our lease agreements do not provide an implicit rate and as a result, we used an estimated incremental borrowing rate, which was derived from third-party information available at the time we adopted ASC 842 in determining the present value of future lease payments. The rate used is for a secured borrowing of a similar term as the right of use asset. The fair value was estimated using an income approach based on management’s forecast of future cash flows expected to be derived based on current sublease market rent.</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assess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fair values of ROU assets were estimated using an income approach based on management’s forecast of future cash flows expected to be derived based on the sublease market rent. First, we test the asset group for recoverability by 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we perform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we rely on a discounted cash flow approach using market participant assumptions of the expected cash flows.</w:t>
      </w:r>
    </w:p>
    <w:p>
      <w:pPr>
        <w:spacing w:after="0" w:line="80" w:lineRule="exact"/>
        <w:rPr>
          <w:sz w:val="20"/>
          <w:szCs w:val="20"/>
          <w:color w:val="auto"/>
        </w:rPr>
      </w:pPr>
    </w:p>
    <w:p>
      <w:pPr>
        <w:jc w:val="both"/>
        <w:ind w:left="300" w:right="319"/>
        <w:spacing w:after="0" w:line="255" w:lineRule="auto"/>
        <w:rPr>
          <w:sz w:val="20"/>
          <w:szCs w:val="20"/>
          <w:color w:val="auto"/>
        </w:rPr>
      </w:pPr>
      <w:r>
        <w:rPr>
          <w:rFonts w:ascii="Times New Roman" w:cs="Times New Roman" w:eastAsia="Times New Roman" w:hAnsi="Times New Roman"/>
          <w:sz w:val="18"/>
          <w:szCs w:val="18"/>
          <w:color w:val="auto"/>
        </w:rPr>
        <w:t>In 2023, we recognized a ROU asset impairment charge of $10.9 million driven by updated sublease assumptions for our second headquarter space in Los Angeles, California, pursuant to an operating lease that expires in 2031. In addition, we recognized ROU asset impairment charges of $0.6 million and $2.4 million during the years ended December 31, 2022 and 2021, respectively, related to certain ROU assets reducing the carrying values of the lease assets to their estimated fair values based on the discounted cash flows of estimated net rental income for the office spaces subleased. The ROU impairment charges are included in general and administrative expenses in the consolidated statements of operations.</w:t>
      </w:r>
    </w:p>
    <w:p>
      <w:pPr>
        <w:spacing w:after="0" w:line="8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assess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 For the year ended December 31, 2023, we recorded impairment charges of $3.9 million of which $2.7 million related to property and equipment associated with certain product offerings that were sunset in December 2023 and $1.3 million related to leasehold improvements associated with the impairment of a ROU asset both of which are included in asset impairment charges in the consolidated statements of operations. No impairments to property and equipment were recorded during the years ended December 31, 2022 and 2021.</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left="300" w:right="299"/>
        <w:spacing w:after="0" w:line="272" w:lineRule="auto"/>
        <w:rPr>
          <w:sz w:val="20"/>
          <w:szCs w:val="20"/>
          <w:color w:val="auto"/>
        </w:rPr>
      </w:pPr>
      <w:r>
        <w:rPr>
          <w:rFonts w:ascii="Times New Roman" w:cs="Times New Roman" w:eastAsia="Times New Roman" w:hAnsi="Times New Roman"/>
          <w:sz w:val="17"/>
          <w:szCs w:val="17"/>
          <w:color w:val="auto"/>
        </w:rPr>
        <w:t xml:space="preserve">In connection with the Business Combination, we assumed 12,499,993 Public Warrants and 7,000,000 Private Placement Warrants. As of December 31, 2023, 12,499,973 of the Public Warrant and all of the Private Placement Warrants remained outstanding. The warrants are measured at fair value under ASC 820 - </w:t>
      </w:r>
      <w:r>
        <w:rPr>
          <w:rFonts w:ascii="Times New Roman" w:cs="Times New Roman" w:eastAsia="Times New Roman" w:hAnsi="Times New Roman"/>
          <w:sz w:val="17"/>
          <w:szCs w:val="17"/>
          <w:i w:val="1"/>
          <w:iCs w:val="1"/>
          <w:color w:val="auto"/>
        </w:rPr>
        <w:t>Fair Value Measurements</w:t>
      </w:r>
      <w:r>
        <w:rPr>
          <w:rFonts w:ascii="Times New Roman" w:cs="Times New Roman" w:eastAsia="Times New Roman" w:hAnsi="Times New Roman"/>
          <w:sz w:val="17"/>
          <w:szCs w:val="17"/>
          <w:color w:val="auto"/>
        </w:rPr>
        <w:t>. The fair value of the Public Warrants is classified as Level 1 financial instruments and is based on the publicly listed trading price of our Public Warrants. The fair value of the Private Warrants is determined with Level 3 inputs using the Black-Scholes model. The fair value of the Private Placement Warrants may change significantly as additional data is obtained. In evaluating this information, considerable judgment is required to interpret the data used to develop the assumptions and estimates. The estimates of fair value may not be indicative of the amounts that could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7" w:name="page78"/>
    <w:bookmarkEnd w:id="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be realized in a current market exchange. Accordingly, the use of different market assumptions and/or different valuation techniques may have a material effect on the estimated fair value, and such changes could materially impact our results of operations in future periods. As of December 31, 2023 and December 31, 2022, warrant liability was $0.6 million and $2.1 million, respectively. See Note 6, “Fair Value Measurements,” to our audited consolidated financial statements included in this prospectus.</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currently have no material recent accounting pronouncements yet to be adopted.</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have operations both within the United States and in foreign jurisdictions, and we are exposed to market risks in the ordinary course of our business, including the effects of foreign currency fluctuations, interest rate changes and inflation. Information relating to quantitative and qualitative disclosures about these market risks is set forth below.</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years ended December 31, 2023, 2022 and 2021. For all periods presented, we believe the exposure to foreign currency fluctuation from operating expenses is immaterial as the related costs do not constitute a significant portion of our total expenses.</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consider all highly liquid investments with an original maturity of three months or less to be cash equivalents.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of December 31, 2023, we did not have any cash equivalents.</w:t>
      </w:r>
    </w:p>
    <w:p>
      <w:pPr>
        <w:spacing w:after="0" w:line="9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principal while maximizing income without significantly increasing risk. Because we only hold cash, our portfolio’s fair value is insensitive to interest rate changes. In future periods, we will continue to evaluate our investment policy in order to ensure that we continue to meet our overall objectives. A hypothetical 100 basis point increase or decrease in interest rates would not have a material effect on our financial results.</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financial instruments are potentially subject to concentrations of credit risk. We place our cash with high quality credit institutions. From time to time, we maintain cash balances at certain institutions in excess of the Federal Deposit Insurance Corporation limit. As of December 31, 2023, we had cash balances that exceeded the deposit insurance limit with five financial institutions. Management believes that the risk of loss is not significant and has not experienced any losses in such accounts.</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Other than as set forth in the note above titled “Growth and Retention of Our Paying Clients”, 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 We do not believe that inflation has had a material effect on our business, financial condition or results of operations during the years ended December 31, 2023, 2022 and 2021.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8" w:name="page79"/>
    <w:bookmarkEnd w:id="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legalized cannabis markets in states and territories of the United States. Our comprehensive business-to-consumer and business-to-business suite of products afford cannabis retailers and brands of all sizes integrated tools to compliantly run their businesses and to reach, convert, and retain consumers.</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by and among Silver Spike, Silver Spike Merger Sub LLC, a Delaware limited liability company and a wholly owned direct subsidiary of Silver Spike Acquisition Corp., WM Holding Company, LLC, a Delaware limited liability company (when referred to in its pre-Business Combination capacity, “Legacy WMH” and following the Business Combination, “WMH LLC”), and Ghost Media Group, LLC, a Nevada limited liability company. On the Closing Date, and in connection with the closing of the Business Combination, Silver Spike was domesticated and continues as a Delaware corporation, and changed its name to WM Technology, Inc.</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business primarily consists of our commerce-driven marketplace (“Weedmaps”), and our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(“POS”) solutions, to provide consumers with the ability to browse by strain, price, cannabinoids and other information regarding locally available cannabis products, through our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 We believe the size, loyalty and engagement of our user base and the frequency of consumption of cannabis by our user base makes the Weedmaps marketplace highly valuable to our clients.</w:t>
      </w:r>
    </w:p>
    <w:p>
      <w:pPr>
        <w:spacing w:after="0" w:line="8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Weedmaps for Business, our SaaS offering, is a comprehensive set of eCommerce and compliance software solutions catered towards cannabis retailers, delivery services and brands that streamline front and back-end operations and help manage compliance needs. These tools support cannabis businesses at every stage in the consumer funnel, enabling them to:</w:t>
      </w:r>
    </w:p>
    <w:p>
      <w:pPr>
        <w:spacing w:after="0" w:line="72" w:lineRule="exact"/>
        <w:rPr>
          <w:sz w:val="20"/>
          <w:szCs w:val="20"/>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Strategically reach prospective cannabis consumers.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pickup, delivery and inventory in compliance with local regulations.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 improve the customer experience by creating online browsing and ordering functionality on a brand or retailer (including delivery) operator’s website.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 customer loyalty and re-engage with segments of consumers.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the Weedmaps for Business products in conjunction with any other preferred software solutions via integrations and application programming interfaces (“APIs”).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informed marketing and merchandising decisions using performance analytics and consumer and brand insights to promote products to specific consumer groups.</w:t>
      </w:r>
    </w:p>
    <w:p>
      <w:pPr>
        <w:spacing w:after="0" w:line="5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offer this functionality through a packaged software solution that includes (based on availability within any given market and state-level regulations) (i) a listing page with product menu on weedmaps.com, our iOS Weedmaps mobile application and our Android Weedmaps mobile application, which allows clients to disclose their license information, hours of operation, contact information, discount policies and other information that may be required under applicable state law, (ii) the ability to reserve products for pickup by consumers or delivery to consumers (either through weedmaps.com, on a white labeled WM Store website or third-party websites through our orders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9" w:name="page80"/>
    <w:bookmarkEnd w:id="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menu embed product), (iii) customizable menus for brands, retailers and delivery operators to embed on their website, (iv) access to our APIs, including real-time connectivity between Weedmaps for Business to a POS to streamline workflows and promote compliance through accuracy and (v) analytics dashboards. We also offer add-on and a la carte products and services for additional fees, as discussed below.</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state-legal cannabis industry in the United States has grown consistently in recent years and was estimated to be between approximately $27-$28 billion in 2023, according to Wall Street analyst estimates, and is expected by some</w:t>
      </w:r>
    </w:p>
    <w:p>
      <w:pPr>
        <w:jc w:val="both"/>
        <w:ind w:left="300" w:right="299"/>
        <w:spacing w:after="0" w:line="241" w:lineRule="auto"/>
        <w:rPr>
          <w:sz w:val="20"/>
          <w:szCs w:val="20"/>
          <w:color w:val="auto"/>
        </w:rPr>
      </w:pPr>
      <w:r>
        <w:rPr>
          <w:rFonts w:ascii="Times New Roman" w:cs="Times New Roman" w:eastAsia="Times New Roman" w:hAnsi="Times New Roman"/>
          <w:sz w:val="18"/>
          <w:szCs w:val="18"/>
          <w:color w:val="auto"/>
        </w:rPr>
        <w:t>estimates to grow to $40 billion by 2027, assuming a continued pace of new state legalization, with 70%</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of U.S. adults since 2020 in support of having legal access to cannabis. As of September 30, 2024, thirty-nine states, the District of Columbia, Puerto Rico, the Virgin Islands, Guam and the Northern Mariana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three states continue to prohibit cannabis entirely. Despite expectations of growth, the regulated cannabis market in the United States is still nascent and fragmented, with significant challenges facing both consumers seeking to understand cannabis and find the right products for them and businesses seeking to operate compliantly and to effectively reach and market to cannabis consumers. Within the U.S., cannabis users (defined as adults, aged 21 and older, who have consumed cannabis in the past year) represent less than 22% of the total U.S.</w:t>
      </w:r>
    </w:p>
    <w:p>
      <w:pPr>
        <w:spacing w:after="0" w:line="3" w:lineRule="exact"/>
        <w:rPr>
          <w:sz w:val="20"/>
          <w:szCs w:val="20"/>
          <w:color w:val="auto"/>
        </w:rPr>
      </w:pPr>
    </w:p>
    <w:p>
      <w:pPr>
        <w:jc w:val="both"/>
        <w:ind w:left="300" w:right="299"/>
        <w:spacing w:after="0" w:line="231" w:lineRule="auto"/>
        <w:rPr>
          <w:sz w:val="20"/>
          <w:szCs w:val="20"/>
          <w:color w:val="auto"/>
        </w:rPr>
      </w:pPr>
      <w:r>
        <w:rPr>
          <w:rFonts w:ascii="Times New Roman" w:cs="Times New Roman" w:eastAsia="Times New Roman" w:hAnsi="Times New Roman"/>
          <w:sz w:val="18"/>
          <w:szCs w:val="18"/>
          <w:color w:val="auto"/>
        </w:rPr>
        <w:t>adult, aged 21 and older, population today (and less than 16% for those that consumed in the past month)</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On the client side, as of December 31, 2023, there were approximately 11,900 retail licenses across the United States with medical and/or adult-use regulations in place, which is an effective retail density of approximately one retail license per 21,570 residents across these markets in the aggregate, based on data available from individual governmental cannabis license databases and the U.S. Census Bureau estimates for both licenses and population.</w:t>
      </w:r>
    </w:p>
    <w:p>
      <w:pPr>
        <w:spacing w:after="0" w:line="9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addition to these nascent consumer and business dynamics, cannabis itself is a highly complex, regulated and diverse, non-shelf stable consumer good that spans hundreds of strains and a growing set of form factors available for consumption, including flower, pre-rolls, vapes, edibles, tinctures and concentrates. Despite these complexities, consumers still expect the same product information, discovery and comparison options across multiple channels from cannabis businesses that they expect from other retailers or brands. These consumer expectations, coupled with the lack of normalized product information in the industry, in addition to the unique attributes of cannabis as a nascent and highly regulated consumer product, create significant challenges for retailers and brands who serve cannabis consumers. Retailers and brands must meet these consumer expectations and provide omni-channel engagement opportunities with the same (i) level of service, (ii) richness of product information, (iii) ability to compare prices, and (iv) ease of product and brand discovery that consumers would receive when researching other consumer product categories. Further, brands are limited in their ability to market and sell directly and need to find ways to communicate to consumers. At the same time, these businesses must comply with a rapidly evolving legal and regulatory landscape that differs by state and across cities and counties within each state, creating challenges in the ability to scale in a capital-efficient way.</w:t>
      </w:r>
    </w:p>
    <w:p>
      <w:pPr>
        <w:spacing w:after="0" w:line="15" w:lineRule="exact"/>
        <w:rPr>
          <w:sz w:val="20"/>
          <w:szCs w:val="20"/>
          <w:color w:val="auto"/>
        </w:rPr>
      </w:pPr>
    </w:p>
    <w:p>
      <w:pPr>
        <w:ind w:left="460" w:hanging="168"/>
        <w:spacing w:after="0"/>
        <w:tabs>
          <w:tab w:leader="none" w:pos="460" w:val="left"/>
        </w:tabs>
        <w:numPr>
          <w:ilvl w:val="0"/>
          <w:numId w:val="3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news.gallup.com - Grassroots Support for Legalizing Marijuana Hits Record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-127000</wp:posOffset>
            </wp:positionV>
            <wp:extent cx="82296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7" w:lineRule="exact"/>
        <w:rPr>
          <w:sz w:val="20"/>
          <w:szCs w:val="20"/>
          <w:color w:val="auto"/>
        </w:rPr>
      </w:pPr>
    </w:p>
    <w:p>
      <w:pPr>
        <w:ind w:left="460" w:right="299" w:hanging="168"/>
        <w:spacing w:after="0" w:line="195" w:lineRule="auto"/>
        <w:tabs>
          <w:tab w:leader="none" w:pos="460" w:val="left"/>
        </w:tabs>
        <w:numPr>
          <w:ilvl w:val="0"/>
          <w:numId w:val="3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Numbers of users aged 21 and older are from the 2022 National Survey on Drug Use and Health, number of adults in the United States aged 21 and older are from U.S. Census data</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0" w:name="page81"/>
    <w:bookmarkEnd w:id="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Product and Solution Ecosystem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182880</wp:posOffset>
            </wp:positionV>
            <wp:extent cx="5280660" cy="29229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280660"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1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solutions are designed to address the challenges facing cannabis consumers and businesses. The Weedmaps marketplace allows cannabis consumers to search for and browse cannabis products from retailers and brands, and ultimately reserve products from certain local retailers, in a manner similar to other technology platforms with breadth and depth of product, brand and retailer selection. With the development of Weedmaps for Business, we offer an end-to-end platform for licensed cannabis retailers to comply with state law. We sell a monthly subscription offering to retailer and brand clients as well as upsell and add-on offerings to licensed clients.</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current Weedmaps for Business monthly subscription package includes:</w:t>
      </w:r>
    </w:p>
    <w:p>
      <w:pPr>
        <w:spacing w:after="0" w:line="117" w:lineRule="exact"/>
        <w:rPr>
          <w:sz w:val="20"/>
          <w:szCs w:val="20"/>
          <w:color w:val="auto"/>
        </w:rPr>
      </w:pPr>
    </w:p>
    <w:p>
      <w:pPr>
        <w:jc w:val="both"/>
        <w:ind w:left="1000" w:right="319" w:hanging="348"/>
        <w:spacing w:after="0" w:line="261"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Listings: A listing page with product menu for a retailer or brand on the Weedmaps marketplace, enabling our clients to be discovered by the marketplace’s users. This also allows clients to disclose their license information, hours of operation, contact information, discount policies and other information that may be required under applicable state law.</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Orders: Software for retailers to receive pickup and delivery orders directly from a Weedmaps listing and connect orders directly with a client’s POS system (for certain POS systems). The marketplace also enables brands to route customer purchase interest to a retailer that carries the brand’s product. After a dispensary receives the order request from the consumer, the dispensary and the consumer can continue to communicate, adjust items in the request, and handle any stock issues, prior to and while the dispensary processes and fulfills the order.</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59"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Store: Customizable order and menus embed which allows retailers and brands to import their Weedmaps listing menu or product reservation functionality to their own white-labeled WM Store website or separately owned website. WM Store facilitates customer pickup or delivery orders and enables retailers to reach more customers by bringing the breadth of the Weedmaps marketplace to a client’s own website.</w:t>
      </w:r>
    </w:p>
    <w:p>
      <w:pPr>
        <w:spacing w:after="0" w:line="294"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Connectors: A centralized integration platform, including API tools, for easier menu management, automatic inventory updates and streamlined order fulfillment to enable clients to save time and more easily integrate into the WM Technology ecosystem and integrate with disparate software systems. This creates business efficiencies and improves the accuracy and timeliness of information across Weedmaps, creating a more positive experience for consumers and businesses.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1" w:name="page82"/>
    <w:bookmarkEnd w:id="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58"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Insights: An insights and analytics platform for clients leveraging data across the Weedmaps marketplace and software solutions. WM Insights provides data and analytics on user engagement and traffic trends to a client’s listing page. For Brand clients, WM Insights allows them to monitor their brand and product rankings, identify retailers not carrying products and keep track of top brands and products by category and state.</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also offer other add-on products for additional fees, including:</w:t>
      </w:r>
    </w:p>
    <w:p>
      <w:pPr>
        <w:spacing w:after="0" w:line="117" w:lineRule="exact"/>
        <w:rPr>
          <w:sz w:val="20"/>
          <w:szCs w:val="20"/>
          <w:color w:val="auto"/>
        </w:rPr>
      </w:pPr>
    </w:p>
    <w:p>
      <w:pPr>
        <w:ind w:left="1000" w:right="319" w:hanging="348"/>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Ads: Ad solutions on the Weedmaps marketplace designed for clients to amplify their businesses and reach more highly engaged cannabis consumers throughout their buying journey including:</w:t>
      </w:r>
    </w:p>
    <w:p>
      <w:pPr>
        <w:spacing w:after="0" w:line="53" w:lineRule="exact"/>
        <w:rPr>
          <w:rFonts w:ascii="Times New Roman" w:cs="Times New Roman" w:eastAsia="Times New Roman" w:hAnsi="Times New Roman"/>
          <w:sz w:val="18"/>
          <w:szCs w:val="18"/>
          <w:color w:val="auto"/>
        </w:rPr>
      </w:pPr>
    </w:p>
    <w:p>
      <w:pPr>
        <w:jc w:val="both"/>
        <w:ind w:left="1360" w:right="319" w:hanging="348"/>
        <w:spacing w:after="0" w:line="239" w:lineRule="auto"/>
        <w:tabs>
          <w:tab w:leader="none" w:pos="1360" w:val="left"/>
        </w:tabs>
        <w:numPr>
          <w:ilvl w:val="1"/>
          <w:numId w:val="4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Featured Listings: Premium placement ad solutions on high visibility locations on the Weedmaps marketplace (desktop and mobile) to amplify our clients’ businesses and maximize clients’ listings and deal presence.</w:t>
      </w:r>
    </w:p>
    <w:p>
      <w:pPr>
        <w:spacing w:after="0" w:line="91" w:lineRule="exact"/>
        <w:rPr>
          <w:rFonts w:ascii="Times New Roman" w:cs="Times New Roman" w:eastAsia="Times New Roman" w:hAnsi="Times New Roman"/>
          <w:sz w:val="22"/>
          <w:szCs w:val="22"/>
          <w:color w:val="auto"/>
          <w:vertAlign w:val="superscript"/>
        </w:rPr>
      </w:pPr>
    </w:p>
    <w:p>
      <w:pPr>
        <w:jc w:val="both"/>
        <w:ind w:left="1360" w:right="319" w:hanging="348"/>
        <w:spacing w:after="0" w:line="239" w:lineRule="auto"/>
        <w:tabs>
          <w:tab w:leader="none" w:pos="1360" w:val="left"/>
        </w:tabs>
        <w:numPr>
          <w:ilvl w:val="1"/>
          <w:numId w:val="4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WM Deals: Discount and promotion pricing tools that let clients strategically reach prospective price-conscious cannabis customers with deals or discounts to drive conversion. In some jurisdictions, it is required by applicable law to showcase discounts.</w:t>
      </w:r>
    </w:p>
    <w:p>
      <w:pPr>
        <w:spacing w:after="0" w:line="91" w:lineRule="exact"/>
        <w:rPr>
          <w:rFonts w:ascii="Times New Roman" w:cs="Times New Roman" w:eastAsia="Times New Roman" w:hAnsi="Times New Roman"/>
          <w:sz w:val="22"/>
          <w:szCs w:val="22"/>
          <w:color w:val="auto"/>
          <w:vertAlign w:val="superscript"/>
        </w:rPr>
      </w:pPr>
    </w:p>
    <w:p>
      <w:pPr>
        <w:jc w:val="both"/>
        <w:ind w:left="1360" w:right="319" w:hanging="348"/>
        <w:spacing w:after="0" w:line="239" w:lineRule="auto"/>
        <w:tabs>
          <w:tab w:leader="none" w:pos="1360" w:val="left"/>
        </w:tabs>
        <w:numPr>
          <w:ilvl w:val="1"/>
          <w:numId w:val="4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Other WM Ads solutions: Includes banner ads and promotion tiles on our marketplace as well as banner ads that can be tied to keyword searches. These products provide clients with targeted ad solutions in highly visible slots across our digital surfaces.</w:t>
      </w:r>
    </w:p>
    <w:p>
      <w:pPr>
        <w:spacing w:after="0" w:line="91" w:lineRule="exact"/>
        <w:rPr>
          <w:rFonts w:ascii="Times New Roman" w:cs="Times New Roman" w:eastAsia="Times New Roman" w:hAnsi="Times New Roman"/>
          <w:sz w:val="22"/>
          <w:szCs w:val="22"/>
          <w:color w:val="auto"/>
          <w:vertAlign w:val="superscript"/>
        </w:rPr>
      </w:pPr>
    </w:p>
    <w:p>
      <w:pPr>
        <w:jc w:val="both"/>
        <w:ind w:left="1000" w:right="319" w:hanging="348"/>
        <w:spacing w:after="0" w:line="266"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Dispatch: Compliant, automated and optimized logistics and fulfillment last-mile delivery software (including driver apps) that helps clients manage their delivery fleets. This product streamlines the delivery experience from in-store to front-door.</w:t>
      </w:r>
    </w:p>
    <w:p>
      <w:pPr>
        <w:spacing w:after="0" w:line="6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 December 2023, we completed the sunset of WM AdSuite, WM CRM and WM Screens product offerings as we continue to focus our efforts on other Weedmaps for Business products that support the Weedmaps marketplace and improve the eCommerce experience for our clients and users.</w:t>
      </w:r>
    </w:p>
    <w:p>
      <w:pPr>
        <w:spacing w:after="0" w:line="6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sell our Weedmaps for Business suite in the United States and have a limited number of non-monetized listings in several other countries including Austria, Canada, Germany, the Netherlands, Spain and Switzerland. We operate in the United States, Canada and other foreign jurisdictions where medical and/or adult cannabis use is legal under state or national law. As of June 30, 2024, we actively operated in over 35 U.S. states and territories that have adult-use and/or medical-use regulations in place. We define actively operated markets as those U.S. states or territories with greater than $1,000 monthly revenue. Substantially all of our revenue was generated in the United States.</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mission is to power a transparent and inclusive global cannabis economy. Our technology addresses the challenges facing both consumers seeking to understand cannabis products and businesses who serve cannabis users in a legally compliant fashion. Since our founding in 2008, Weedmaps has become a premier destination for cannabis consumers to discover and browse information regarding cannabis and cannabis products, permitting product discovery and order-ahead for pickup or delivery by participating retailers. Weedmaps for Business is a set of eCommerce-enablement tools designed to help retailers and brands get the best out of the Weedmaps’ consumer experience, create labor efficiencies and manage compliance needs.</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hold a strong belief in the importance of enabling safe, legal access to cannabis for consumers worldwide. We believe we offer the only comprehensive software platform that allows cannabis retailers to reach their target audience, quickly and cost effectively, addressing a wide range of needs. We are committed to building the software solutions that power cannabis businesses compliantly in the industry, to advocating for legalization, licensing and social equity of cannabis and to facilitating further learning through partnership with subject matter experts to provide detailed, accurate information about cannabis.</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we continue to expand the presence and increase the number of consumers on the Weedmaps marketplace and broaden our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solutions, we plan to continue making investments in raising brand awareness, increasing penetration within existing markets and expanding to new markets, as well as continuing to develop and monetize new solutions to extend the functionality of our platform. These investments serve to deepen the consumer experience with our platform and continue to provide a high level of support to our business clients.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2" w:name="page83"/>
    <w:bookmarkEnd w:id="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While the cannabis industry is still in the early innings of what could be decades of growth, we have established a leading position and a recognized brand given our 15-year operating history. Over the coming years, we plan to continue expanding our solutions and service offerings.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Challenges in Our End-Markets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Despite cannabis being a large and growing sector in the United States, we believe that cannabis is unlike many other consumer goods and retail categories for a number of reasons:</w:t>
      </w:r>
    </w:p>
    <w:p>
      <w:pPr>
        <w:spacing w:after="0" w:line="54" w:lineRule="exact"/>
        <w:rPr>
          <w:sz w:val="20"/>
          <w:szCs w:val="20"/>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Cannabis as a regulated industry is still in a nascent stage of development.</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35"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Cannabis users (defined as adults, aged 21 and older, who have consumed cannabis in the past year) represent less than 22% of the total U.S. adult, aged 21 and older, population today</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(and less than 16% for those that consumed in the past month)</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without a “typical” user profile</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governing cannabis are complex and vary state-by-state and by city and county within states.</w:t>
      </w:r>
    </w:p>
    <w:p>
      <w:pPr>
        <w:spacing w:after="0" w:line="9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Cannabis has wide variance in characteristics that make it complex for consumers to make an informed purchase decision.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Cannabis is a perishable good with a lack of product homogeneity.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Brands are only in the early stages of establishing a consumer presence.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the illicit market is still an issue, particularly in states like California.</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industry has experienced periods of price deflation, including over the past two years, impacting the financial performance of businesses across the value chain.</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access to capital (relative to other industries) and limitations under Section 280E of the Internal Revenue Code of 1986, as amended (the “Code”) on deduction or credit for certain expenses of cannabis business can reduce the cash flow and liquidity of many industry participants.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Since our founding in 2008, we have grown to become a leading provider of technology solutions to the cannabis industry by leveraging our competitive strengths, including:</w:t>
      </w:r>
    </w:p>
    <w:p>
      <w:pPr>
        <w:spacing w:after="0" w:line="50" w:lineRule="exact"/>
        <w:rPr>
          <w:sz w:val="20"/>
          <w:szCs w:val="20"/>
          <w:color w:val="auto"/>
        </w:rPr>
      </w:pPr>
    </w:p>
    <w:p>
      <w:pPr>
        <w:jc w:val="both"/>
        <w:ind w:left="1000" w:right="319" w:hanging="348"/>
        <w:spacing w:after="0" w:line="257"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Long History as a Technology Leader Serving the Cannabis Industry. </w:t>
      </w:r>
      <w:r>
        <w:rPr>
          <w:rFonts w:ascii="Times New Roman" w:cs="Times New Roman" w:eastAsia="Times New Roman" w:hAnsi="Times New Roman"/>
          <w:sz w:val="18"/>
          <w:szCs w:val="18"/>
          <w:color w:val="auto"/>
        </w:rPr>
        <w:t>Founded in 2008, we have a long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history and established relationships with cannabis businesses and consumers across the United States. This long history has given us several competitive advantages, such as scale, attractive operating margins and local insights into emerging consumer and business trends across many markets. Our policy expertise allows us to anticipate and react quickly to changes in cannabis regulations and informs all aspects of our business, including our product ideation, development and go-to-market strategies.</w:t>
      </w:r>
    </w:p>
    <w:p>
      <w:pPr>
        <w:spacing w:after="0" w:line="74"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Largest Two-Sided Platform for Cannabis Businesses and Consumers. </w:t>
      </w:r>
      <w:r>
        <w:rPr>
          <w:rFonts w:ascii="Times New Roman" w:cs="Times New Roman" w:eastAsia="Times New Roman" w:hAnsi="Times New Roman"/>
          <w:sz w:val="18"/>
          <w:szCs w:val="18"/>
          <w:color w:val="auto"/>
        </w:rPr>
        <w:t>With $45.9 million in revenue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5,045 average monthly paying clients for the three months ended June 30, 2024, we believe we are the largest two-sided platform for cannabis businesses and consumers in the United States. As we increase the number of users on our platform, we generate more engagements and can more easily persuade our business clients to consolidate their service providers by switching to our value-priced Weedmaps for Business bundled solution. As we continue to increase the number of businesses on our marketplace, we in turn become a more compelling platform for users. As more businesses and users join the platform, we gain a richer trove of industry data to perform market research and assist in product development and improvement. The result is a self-reinforcing, mutually beneficial, two-sided network effect, which we believe is difficult to replicate.</w:t>
      </w:r>
    </w:p>
    <w:p>
      <w:pPr>
        <w:spacing w:after="0" w:line="77" w:lineRule="exact"/>
        <w:rPr>
          <w:rFonts w:ascii="Times New Roman" w:cs="Times New Roman" w:eastAsia="Times New Roman" w:hAnsi="Times New Roman"/>
          <w:sz w:val="18"/>
          <w:szCs w:val="18"/>
          <w:color w:val="auto"/>
        </w:rPr>
      </w:pPr>
    </w:p>
    <w:p>
      <w:pPr>
        <w:jc w:val="both"/>
        <w:ind w:left="1000" w:right="319" w:hanging="348"/>
        <w:spacing w:after="0" w:line="268"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 Fully-Integrated Business-in-a-Box SaaS Solution Specific to the Cannabis Industry. </w:t>
      </w:r>
      <w:r>
        <w:rPr>
          <w:rFonts w:ascii="Times New Roman" w:cs="Times New Roman" w:eastAsia="Times New Roman" w:hAnsi="Times New Roman"/>
          <w:sz w:val="18"/>
          <w:szCs w:val="18"/>
          <w:color w:val="auto"/>
        </w:rPr>
        <w:t>We believe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Weedmaps for Business is the industry’s only comprehensive business-in-a-box solution and incorporates embedded compliance functionality so that our clients comply with state law through integrated software</w:t>
      </w:r>
    </w:p>
    <w:p>
      <w:pPr>
        <w:spacing w:after="0" w:line="76" w:lineRule="exact"/>
        <w:rPr>
          <w:sz w:val="20"/>
          <w:szCs w:val="20"/>
          <w:color w:val="auto"/>
        </w:rPr>
      </w:pPr>
    </w:p>
    <w:p>
      <w:pPr>
        <w:ind w:left="460" w:right="319" w:hanging="168"/>
        <w:spacing w:after="0" w:line="184" w:lineRule="auto"/>
        <w:tabs>
          <w:tab w:leader="none" w:pos="460" w:val="left"/>
        </w:tabs>
        <w:numPr>
          <w:ilvl w:val="0"/>
          <w:numId w:val="4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Numbers of users 21 and above are from the 2022 National Survey on Drug Use and Health, number of 21 and above adults in the United States are from U.S. Census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-229235</wp:posOffset>
            </wp:positionV>
            <wp:extent cx="8229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460" w:hanging="168"/>
        <w:spacing w:after="0" w:line="210" w:lineRule="auto"/>
        <w:tabs>
          <w:tab w:leader="none" w:pos="460" w:val="left"/>
        </w:tabs>
        <w:numPr>
          <w:ilvl w:val="0"/>
          <w:numId w:val="4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Per 2022 National Survey of Drug Use and Health and U.S. Census data</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3" w:name="page84"/>
    <w:bookmarkEnd w:id="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54" w:lineRule="auto"/>
        <w:rPr>
          <w:sz w:val="20"/>
          <w:szCs w:val="20"/>
          <w:color w:val="auto"/>
        </w:rPr>
      </w:pPr>
      <w:r>
        <w:rPr>
          <w:rFonts w:ascii="Times New Roman" w:cs="Times New Roman" w:eastAsia="Times New Roman" w:hAnsi="Times New Roman"/>
          <w:sz w:val="18"/>
          <w:szCs w:val="18"/>
          <w:color w:val="auto"/>
        </w:rPr>
        <w:t>solutions ranging from live menus, logistics and fulfillment, POS integrations, inventory management and data and analytics. We also believe we are the only platform servicing cannabis that combines both a scaled marketplace and software - most other technology providers offer software solutions without the marketplace or a marketplace without software. We also believe we offer the most comprehensive software platform that allows cannabis retailers to reach their target audience, quickly and cost effectively, addressing a wide range of needs. Our platform features self-service administrative functionality that enables clients to manage their listings page, including adding images, adjusting their menus, editing product information and responding to reviews as well as analyzing traffic trends.</w:t>
      </w:r>
    </w:p>
    <w:p>
      <w:pPr>
        <w:spacing w:after="0" w:line="80" w:lineRule="exact"/>
        <w:rPr>
          <w:sz w:val="20"/>
          <w:szCs w:val="20"/>
          <w:color w:val="auto"/>
        </w:rPr>
      </w:pPr>
    </w:p>
    <w:p>
      <w:pPr>
        <w:jc w:val="both"/>
        <w:ind w:left="1000" w:right="299" w:hanging="348"/>
        <w:spacing w:after="0" w:line="256"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Unique and Growing Data Asset. </w:t>
      </w:r>
      <w:r>
        <w:rPr>
          <w:rFonts w:ascii="Times New Roman" w:cs="Times New Roman" w:eastAsia="Times New Roman" w:hAnsi="Times New Roman"/>
          <w:sz w:val="18"/>
          <w:szCs w:val="18"/>
          <w:color w:val="auto"/>
        </w:rPr>
        <w:t>As a result our established presence, scale and the breadth of product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offerings that provide us with a high volume of retail-level information and user insights, we have a growing and unique first-party data asset. Currently, the cannabis industry has few reliable sources of fulsome datasets. Our data gives us insights on local market trends and the shape of the consumer journey from exploration and discovery to point of direct interaction with retailers across multiple retailers, brands and products. As our network of clients and consumers continues to grow, our data set will become deeper and richer, increasing its value and our potential monetization opportunities.</w:t>
      </w:r>
    </w:p>
    <w:p>
      <w:pPr>
        <w:spacing w:after="0" w:line="74"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Ability to Innovate Rapidly and Launch New Products Efficiently at Scale. </w:t>
      </w:r>
      <w:r>
        <w:rPr>
          <w:rFonts w:ascii="Times New Roman" w:cs="Times New Roman" w:eastAsia="Times New Roman" w:hAnsi="Times New Roman"/>
          <w:sz w:val="18"/>
          <w:szCs w:val="18"/>
          <w:color w:val="auto"/>
        </w:rPr>
        <w:t>We have an agile product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innovation and deployment process. Our sales team frequently engages with our paid clients about the products they use, as well as their business objectives and performance. We constantly strive to generate product ideas through this deep engagement with our clients, as well as empirical research. During the initial development phases, we test a proposed offering with relevant areas of our business such as sales, compliance, legal, marketing and technology, and use the resulting cross-functional input to develop a clear business rationale and explicit articulation of the goals, client problems that need to be solved, compliance features that need to be incorporated, and potential product-market fit prior to the investment of developer time and company resources. We leverage reusable microservices architecture and modular technology that can be redeployed across multiple new offerings for quicker development cycles. This streamlined approach yields smaller initiatives requiring less investment, enabling us to deliver cost-effective product innovation at a rapid pace.</w:t>
      </w:r>
    </w:p>
    <w:p>
      <w:pPr>
        <w:spacing w:after="0" w:line="81"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Capital-Efficient Business Model with Historical Track Record of Positive Cash Flows. </w:t>
      </w:r>
      <w:r>
        <w:rPr>
          <w:rFonts w:ascii="Times New Roman" w:cs="Times New Roman" w:eastAsia="Times New Roman" w:hAnsi="Times New Roman"/>
          <w:sz w:val="18"/>
          <w:szCs w:val="18"/>
          <w:color w:val="auto"/>
        </w:rPr>
        <w:t>We operate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cloud-based platform, and unlike other cannabis-related businesses, we require minimal physical footprint and are not directly exposed to fluctuations in product input costs. We do not require real estate or other significant capital outlays to enter new markets. Our offerings can be efficiently customized to new markets to facilitate expansion, which provides significant flexibility to scale and enter new markets with minimal investment. The capital-efficiency of our business model is evidenced by our historical robust margin profile and, prior to 2022, our track record of positive Adjusted EBITDA and cash flows from operating activities,</w:t>
      </w:r>
    </w:p>
    <w:p>
      <w:pPr>
        <w:spacing w:after="0" w:line="76"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Operationally-Focused Management Team with Deep Experience. </w:t>
      </w:r>
      <w:r>
        <w:rPr>
          <w:rFonts w:ascii="Times New Roman" w:cs="Times New Roman" w:eastAsia="Times New Roman" w:hAnsi="Times New Roman"/>
          <w:sz w:val="18"/>
          <w:szCs w:val="18"/>
          <w:color w:val="auto"/>
        </w:rPr>
        <w:t>Our executive leadership team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extensive and relevant professional experience spanning the technology, consumer, retail, legal and financial services industries, with a track record of operational execution and driving growth. Our Chief Executive Officer, Chairman and Principal Executive Officer, Douglas Francis is a co-founder of WM Technology and, prior to 2019, had served as its Chief Executive Officer. We believe our deep knowledge of our end-markets and broad-based operational expertise spanning several industry sectors provides a key competitive advantage in executing against our growth strategy.</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a leading marketplace and software platform, our goal is not only to grow our market share but to grow the entire market by promoting wider access to licensed cannabis, educating consumers on how to shop for cannabis and providing licensed operators with the tools they need to access users and grow their businesses. We believe we are well-positioned to capitalize on underlying growth across our end-markets by executing against our strategy as follows:</w:t>
      </w:r>
    </w:p>
    <w:p>
      <w:pPr>
        <w:spacing w:after="0" w:line="71" w:lineRule="exact"/>
        <w:rPr>
          <w:sz w:val="20"/>
          <w:szCs w:val="20"/>
          <w:color w:val="auto"/>
        </w:rPr>
      </w:pPr>
    </w:p>
    <w:p>
      <w:pPr>
        <w:jc w:val="both"/>
        <w:ind w:left="1000" w:right="299" w:hanging="348"/>
        <w:spacing w:after="0" w:line="26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Grow Our Two-Sided Marketplace. </w:t>
      </w:r>
      <w:r>
        <w:rPr>
          <w:rFonts w:ascii="Times New Roman" w:cs="Times New Roman" w:eastAsia="Times New Roman" w:hAnsi="Times New Roman"/>
          <w:sz w:val="18"/>
          <w:szCs w:val="18"/>
          <w:color w:val="auto"/>
        </w:rPr>
        <w:t>Our goal is to be the center of commerce for consumers seeking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cannabis. To support this goal, we intend to continue growing the number of consumers on our platform through original content that educates, entertains, facilitates discovery of new products, increases awareness of our platform and encourages repeat usage. As we grow our users and user engagements, we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4" w:name="page85"/>
    <w:bookmarkEnd w:id="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319"/>
        <w:spacing w:after="0" w:line="266" w:lineRule="auto"/>
        <w:rPr>
          <w:sz w:val="20"/>
          <w:szCs w:val="20"/>
          <w:color w:val="auto"/>
        </w:rPr>
      </w:pPr>
      <w:r>
        <w:rPr>
          <w:rFonts w:ascii="Times New Roman" w:cs="Times New Roman" w:eastAsia="Times New Roman" w:hAnsi="Times New Roman"/>
          <w:sz w:val="18"/>
          <w:szCs w:val="18"/>
          <w:color w:val="auto"/>
        </w:rPr>
        <w:t>will continue to engage with our clients to demonstrate the value we believe they receive on our platform and can convince more businesses to increase adoption of our Weedmaps for Business services through our Weedmaps for Business subscription offering and additional add-ons.</w:t>
      </w:r>
    </w:p>
    <w:p>
      <w:pPr>
        <w:spacing w:after="0" w:line="64" w:lineRule="exact"/>
        <w:rPr>
          <w:sz w:val="20"/>
          <w:szCs w:val="20"/>
          <w:color w:val="auto"/>
        </w:rPr>
      </w:pPr>
    </w:p>
    <w:p>
      <w:pPr>
        <w:jc w:val="both"/>
        <w:ind w:left="1000" w:right="299" w:hanging="348"/>
        <w:spacing w:after="0" w:line="25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Our Existing Markets and Enter New Markets. </w:t>
      </w:r>
      <w:r>
        <w:rPr>
          <w:rFonts w:ascii="Times New Roman" w:cs="Times New Roman" w:eastAsia="Times New Roman" w:hAnsi="Times New Roman"/>
          <w:sz w:val="18"/>
          <w:szCs w:val="18"/>
          <w:color w:val="auto"/>
        </w:rPr>
        <w:t>We have a significant opportunity to grow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client base both within existing markets that are continuing to grow and new markets as they become open to regulated cannabis. We believe we are a nationally-recognized brand in the cannabis industry, and we are monetizing our platform in over 35 U.S. states and territories, as of December 31, 2023. Based on our internal research, we believe the minimum level of acceptable retail density to have a healthy and functioning licensed market is one licensed retailer per 10,000 residents. Many of the U.S. states where we operate today are still under-penetrated with low levels of licensed retail density. We believe that there are tremendous growth opportunities for us within our existing markets as retail licenses continue to be issued, and states move towards, and eventually beyond, the one retail license per 10,000 people ratio. As of December 31, 2023, there were approximately 11,900 existing retail and delivery licenses across the United States. Assuming no cap on the number of licenses issued or other restrictions on the number of licenses issued, if these same markets were to issue enough licenses to match a ratio of one retail license per 10,000 residents, approximately 22,000 new retail licenses would be issued. This may require continued liberalization of license restrictions across cities and counties within certain states where we do business today. In addition, we believe that legalization by additional states and eventually the U.S. government is inevitable. Assuming no other restrictions on the number of licenses issued, if the entire United States reached a minimum level of density of one retail license per 10,000 residents, the total universe of retail licenses would reach approximately 34,000, which is approximately 2.8 times the current count of retail licenses in the United States. If our assumptions and projections are correct, this represents a significant growth opportunity for us as every new retail license issued is an opportunity to onboard a new client onto our platform and increase their monthly spend as they leverage more of our services, solutions and upsell / add-on products.</w:t>
      </w:r>
    </w:p>
    <w:p>
      <w:pPr>
        <w:spacing w:after="0" w:line="78"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Our Weedmaps for Business Solutions and Monetize Gross Merchandise Value (“GMV”) Consistent with Federal and State Laws. </w:t>
      </w:r>
      <w:r>
        <w:rPr>
          <w:rFonts w:ascii="Times New Roman" w:cs="Times New Roman" w:eastAsia="Times New Roman" w:hAnsi="Times New Roman"/>
          <w:sz w:val="18"/>
          <w:szCs w:val="18"/>
          <w:color w:val="auto"/>
        </w:rPr>
        <w:t>We intend to continue expanding our suite of valuable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advertising and software solutions and the functionality of our Weedmaps for Business solutions through additional offerings of premium analytics and loyalty tools, among other solutions, which we intend to monetize through additional higher priced tiers within our subscription offering. We will continue to expand the availability of our POS integrations across additional states. We also are continuously improving the base-level functionality across our Weedmaps for Business solutions. We believe these initiatives will result in a more engaged client who utilizes more of our services across our platform and is more ripe for monetization opportunities over time. While we do not believe GMV is a driver of our revenue currently, GMV could represent significant monetization potential over time when and if U.S. federal regulations allow us to monetize our clients’ currently off-platform transaction activity through take-rates or payment fees.</w:t>
      </w:r>
    </w:p>
    <w:p>
      <w:pPr>
        <w:spacing w:after="0" w:line="81" w:lineRule="exact"/>
        <w:rPr>
          <w:rFonts w:ascii="Times New Roman" w:cs="Times New Roman" w:eastAsia="Times New Roman" w:hAnsi="Times New Roman"/>
          <w:sz w:val="18"/>
          <w:szCs w:val="18"/>
          <w:color w:val="auto"/>
        </w:rPr>
      </w:pPr>
    </w:p>
    <w:p>
      <w:pPr>
        <w:jc w:val="both"/>
        <w:ind w:left="1000" w:right="319" w:hanging="348"/>
        <w:spacing w:after="0" w:line="268"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Pursue Strategic Acquisitions. </w:t>
      </w:r>
      <w:r>
        <w:rPr>
          <w:rFonts w:ascii="Times New Roman" w:cs="Times New Roman" w:eastAsia="Times New Roman" w:hAnsi="Times New Roman"/>
          <w:sz w:val="18"/>
          <w:szCs w:val="18"/>
          <w:color w:val="auto"/>
        </w:rPr>
        <w:t>We take a measured approach to acquisition-related growth. We intend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continue selectively pursuing opportunities to invest in and acquire technology offerings that either complement our existing products and services or allow us to accelerate our growth.</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Our direct competitors for individual components or parts of our platform include cannabis-focused, technology companies like Leafly, Dutchie and Jane Technologies and a variety of cannabis-focused marketing and advertising technology solutions. In addition, for our retail listing pages, our platform may also compete with current or potential products and solutions offered by internet search engines and advertising networks like Google, Yelp, various other newspaper, television and media companies, as well as outdoor billboard advertising. We believe that the principal competitive factors in our market include the scale of our network, comprehensiveness of offerings, ease of adoption and use, ability to facilitate compliance with the complex, disparate regulations applicable to businesses operating in the cannabis industry and the breadth and trustworthiness of information available to consumers and brand. We believe we compete favorably based on these factors. On May 16, 2024, President Biden announced that the U.S. Attorney General initiated proceedings to transfer cannabis from Schedule I to Schedule III, through a Notice of Proposed Rulemaking (“NPRM”) published on May 21, 2024 This decision is expected to have far reaching implications that are not yet fully understood. For example, rescheduling may increase competitors in this space if non-cannabis technology companies who have previously avoided the space now decide to enter the market.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5" w:name="page86"/>
    <w:bookmarkEnd w:id="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For additional information about the risks to our business related to competition, see the section entitled “Risk Factors-Risks Related to our Business and Industry—We currently face intense competition in the market and we expect competition to further intensify as the cannabis industry continues to evolve.”</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Our sales team is primarily based out of our Irvine, California headquarters. Members of our sales team are knowledgeable about the products and add-ons that we offer and assist new and existing clients with our platform.</w:t>
      </w:r>
    </w:p>
    <w:p>
      <w:pPr>
        <w:spacing w:after="0" w:line="5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generate many leads for new listing pages through the applicable state cannabis regulators’ lists of licensees. Other leads are created from inbound requests by applicants for cannabis licenses to begin establishing their business’ presence on our platform pending an expected cannabis license.</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believe the quality and strength of our platform is our most valuable marketing asset. Our marketing strategy, across both business-to-consumer and business-to-business commerce, consists of user acquisition, brand marketing, communications and field marketing.</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key marketing efforts consist of driving awareness of the marketplace, new user acquisition, and increasing platform engagement with existing users. To drive awareness, we apply a range of strategies from broad integrated</w:t>
      </w:r>
    </w:p>
    <w:p>
      <w:pPr>
        <w:jc w:val="both"/>
        <w:ind w:left="300" w:right="299"/>
        <w:spacing w:after="0" w:line="236" w:lineRule="auto"/>
        <w:rPr>
          <w:sz w:val="20"/>
          <w:szCs w:val="20"/>
          <w:color w:val="auto"/>
        </w:rPr>
      </w:pPr>
      <w:r>
        <w:rPr>
          <w:rFonts w:ascii="Times New Roman" w:cs="Times New Roman" w:eastAsia="Times New Roman" w:hAnsi="Times New Roman"/>
          <w:sz w:val="18"/>
          <w:szCs w:val="18"/>
          <w:color w:val="auto"/>
        </w:rPr>
        <w:t>marketing campaigns, such as our work each year on April 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(“420”), to local, on-the ground events in partnership with brands and retailers like Jack in the Box. While many traditional paid channels are still not available to cannabis industry brands (Google search and some social platforms for example) we have an evolving playbook of tactics to acquire new users that includes a combination of targeted out-of-home, programmatic display, and affiliate marketing campaigns. We augment our paid efforts with social media and SEO tactics to drive organic traffic. To engage and retain existing users, we apply lifecycle tactics, leveraging our first party data to personalize touch points based on user interests.</w:t>
      </w:r>
    </w:p>
    <w:p>
      <w:pPr>
        <w:spacing w:after="0" w:line="93"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2023, our marketing function continued to focus on ways to drive greater adoption of our platform through new and innovative tactics such as in-app promotions and shopping tools, and self-help chat bots. Given the strength of our brand, we have continued to see strength in the performance of our marketing tactics in what can be a crowded market, easing the acquisition or upsell process for our sales team.</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Social Impact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To support the growth of an inclusive cannabis industry, we participate in policy panels and organize educational sessions to educate attendees about the importance of social equity programs and other policy initiatives that are designed to ensure the ability of people of color and those impacted by the war on drugs to participate in the legal cannabis markets that are opening (i.e. social equity licensing programs). We have drafted white papers and mock legislative provisions that were designed to support the enactment of social equity licensing programs and have advocated for state and local governments to enact social equity licensing programs. We have established a program, WM Teal, which stands for “Together for Equity Access and Legislation,” through which we provide free software, advertising, educational materials and training programs to applicants or licenses under social equity licensing programs.</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Product Development</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product development efforts focus on adding new features and solutions to our platform, as well as increasing the functionality and enhancing the ease of use of our platform. While we expect product development costs to increase as we continue to increase the functionality of our platform, we expect the percentage of total revenues represented by such costs to remain unchanged.</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intellectual property and proprietary rights are valuable assets that are important to our business. In our efforts to safeguard our intellectual property, including copyrights, trade secrets, trademarks, patents and other forms of intellectual property rights, we rely on a combination of federal, state, common law and international rights in the jurisdictions in which we operate.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6" w:name="page87"/>
    <w:bookmarkEnd w:id="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have an ongoing trademark and service mark registration program pursuant to which we register our brand names, taglines and logos in the United States, Canada, the European Union and other jurisdictions to the extent we determine they are appropriate and cost-effective.</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As of June 30, 2024, we hold a variety of trademark registrations in the United States, Canada, Japan, the European Union, the United Kingdom, Mexico and Australia.</w:t>
      </w:r>
    </w:p>
    <w:p>
      <w:pPr>
        <w:spacing w:after="0" w:line="5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to our numerous trademark applications and registrations, we have United States copyright registrations for our weedmaps.com website, “Grow One,” and two versions of our Lab API documentation. Further, we own several domain names, including: weedmaps.com, marijuana.com, cannabis.com, wmpolicy.com, themuseumofweed.com, wm-retail.com, wmforbusiness.com and WM.store. Our trademarks and domain names are material to our business and brand identity.</w:t>
      </w:r>
    </w:p>
    <w:p>
      <w:pPr>
        <w:spacing w:after="0" w:line="7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also rely on non-disclosure agreements, invention assignment agreements, intellectual property assignment agreements, or license agreements with employees, independent contractors, consumers, software providers and other third parties, which protect and limit access to and use of our proprietary intellectual property.</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Though we rely, in part, upon these legal and contractual protections, we believe that factors such as the skills and ingenuity of our employees, as well as the functionality and frequent enhancements to our platform are larger contributors to our success in the marketplace.</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Circumstances outside our control could pose a threat to our intellectual property rights. For more information, see the section entitled “Risk Factors—Risks Related to our Business and Industry.”</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ind w:left="300" w:right="299"/>
        <w:spacing w:after="0"/>
        <w:rPr>
          <w:sz w:val="20"/>
          <w:szCs w:val="20"/>
          <w:color w:val="auto"/>
        </w:rPr>
      </w:pPr>
      <w:r>
        <w:rPr>
          <w:rFonts w:ascii="Times New Roman" w:cs="Times New Roman" w:eastAsia="Times New Roman" w:hAnsi="Times New Roman"/>
          <w:sz w:val="18"/>
          <w:szCs w:val="18"/>
          <w:color w:val="auto"/>
        </w:rPr>
        <w:t>The cannabis industry has certain industry holidays that in recent years have resulted in increased purchases by cannabis consumers. Such “holidays” include, but are not limited to 420, July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and the Wednesday before Thanksgiving. Likewise, our clients will typically increase spend heading into these events. We also typically invest in marketing spend around these holidays which can create some seasonality in our sales and market expenses from quarter to quarter.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People Operations and Human Capital Resources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As of September 30, 2024, we had 427 full-time employees and 16 temporary employees, including 182 in engineering, product and design, 177 in sales and marketing and 84 in general and administrative. Of these employees, 436 are located in the United States and 7 are located in Canada.</w:t>
      </w:r>
    </w:p>
    <w:p>
      <w:pPr>
        <w:spacing w:after="0" w:line="6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believe that being able to attract and retain top talent is both a strategic advantage for us and necessary to realize our mission of powering a transparent and inclusive global cannabis economy. Our position as a leading technology provider to the cannabis industry helps us attract high caliber candidates who are technically skilled and passionate about our mission and products. We devote substantial resources to this task. Our dedicated, best-in-class Talent Acquisition team is focused on finding and attracting diverse and capable talent, and our People &amp; Workplace team is focused on making us a world class employer of choice for that talent once they get here. None of our employees are represented by a labor union or covered by collective bargaining agreements and we have not experienced any work stoppages.</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Numerous countries and territories have moved in recent years to regulate and tax cannabis, particularly medical cannabis. Most of these jurisdictions present complex regulatory regimes that require licensed operators to comply with substantial reporting, testing, packaging, distribution and security requirements.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United States and Territories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Notwithstanding the trend toward further state legalization, the U.S. government continues to categorize cannabis as a prohibited controlled substance, and accordingly the cultivation, processing, distribution, sale, advertisement of sale and possession by our customers violate federal law, as discussed further in the sections entitled “Risk Factors —Risks Related to our Business and Industry.”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7" w:name="page88"/>
    <w:bookmarkEnd w:id="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On January 4, 2018, then U.S. Attorney General Jeff Sessions issued a memorandum for all U.S. Attorneys (the “Sessions Memo”) rescinding certain past DOJ memoranda on cannabis law enforcement, including the Cole Memo. Describing the criminal enforcement of federal cannabis prohibitions against those complying with state cannabis regulatory systems as an inefficient use of federal investigative and prosecutorial resources, the Cole Memo gave federal prosecutors discretion not to prosecute state law compliant cannabis companies in states that were regulating cannabis, unless one or more of eight federal priorities were implicated, including use of cannabis by minors, violence, or the use of federal lands for cultivation. The Sessions Memo, which remains in effect, states that each U.S. Attorney’s Office should follow established principles that govern all federal prosecutions when deciding which cannabis activities to prosecute.</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Since 2014, versions of the U.S. omnibus spending bill have included a provision prohibiting the DOJ, which includes the Drug Enforcement Administration (“DEA”), from using appropriated funds to prevent states from implementing their medical-use cannabis laws. Federal courts have held that the provision prohibits the DOJ from spending funds to prosecute individuals who engage in conduct permitted by state medical-use cannabis laws and who strictly comply with such laws.</w:t>
      </w:r>
    </w:p>
    <w:p>
      <w:pPr>
        <w:spacing w:after="0" w:line="75"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Despite the Sessions Memo, the U.S. government has not prioritized the enforcement of those laws against cannabis companies complying with state law and their vendors, and has not since 2014. No reversal of that policy of prosecutorial discretion is expected under a Biden administration given his actions on cannabis to date, and the statements of Attorney General Merrick Garland on the subject, although prosecutions against state-legal entities cannot be ruled out entirely at this time. During his campaign, President Biden promised federal reform on cannabis, including decriminalization generally and has made history in several impactful ways. First, in 2022, President Biden signed into law the “Medical Marijuana and Cannabidiol Research Expansion Act,” a bill aimed at easing restrictions on cannabis research — bipartisan legislation which is the first standalone cannabis reform bill to pass both the House and Senate. Additionally, on October 6, 2022, President Biden issued a presidential proclamation pardoning federal convictions for simple marijuana possession offenses, encouraging state governors to do the same on the state level where permissible, and requesting that the Secretary of Health and Human Services and the Attorney General initiate an administrative process to review cannabis’s Schedule I classification under the CSA. On August 29, 2023, HHS issued a letter to the DEA recommending that cannabis be reclassified as a Schedule III controlled substance under the CSA. On May 16, 2024, President Joe Biden announced that his administration is officially moving to reclassify cannabis from a Schedule I to a Schedule III controlled substance under the CSA. There will then be a 60-day public comment period before the rule is potentially finalized. If this move is confirmed, it would be a momentous change whose full implications are currently unknown. The DEA’s decision to reclassify cannabis would neither legalize nor likely eliminate current state cannabis program. If placed under Schedule III, cannabis will cannabis will remain a controlled substance and state-legal programs will continue to operate outside of federally legal channels in their distribution of the substance particularly because no state operator holds a DEA registration to possess or distribute cannabis. One notable impact for our clients is that rescheduling cannabis to Schedule III would remove the various tax-related hindrances tied to IRS code section 280E, and cannabis-related businesses (whether involved in medical or adult-use cannabis) would finally be able to take advantage of all applicable deductions and credits on their business taxes that other businesses enjoy. However, some fear that the DEA or FDA may impose additional requirements or begin to target enforcement on state cannabis programs. In the unlikely event that the federal government were to reverse its long-standing hands-off approach to the state legal cannabis markets and start more broadly enforcing federal law regarding cannabis, we would likely be unable to execute our business plan, and our business and financial results would be adversely affected.</w:t>
      </w:r>
    </w:p>
    <w:p>
      <w:pPr>
        <w:spacing w:after="0" w:line="9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U.S. Attorney General, Merrick Garland, is expected to not interfere with cannabis businesses operating in compliance with states’ laws. During his confirmation hearing before the U.S. Senate, Judge Garland testified that prosecuting state-legal cannabis companies would not be a “useful use of limited resources.” In April, 2022, Attorney General Garland reiterated that prosecuting the possession of cannabis is “not an efficient use” of federal resources, especially “given the ongoing opioid and methamphetamine epidemic[s]” facing the nation. On March 1, 2023, Attorney General Garland confirmed that his Department is continuing work on a new cannabis enforcement guidance, which he states would be “very close to what was done in the Cole memorandum.” Although any such guidance issued would not have the force of law, and could not be enforced by the courts, such a guidance would likely mean that the status quo of federal non-enforcement is likely to continue for the foreseeable future.</w:t>
      </w:r>
    </w:p>
    <w:p>
      <w:pPr>
        <w:spacing w:after="0" w:line="80"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Members of the U.S. Congress from both parties have introduced bills to end the federal cannabis prohibition, by de-scheduling cannabis completely and regulating it. In addition to broader reforms, this session has seen additional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8" w:name="page89"/>
    <w:bookmarkEnd w:id="8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incremental reform bills that aim to increase research, cement medical cannabis patients’ rights, or facilitate state-legal cannabis. While the timing of federal reform remains unknown, it is expected that federal policy on cannabis will continue becoming more, rather than less, permissive and legislative efforts to legalize cannabis or cannabis banking at the national level are likely to progress in 2024.</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Some of our retail clients sell products with hemp-derived cannabinoids, including CBD. In December 2018, the U.S. government removed hemp and extracts of hemp from the CSA schedules through the Agriculture Improvement Act of 2018, Pub. L. 115-334. Accordingly, the production, sale and possession of hemp or extracts of hemp, including certain CBD products, no longer violate the CSA. The states have implemented a patchwork of different laws on hemp and its extracts. Additionally, the Food &amp; Drug Administration (“FDA”) claims that the Food, Drugs &amp; Cosmetics Act significantly limits the legality of certain hemp-derived CBD products. In January 2023, FDA affirmed that the agency will not compromise—or create new standards—in evaluating or permitting cannabis or cannabinoid compounds and products, and particularly cannabidiol (“CBD”), indicating that Congress must take action to end the stalemate between federal and state laws and the purgatory of FDA selective enforcement. While enforcement regarding hemp-derived products has generally been limited, changes in enforcement priorities or further federal regulations could negatively impact our clients that sell such products, which could adversely impact our business, operating results, financial condition, brand and reputation.</w:t>
      </w:r>
    </w:p>
    <w:p>
      <w:pPr>
        <w:spacing w:after="0" w:line="8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have been neither a defendant in a criminal action nor the subject of a civil or regulatory enforcement proceeding, prosecuted by a U.S. governmental authority based on our provision of products and solutions to the cannabis industry. Furthermore, we believe that Section 230 provides immunity from civil and state criminal liability to internet service provider intermediaries in the United States, such as us, for content provided on their platforms that they did not create or develop. We do not create or develop the information that appears on our clients’ listing pages and other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website, such as WM News and WM Learn. All of these sections are general news and information, and none of these sections are advertisements for, or listing pages of, cannabis businesses. For additional information about Section 230, see the sections entitled “Business—Overview” and “Risk Factors—Risks Related to our Business and Industry.”</w:t>
      </w:r>
    </w:p>
    <w:p>
      <w:pPr>
        <w:spacing w:after="0" w:line="8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clients are subject to licensing and related requirements under applicable laws and regulations, and our own compliance policies, and some of our clients currently and in the future may not be in compliance with all such requirements. Currently, we require all cannabis retailers on Weedmaps to display a valid, unexpired state-issued license number on their listing. We have a dedicated Policy &amp; Compliance Operations team that reviews license information, both on submission and on an ongoing basis, to ensure validity and accuracy. For certain Weedmaps products or services, we may request additional verification and documentation. Additionally, we require contractual representations and warranties from our clients that they are complying with state law. If, despite our policies to verify state-licensure, unlicensed or noncompliant businesses are able to access our products, it could subject us to legal or regulatory enforcement and negative publicity, which could adversely impact our business, operating results, financial condition, brand and reputation.</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Medical cannabis has been legal in Canada since 1999 through various regulatory regimes. On October 17, 2018, the Cannabis Act (Canada) came into force. The Cannabis Act governs both the medical and the regulated adult-use markets in Canada. Prior to October 17, 2018, legal access to and use of medical cannabis in Canada was regulated under the Controlled Drugs and Substances Act and the associated Access to Cannabis for Medical Purposes Regulations (“ACMPR”). Under the Cannabis Act, holders of licenses to cultivate and/or process cannabis are also permitted to supply cannabis under their existing licenses obtained pursuant to the ACMPR to the regulated adult-use market.</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Rest of the World</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Legalized cannabis is expanding in other parts of the world with countries adopting varying degrees of legalization or decriminalization. We do not yet regard these countries as viable marketplaces for our products, though we have ongoing tests of a small number of listings in several markets where listings are legally permissible.</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information set forth under “Commitments and Contingencies—Litigation” in Note 4 of the notes to the unaudited condensed consolidated financial statements included in this prospectus are incorporated by reference.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9" w:name="page90"/>
    <w:bookmarkEnd w:id="8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 xml:space="preserve">On October 17, 2024, a putative shareholder class action complaint, captioned </w:t>
      </w:r>
      <w:r>
        <w:rPr>
          <w:rFonts w:ascii="Times New Roman" w:cs="Times New Roman" w:eastAsia="Times New Roman" w:hAnsi="Times New Roman"/>
          <w:sz w:val="18"/>
          <w:szCs w:val="18"/>
          <w:i w:val="1"/>
          <w:iCs w:val="1"/>
          <w:color w:val="auto"/>
        </w:rPr>
        <w:t>Seret Ishak v. WM Technology, Inc. 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w:t>
      </w:r>
      <w:r>
        <w:rPr>
          <w:rFonts w:ascii="Times New Roman" w:cs="Times New Roman" w:eastAsia="Times New Roman" w:hAnsi="Times New Roman"/>
          <w:sz w:val="18"/>
          <w:szCs w:val="18"/>
          <w:color w:val="auto"/>
        </w:rPr>
        <w:t>., No. 2:24-cv-08959, was filed in the U.S. District Court for the Central District of California, naming us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former and current officers and/or directors of the Company and Silver Spike Acquisition Corp. (“Silver Spike”) as defendants. The lawsuit alleges that we made material misrepresentations and/or omissions of material fact relating to historical public reporting of MAUs in violation of Sections 10(b) and 20(a) of the Exchange Act and Rule 10b-5 promulgated thereunder. The putative class action is brought on behalf of persons or entities who purchased or otherwise acquired our securities between May 25, 2021, and September 24, 2024, inclusive, and seeks unspecified monetary damages on behalf of the putative class and an award of costs and expenses, including attorney’s fees.</w:t>
      </w:r>
    </w:p>
    <w:p>
      <w:pPr>
        <w:spacing w:after="0" w:line="1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At this early stage of the proceedings, we are unable to make any prediction regarding the outcome of the litigation.</w:t>
      </w:r>
    </w:p>
    <w:p>
      <w:pPr>
        <w:spacing w:after="0" w:line="11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As previously disclosed, in the second quarter of 2022, our board of directors received an internal complaint regarding the calculation, definition and reporting of our monthly active users (“MAUs”) metric. In response, our board of directors formed a special committee of independent directors to conduct an internal investigation with the assistance of outside counsel. As a result of the findings of that internal investigation, we provided certain additional information regarding the growth and nature of our previously-reported MAUs in our Quarterly Report on Form 10-Q for the quarter ended June 30, 2022 filed with the SEC on August 9, 2022. This investigation found no impact on our financial results under accounting principles generally accepted in the United States of America (“GAAP”) or the reporting or disclosure of any currently disclosed non-GAAP financial metric. As also previously reported, in the third quarter of 2022, we determined not to report MAUs going forward. In August 2022, our board of directors determined to voluntarily report the internal complaint and subsequent internal investigation to the SEC, following which the SEC’s Division of Enforcement commenced an investigation. We have been fully cooperating with that investigation.</w:t>
      </w:r>
    </w:p>
    <w:p>
      <w:pPr>
        <w:spacing w:after="0" w:line="8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also previously reported in the Current Report on Form 8-K filed on July 25, 2024, on July 22, 2024, we reached an agreement in principle with the SEC staff to resolve the SEC investigation with respect to the Company. Under the terms of the settlement, we consented, without admitting or denying the SEC’s findings, to the entry of an administrative cease-and-desist order finding violations of Sections 17(a)(2) and (3) of the Securities Act of 1933, as amended, Sections 13(a), and 14(a) of the Securities Exchange Act of 1934, as amended, and Rules 12b-20, 13a-1, 13a-11, 13a-13, and 14a-9 thereunder, and to pay a civil money penalty of $1.5 million. The settlement was approved by the SEC, and the administrative cease-and-desist order was entered in September 2024. We issued payment to the SEC, and it was received by the SEC, in October 2024. Accordingly, the SEC enforcement matter is concluded with respect to the Company.</w:t>
      </w:r>
    </w:p>
    <w:p>
      <w:pPr>
        <w:spacing w:after="0" w:line="8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Further, on November 8, 2024, a shareholder derivative action, captioned DeGennaro v. Francis, et. al, Case No. 8:24- cv-02454 was filed in the U.S. District Court for the Central District of California against certain members of our Board of Directors and certain former and current officers. The plaintiff purports to bring the action derivatively on behalf of the Company, and the Company is a nominal defendant in the action. The derivative complaint alleges, among other things, that the individual defendants authorized or permitted materially false statements and/or material omissions of fact relating to historical public reporting of MAUs. The derivative complaint asserts claims for violations of Section 10(b) of the Exchange Act as well as claims for breach of fiduciary duty, aiding and abetting breach of fiduciary duty, unjust enrichment, and waste of corporate assets. The derivative complaint seeks unspecified damages on behalf of the Company, disgorgement or restitution, corporate governance reforms, declaratory relief, and an award of costs and expenses to the derivative plaintiff, including attorneys’ fees.</w:t>
      </w:r>
    </w:p>
    <w:p>
      <w:pPr>
        <w:spacing w:after="0" w:line="86"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Further, on November 18, 2024, a shareholder derivative action, captioned Pearson v. Francis, et. al, Case No. 8:24-cv-02525 was filed in the U.S. District Court for the Central District of California against certain former and current members of our Board of Directors and certain former and current officers. The plaintiff purports to bring the action derivatively on behalf of the Company, and the Company is a nominal defendant in the action. The derivative complaint alleges, among other things, that the individual defendants authorized or permitted materially false statements and/or material omissions of fact relating to historical public reporting of MAUs and corporate governance matters. The derivative complaint asserts claims for violations of Sections 14(a) and for contribution under Sections 10(b) and 21D of the Exchange Act as well as claims for breach of fiduciary duty, unjust enrichment, abuse of control, gross mismanagement and waste of corporate assets. The derivative complaint seeks unspecified damages on behalf of the Company, corporate governance reforms, and an award of costs and expenses to the derivative plaintiff, including attorneys' fees.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0" w:name="page91"/>
    <w:bookmarkEnd w:id="9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Additionally, from time to time, we are involved in legal proceedings and subject to claims that arise in the ordinary course of business. Although the results of legal proceedings and claims cannot be predicted with certainty, to our knowledge we are not currently party to any legal proceedings which, if determined adversely to us, would individually or taken together have a material adverse effect on our business, operating results, cash flows or financial condition. We also pursue litigation to protect our legal rights and additional litigation may be necessary in the future to enforce our intellectual property and our contractual rights, to protect our confidential information or to determine the validity and scope of the proprietary rights of others.</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Internet address is www.weedmaps.com. Our investor relations website is located at https://ir.weedmaps.com. Our Annual Reports on Form 10-K, Quarterly Reports on Form 10-Q, Current Reports on Form 8-K and our Proxy Statements and any amendments to these reports, are available through our investor relations website, free of charge, after we file them with the SEC. We may from time to time provide important disclosures to investors by posting them in the investor relations section of our website, as allowed by SEC rules.</w:t>
      </w:r>
    </w:p>
    <w:p>
      <w:pPr>
        <w:spacing w:after="0" w:line="75"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SEC maintains an Internet website at www.sec.gov that contains reports, proxy and information statements and other information regarding our company that we file electronically with the SEC. The contents of our websites are not incorporated by reference into this prospectus or in any other report or document we file with the SEC, and any references to our websites are intended to be inactive textual references only.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1" w:name="page92"/>
    <w:bookmarkEnd w:id="9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our executive officers and directors as of November 29, 2024.</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4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50"/>
        </w:trPr>
        <w:tc>
          <w:tcPr>
            <w:tcW w:w="3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r>
      <w:tr>
        <w:trPr>
          <w:trHeight w:val="311"/>
        </w:trPr>
        <w:tc>
          <w:tcPr>
            <w:tcW w:w="3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540" w:type="dxa"/>
            <w:vAlign w:val="bottom"/>
            <w:tcBorders>
              <w:bottom w:val="single" w:sz="8" w:color="CCEEFF"/>
            </w:tcBorders>
            <w:shd w:val="clear" w:color="auto" w:fill="CCEEFF"/>
          </w:tcPr>
          <w:p>
            <w:pPr>
              <w:spacing w:after="0"/>
              <w:rPr>
                <w:sz w:val="24"/>
                <w:szCs w:val="24"/>
                <w:color w:val="auto"/>
              </w:rPr>
            </w:pPr>
          </w:p>
        </w:tc>
      </w:tr>
      <w:tr>
        <w:trPr>
          <w:trHeight w:val="27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Francis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tcPr>
          <w:p>
            <w:pPr>
              <w:spacing w:after="0"/>
              <w:rPr>
                <w:sz w:val="23"/>
                <w:szCs w:val="23"/>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4"/>
        </w:trPr>
        <w:tc>
          <w:tcPr>
            <w:tcW w:w="3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540" w:type="dxa"/>
            <w:vAlign w:val="bottom"/>
          </w:tcPr>
          <w:p>
            <w:pPr>
              <w:spacing w:after="0"/>
              <w:rPr>
                <w:sz w:val="4"/>
                <w:szCs w:val="4"/>
                <w:color w:val="auto"/>
              </w:rPr>
            </w:pPr>
          </w:p>
        </w:tc>
      </w:tr>
      <w:tr>
        <w:trPr>
          <w:trHeight w:val="304"/>
        </w:trPr>
        <w:tc>
          <w:tcPr>
            <w:tcW w:w="3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Susan Echard</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Borders>
              <w:bottom w:val="single" w:sz="8" w:color="CCEEFF"/>
            </w:tcBorders>
            <w:shd w:val="clear" w:color="auto" w:fill="CCEEFF"/>
          </w:tcPr>
          <w:p>
            <w:pPr>
              <w:spacing w:after="0"/>
              <w:rPr>
                <w:sz w:val="24"/>
                <w:szCs w:val="24"/>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00" w:type="dxa"/>
            <w:vAlign w:val="bottom"/>
          </w:tcPr>
          <w:p>
            <w:pPr>
              <w:spacing w:after="0"/>
              <w:rPr>
                <w:sz w:val="23"/>
                <w:szCs w:val="23"/>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Secretary</w:t>
            </w:r>
          </w:p>
        </w:tc>
      </w:tr>
      <w:tr>
        <w:trPr>
          <w:trHeight w:val="54"/>
        </w:trPr>
        <w:tc>
          <w:tcPr>
            <w:tcW w:w="3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540" w:type="dxa"/>
            <w:vAlign w:val="bottom"/>
          </w:tcPr>
          <w:p>
            <w:pPr>
              <w:spacing w:after="0"/>
              <w:rPr>
                <w:sz w:val="4"/>
                <w:szCs w:val="4"/>
                <w:color w:val="auto"/>
              </w:rPr>
            </w:pPr>
          </w:p>
        </w:tc>
      </w:tr>
      <w:tr>
        <w:trPr>
          <w:trHeight w:val="324"/>
        </w:trPr>
        <w:tc>
          <w:tcPr>
            <w:tcW w:w="3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540" w:type="dxa"/>
            <w:vAlign w:val="bottom"/>
            <w:shd w:val="clear" w:color="auto" w:fill="CCEEFF"/>
          </w:tcPr>
          <w:p>
            <w:pPr>
              <w:spacing w:after="0"/>
              <w:rPr>
                <w:sz w:val="24"/>
                <w:szCs w:val="24"/>
                <w:color w:val="auto"/>
              </w:rPr>
            </w:pPr>
          </w:p>
        </w:tc>
      </w:tr>
      <w:tr>
        <w:trPr>
          <w:trHeight w:val="27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540" w:type="dxa"/>
            <w:vAlign w:val="bottom"/>
          </w:tcPr>
          <w:p>
            <w:pPr>
              <w:spacing w:after="0"/>
              <w:rPr>
                <w:sz w:val="23"/>
                <w:szCs w:val="23"/>
                <w:color w:val="auto"/>
              </w:rPr>
            </w:pPr>
          </w:p>
        </w:tc>
      </w:tr>
      <w:tr>
        <w:trPr>
          <w:trHeight w:val="54"/>
        </w:trPr>
        <w:tc>
          <w:tcPr>
            <w:tcW w:w="3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540" w:type="dxa"/>
            <w:vAlign w:val="bottom"/>
          </w:tcPr>
          <w:p>
            <w:pPr>
              <w:spacing w:after="0"/>
              <w:rPr>
                <w:sz w:val="4"/>
                <w:szCs w:val="4"/>
                <w:color w:val="auto"/>
              </w:rPr>
            </w:pPr>
          </w:p>
        </w:tc>
      </w:tr>
      <w:tr>
        <w:trPr>
          <w:trHeight w:val="304"/>
        </w:trPr>
        <w:tc>
          <w:tcPr>
            <w:tcW w:w="3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Gordon</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tcBorders>
              <w:bottom w:val="single" w:sz="8" w:color="CCEEFF"/>
            </w:tcBorders>
            <w:shd w:val="clear" w:color="auto" w:fill="CCEEFF"/>
          </w:tcPr>
          <w:p>
            <w:pPr>
              <w:spacing w:after="0"/>
              <w:rPr>
                <w:sz w:val="24"/>
                <w:szCs w:val="24"/>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Bay</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100" w:type="dxa"/>
            <w:vAlign w:val="bottom"/>
          </w:tcPr>
          <w:p>
            <w:pPr>
              <w:spacing w:after="0"/>
              <w:rPr>
                <w:sz w:val="23"/>
                <w:szCs w:val="23"/>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54"/>
        </w:trPr>
        <w:tc>
          <w:tcPr>
            <w:tcW w:w="3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540" w:type="dxa"/>
            <w:vAlign w:val="bottom"/>
          </w:tcPr>
          <w:p>
            <w:pPr>
              <w:spacing w:after="0"/>
              <w:rPr>
                <w:sz w:val="4"/>
                <w:szCs w:val="4"/>
                <w:color w:val="auto"/>
              </w:rPr>
            </w:pPr>
          </w:p>
        </w:tc>
      </w:tr>
      <w:tr>
        <w:trPr>
          <w:trHeight w:val="304"/>
        </w:trPr>
        <w:tc>
          <w:tcPr>
            <w:tcW w:w="3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Tony Aquila</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Borders>
              <w:bottom w:val="single" w:sz="8" w:color="CCEEFF"/>
            </w:tcBorders>
            <w:shd w:val="clear" w:color="auto" w:fill="CCEEFF"/>
          </w:tcPr>
          <w:p>
            <w:pPr>
              <w:spacing w:after="0"/>
              <w:rPr>
                <w:sz w:val="24"/>
                <w:szCs w:val="24"/>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Brenda Freeman</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Pr>
          <w:p>
            <w:pPr>
              <w:spacing w:after="0"/>
              <w:rPr>
                <w:sz w:val="23"/>
                <w:szCs w:val="23"/>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54"/>
        </w:trPr>
        <w:tc>
          <w:tcPr>
            <w:tcW w:w="3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540" w:type="dxa"/>
            <w:vAlign w:val="bottom"/>
          </w:tcPr>
          <w:p>
            <w:pPr>
              <w:spacing w:after="0"/>
              <w:rPr>
                <w:sz w:val="4"/>
                <w:szCs w:val="4"/>
                <w:color w:val="auto"/>
              </w:rPr>
            </w:pPr>
          </w:p>
        </w:tc>
      </w:tr>
      <w:tr>
        <w:trPr>
          <w:trHeight w:val="304"/>
        </w:trPr>
        <w:tc>
          <w:tcPr>
            <w:tcW w:w="3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Olga Gonzalez</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tcBorders>
              <w:bottom w:val="single" w:sz="8" w:color="CCEEFF"/>
            </w:tcBorders>
            <w:shd w:val="clear" w:color="auto" w:fill="CCEEFF"/>
          </w:tcPr>
          <w:p>
            <w:pPr>
              <w:spacing w:after="0"/>
              <w:rPr>
                <w:sz w:val="24"/>
                <w:szCs w:val="24"/>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Glen Ibbott</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Pr>
          <w:p>
            <w:pPr>
              <w:spacing w:after="0"/>
              <w:rPr>
                <w:sz w:val="23"/>
                <w:szCs w:val="23"/>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-2451100</wp:posOffset>
            </wp:positionV>
            <wp:extent cx="603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-2451100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i w:val="1"/>
          <w:iCs w:val="1"/>
          <w:color w:val="auto"/>
        </w:rPr>
        <w:t>Douglas Francis</w:t>
      </w:r>
      <w:r>
        <w:rPr>
          <w:rFonts w:ascii="Times New Roman" w:cs="Times New Roman" w:eastAsia="Times New Roman" w:hAnsi="Times New Roman"/>
          <w:sz w:val="18"/>
          <w:szCs w:val="18"/>
          <w:color w:val="auto"/>
        </w:rPr>
        <w:t>. Mr. Francis, age 47, was appointed as the Company’s Chief Executive Officer on November 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Mr. Francis has served as a member of the Board since June 2021, and as Chair since August 2022. Mr. Francis is a co-founder of WM Holding Company, LLC (when referred to in its pre-Business Combination capacity, “Legacy WMH”), and served as Chairperson of Legacy WMH’s board of managers from March 2019 to June 2021 and as a member of Legacy WMH’s board of managers prior to that. Mr. Francis previously served as Legacy WMH’s Chief Executive Officer from February 2016 until March 2019 and as Legacy WMH’s President from January 2009 to February 2016. Mr. Francis has served in management positions in each of Legacy WMH’s current subsidiaries. Mr. Francis holds a B.S. in Business Administration and Management from Chapman University.</w:t>
      </w:r>
    </w:p>
    <w:p>
      <w:pPr>
        <w:spacing w:after="0" w:line="30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Susan Echard</w:t>
      </w:r>
      <w:r>
        <w:rPr>
          <w:rFonts w:ascii="Times New Roman" w:cs="Times New Roman" w:eastAsia="Times New Roman" w:hAnsi="Times New Roman"/>
          <w:sz w:val="18"/>
          <w:szCs w:val="18"/>
          <w:color w:val="auto"/>
        </w:rPr>
        <w:t>. Ms. Echard, age 60, has served as Chief Financial Officer since February 2024. Since February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Ms. Echard has been a Partner of SeatonHill Partners, LP (“SeatonHill”) a leading national CFO services firm that also offers project based financial leadership. While serving as a partner at SeatonHill, Ms. Echard served from June 2021 to June 2023 as CFO for Direct Digital Holdings, an online solutions provider in digital marketing &amp; advertising. Prior to that, from April 2019 to February 2021, Ms. Echard served as CFO for Trinity Capital Investment, a venture debt and equipment financing provider to growth-stage companies, and, in such capacity, was responsible for all aspects of the firm’s financial matters, investor relations, legal and human resource management. Prior to joining Trinity, Ms. Echard served as the Chief Financial Officer at CUBEX LLC, a medical, dental and veterinary inventory management company, from January 2017 to February 2019. Ms. Echard is an accomplished executive with over 35 years’ experience, both domestic and international, within Big Four and CFO roles. Ms. Echard has a Bachelor of Business Administration degree in accounting from the University of Michigan-Flint.</w:t>
      </w:r>
    </w:p>
    <w:p>
      <w:pPr>
        <w:spacing w:after="0" w:line="84"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i w:val="1"/>
          <w:iCs w:val="1"/>
          <w:color w:val="auto"/>
        </w:rPr>
        <w:t>Brian Camire</w:t>
      </w:r>
      <w:r>
        <w:rPr>
          <w:rFonts w:ascii="Times New Roman" w:cs="Times New Roman" w:eastAsia="Times New Roman" w:hAnsi="Times New Roman"/>
          <w:sz w:val="18"/>
          <w:szCs w:val="18"/>
          <w:color w:val="auto"/>
        </w:rPr>
        <w:t>. Mr. Camire, age 45, has served as our General Counsel and Secretary since June 2021. Mr. Camire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Legacy WMH’s General Counsel from May 2019 to June 2021. Prior to joining Legacy WMH, Mr. Camire served as Associate General Counsel of Snap Inc. from May 2016 until April 2019 and as Corporate Counsel from March 2015 to May 2016. From January 2011 to February 2015, Mr. Camire worked as an associate attorney at Cooley LLP. Mr. Camire holds a B.A. in Mathematics from Northwestern University and a J.D. from the University of Michigan Law School.</w:t>
      </w:r>
    </w:p>
    <w:p>
      <w:pPr>
        <w:spacing w:after="0" w:line="2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i w:val="1"/>
          <w:iCs w:val="1"/>
          <w:color w:val="auto"/>
        </w:rPr>
        <w:t>Scott Gordon</w:t>
      </w:r>
      <w:r>
        <w:rPr>
          <w:rFonts w:ascii="Times New Roman" w:cs="Times New Roman" w:eastAsia="Times New Roman" w:hAnsi="Times New Roman"/>
          <w:sz w:val="18"/>
          <w:szCs w:val="18"/>
          <w:color w:val="auto"/>
        </w:rPr>
        <w:t>. Mr. Gordon, age 63, has served as a member of the Board since June 2021. Mr. Gordon has held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dual roles of Chief Executive Officer and Chairperson of the board of directors of Silver Spike Investment Corp. since its founding. Similarly, he served in the same capacities for Silver Spike Acquisition Corp. from its inception until June 2021.Mr. Gordon is the co-founder and since 2016 has been the Chairperson of Egg Rock Holdings, parent company of the Papa &amp; Barkley family of cannabis products with related subsidiary assets in manufacturing,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2" w:name="page93"/>
    <w:bookmarkEnd w:id="9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processing, and logistics. Egg Rock Holdings also is the parent company of Papa &amp; Barkley Essentials, a hemp-derived CBD business based in Colorado. From 2016 to 2018, Mr. Gordon was also President of Fintech Advisory Inc., investment manager for a multibillion dollar family office fund focused on long-term and opportunistic investments in emerging markets. From 2013 to 2016, Mr. Gordon served as a Portfolio Manager at Taconic Capital Advisors, a multi-strategy investment firm. Prior to joining Taconic, Mr. Gordon was a Partner and Portfolio Manager at Caxton Associates from 2009 to 2012. He was also a Senior Managing Director and Head of Emerging Markets at Marathon Asset Management from 2007 to 2009. Earlier in his career, Mr. Gordon also held leadership positions at Bank of America and ING Capital. Mr. Gordon was a founding member of the Emerging Markets business at JP Morgan where he worked upon graduating from Bowdoin College in 1983.</w:t>
      </w:r>
    </w:p>
    <w:p>
      <w:pPr>
        <w:spacing w:after="0" w:line="78"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i w:val="1"/>
          <w:iCs w:val="1"/>
          <w:color w:val="auto"/>
        </w:rPr>
        <w:t>Anthony Bay</w:t>
      </w:r>
      <w:r>
        <w:rPr>
          <w:rFonts w:ascii="Times New Roman" w:cs="Times New Roman" w:eastAsia="Times New Roman" w:hAnsi="Times New Roman"/>
          <w:sz w:val="18"/>
          <w:szCs w:val="18"/>
          <w:color w:val="auto"/>
        </w:rPr>
        <w:t>. Mr. Bay, age 69, has served as a member of the Board since March 2022. Prior to joining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Bay served on three public boards, including two as Chairman as well as numerous private boards. Since September 2019, Mr. Bay has served as the Founder and Chief Executive Officer of Techquity, a technology advisory firm helping innovative companies leverage software and cloud operations to scale faster with less risk. From 2013 to 2016, he served as Chief Executive Officer of Rdio, a leading global music subscription streaming service with over 70 million registered users and 14 million active users. In November 2015, Rdio filed for Chapter 11 bankruptcy relief as a condition of its sale to Pandora. Prior to Rdio, Mr. Bay served as a Vice President and Global head for Digital Video for Amazon from 2011 to 2013, responsible for all aspects of the company’s Digital Video and streaming business globally. During his eight year tenure at Microsoft, Mr. Bay was Corporate Vice President and General Manager of Microsoft’s Digital Media Division and a member of Microsoft’s executive staff. Prior to that, Mr. Bay was General Manager of Microsoft’s Commercial Systems Division, responsible for developing core components of Microsoft’s Internet services platform, including ISP/carrier infrastructure, website development and eCommerce. Mr. Bay joined Microsoft as part of the MSN management team in 1994, eventually overseeing all MSN development and production systems. From 1986 to 1994, Mr. Bay also worked at Apple Computer in various product leadership roles, including three years at Apple’s European headquarters in Paris. Mr. Bay holds an MBA from San Jose State University and undergraduate degree in Economics from the University of California, Los Angeles.</w:t>
      </w:r>
    </w:p>
    <w:p>
      <w:pPr>
        <w:spacing w:after="0" w:line="8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i w:val="1"/>
          <w:iCs w:val="1"/>
          <w:color w:val="auto"/>
        </w:rPr>
        <w:t>Tony Aquila</w:t>
      </w:r>
      <w:r>
        <w:rPr>
          <w:rFonts w:ascii="Times New Roman" w:cs="Times New Roman" w:eastAsia="Times New Roman" w:hAnsi="Times New Roman"/>
          <w:sz w:val="18"/>
          <w:szCs w:val="18"/>
          <w:color w:val="auto"/>
        </w:rPr>
        <w:t>. Mr. Aquila, age 60, has served as a member of the Board since June 2021. Since April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Aquila has served as the Chief Executive Officer of Canoo, Inc., a mobility technology company, and as the Executive Chairman of the Board of Canoo since December 2020. In June 2019, Mr. Aquila founded AFV Partners, an affirmative low-leverage capital vehicle that invests in long-term mission critical software, data and technology businesses and has served as its Chairperson and Chief Executive Officer since its founding. In 2005, Mr. Aquila founded Solera Holdings Inc., and led it as Chairperson and Chief Executive Officer to a $1 billion initial public offering in 2007, and in the following years sourced and executed over 50 acquisitions significantly expanding Solera’s total addressable market. Mr. Aquila oversaw Solera’s $6.5 billion transaction from a public-to-private business in 2016. Mr. Aquila has also served as a member of the Arkansas Council on Future Mobility since February 2022 and as a member of the board of directors of The Lost Explorer Mezcal Company, a sustainable producer and distributor of handcrafted mezcal, since May 2021. Furthermore, Mr. Aquila currently serves as the Chairperson for Aircraft Performance Group, LLC, a global provider of mission critical flight operations software, since January 2020, RocketRoute Limited, a global aviation services company, since March 2020, and APG Avionics LLC, an aviation data and software company for the general aviation market, since September 2020. From November 2018 to July 2020, Mr. Aquila served as the Global Chairperson of Sportradar Group, a sports data and content company. Mr. Aquila has also served as a director of Guardianship Services Inc., a nonprofit organization providing guardianship and support services to at-risk adults in Tarrant County, Texas since October 2020.</w:t>
      </w:r>
    </w:p>
    <w:p>
      <w:pPr>
        <w:spacing w:after="0" w:line="8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Brenda Freeman</w:t>
      </w:r>
      <w:r>
        <w:rPr>
          <w:rFonts w:ascii="Times New Roman" w:cs="Times New Roman" w:eastAsia="Times New Roman" w:hAnsi="Times New Roman"/>
          <w:sz w:val="18"/>
          <w:szCs w:val="18"/>
          <w:color w:val="auto"/>
        </w:rPr>
        <w:t>. Ms. Freeman, age 60, has served as a member of the Board since June 2021. Ms. Freeman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founded and has served as President of Joyeux Advisory Group LLC, a firm providing advisory services to early-stage startups and Fortune 500 companies, since January 2018. Since April 2021 Ms. Freeman has also served as a partner of Debut Capital. Ms. Freeman previously served as Chief Brand Officer of Wunderkind Corporation, a company that creates personalized marketing solutions, from April 2020 through March 2023. Prior to that, Ms. Freeman served as Chief Executive Officer for Arteza, Inc., a direct-to-consumer arts and crafts manufacturing and supply company from February 2020 to February 2021. From March 2016 to December 2018, Ms. Freeman was Chief Marketing Officer of Magic Leap, Inc., a virtual reality technology company, and from December 2018 to April 2019 was Senior Advisor to the Chief Executive Officer. From March 2015 to March 2016, Ms. Freeman served as Chief Marketing Officer of National Geographic Channel, a television network and channel. Prior to that, Ms. Freeman served as Chief Marketing Officer at Turner Broadcasting Systems, Inc. and was Vice President, television marketing at DreamWorks Animation SKG Inc. Ms. Freeman has been a member of the boards of directors of Blue Apron Holdings, Inc. since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3" w:name="page94"/>
    <w:bookmarkEnd w:id="9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October 2020 (which became privately owned in November 2023), of Caleres, Inc. since April 2017 and of Avnet, Inc. since November 2018. Ms. Freeman previously served on the board of directors of Herman Miller, Inc. from January 2016 to June 2019 and on the board of directors of RTW Retailwinds, Inc. from April 2019 to April 2020. Ms. Freeman holds a B.S. degree in chemical engineering and an M.B.A degree from the University of Maryland.</w:t>
      </w:r>
    </w:p>
    <w:p>
      <w:pPr>
        <w:spacing w:after="0" w:line="7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Olga Gonzalez</w:t>
      </w:r>
      <w:r>
        <w:rPr>
          <w:rFonts w:ascii="Times New Roman" w:cs="Times New Roman" w:eastAsia="Times New Roman" w:hAnsi="Times New Roman"/>
          <w:sz w:val="18"/>
          <w:szCs w:val="18"/>
          <w:color w:val="auto"/>
        </w:rPr>
        <w:t>. Ms. Gonzalez, age 58, has served as a member of the Board since June 2021. Since April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Ms. Gonzalez has served as CEO and President of Wild Fork USA. Prior to that, from April 2022 to April 2023 and January 2021 to April 2022, Ms. Gonzalez served as Global COO and Global Business Leader, respectively, for Wild Fork Foods, an online specialty food service. Prior to that, Ms. Gonzalez held various leadership positions at Walmart Inc., including Senior Vice President and Chief Financial Officer at Walmart México y Centroamérica from July 2017 to April 2020, Vice President Commercial &amp; Operations Finance at Walmart México y Centroamérica from October 2014 to June 2017, Chief Financial Officer at Walmart Chile from 2011 to 2014, and Vice President, Internal Audit Services Latin America at Walmart US from 2010 to 2011. Previously, Ms. Gonzalez had served as Director, Internal Audit at General Motors Company from 2006 to 2010 and from 1996 to 2004, Vice President, Enterprise Risk and Assurance Services at the American Express Company from 2004 to 2006, and Internal Audit at Banco Santander from 1989 to 1996. Ms. Gonzalez holds a Bachelor of Business Administration degree from Pontificia Universidad Católica de Puerto Rico and an M.B.A. from Florida International University.</w:t>
      </w:r>
    </w:p>
    <w:p>
      <w:pPr>
        <w:spacing w:after="0" w:line="8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i w:val="1"/>
          <w:iCs w:val="1"/>
          <w:color w:val="auto"/>
        </w:rPr>
        <w:t>Glenn Ibbot</w:t>
      </w:r>
      <w:r>
        <w:rPr>
          <w:rFonts w:ascii="Times New Roman" w:cs="Times New Roman" w:eastAsia="Times New Roman" w:hAnsi="Times New Roman"/>
          <w:sz w:val="18"/>
          <w:szCs w:val="18"/>
          <w:color w:val="auto"/>
        </w:rPr>
        <w:t>. Mr. Ibbott, age 62, has served as a member of the Board since October 2024. Since February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Ibbott has served as the founder of GK Financial Ventures, a financial consulting company. From May 2017 to February 2024, Mr. Ibbott served as the Chief Financial Officer of Aurora Cannabis Inc., a Nasdaq and TSX-listed global cannabis company. From 2015 to 2017, Mr. Ibbott served as the Chief Financial Officer of QLT Inc., a Nasdaq and TSX-listed biotechnology company. From 2010 to August 2014, Mr. Ibbott served as the Vice President of Finance at Nordion Inc., a NYSE and TSX listed health science company. Prior to his time at Nordion, Mr. Ibbott held senior finance positions at various publicly-listed biotech and specialty pharmaceutical companies. Earlier in his career, he worked within the audit and technology practice of KPMG LLP, a consulting and accounting firm. Mr. Ibbott holds MBAs from both Cornell University and Queen’s University, an undergraduate degree in Business Administration (Accounting) from Simon Fraser University, and is Chartered Professional Accountant.</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7"/>
          <w:szCs w:val="17"/>
          <w:color w:val="auto"/>
        </w:rPr>
        <w:t>As required under Nasdaq listing standards, a majority of the members of a listed company’s board of directors must qualify as “independent,” as affirmatively determined by the board of directors. In addition, the rules of Nasdaq require that, subject to specified exceptions, each member of a listed company’s audit, compensation and nominating and corporate governance committees be independent. Under the rules of the Nasdaq, a director will only qualify as an “independent director” if, in the opinion of that company’s board of directors, that person does not have a relationship that would interfere with the exercise of independent judgment in carrying out the responsibilities of a director. Compensation Committee members must not have a relationship with us that is material to the director’s ability to be independent from management in connection with the duties of a Compensation Committee member. Additionally, Audit Committee members must also satisfy the independence criteria set forth in Rule 10A-3 under the Exchange Act. To be considered independent for purposes of Rule 10A-3, a member of an audit committee of a listed company may not, other than in his or her capacity as a member of the audit committee of the board of directors or any other board committee, accept, directly or indirectly, any consulting, advisory or other compensatory fee from the listed company or any of its subsidiaries or be an affiliated person of the listed company or any of its subsidiaries. The Board consults with the Company’s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7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identified transactions or relationships between each director, or any of his or her family members, and the Company, its senior management and its independent auditors, the Board has affirmatively determined that the following six directors are independent directors within the meaning of the applicable Nasdaq listing standards: Messrs. Aquila, Bay and Gordon and Mses. Freeman, Gonzalez and Tan. In making this determination, the Board found that none of these directors or nominees for director had a material or other disqualifying relationship with the Company.</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making those independence determinations, the Board considered the current and prior relationships that each non-employee director has with our company and all other facts and circumstances the Board deemed relevant in determining their independence, including the beneficial ownership of our capital stock by each non-employee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4" w:name="page95"/>
    <w:bookmarkEnd w:id="9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director, and the transactions involving them described in the section entitled “Certain Relationships and Related Party Transactions” that occurred during any 12-month period within the last three fiscal years.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Board is currently chaired by Mr. Francis, the Company’s Chief Executive Officer. Ms. Freeman currently serves as our lead independent director.</w:t>
      </w:r>
    </w:p>
    <w:p>
      <w:pPr>
        <w:spacing w:after="0" w:line="5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 believes that during this transformational period, it is valuable to have Mr. Francis in the combined positions of, the Company’s Chief Executive Officer, principal executive officer and Board Chairman because of his extensive history with and knowledge of the Company, and this arrangement provides a single, clear chain of command to rapidly execute the Company’s strategic initiatives and business plans. In addition, the Company believes that this combined role better positions Mr. Francis to act as a bridge between management and the Board, facilitating the regular flow of information.</w:t>
      </w:r>
    </w:p>
    <w:p>
      <w:pPr>
        <w:spacing w:after="0" w:line="7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Board appointed Ms. Freeman as the lead independent director to help reinforce the independence of the Board as a whole. The position of lead independent director has been structured to serve as an effective balance to a combined Chief Executive Officer and Board Chairman. The lead independent director is empowered to, among other duties and responsibilities, approve agendas and meeting schedules for regular Board meetings, preside over Board meetings in the absence of the Chairman, preside over and establish the agendas for meetings of the independent directors, act as liaison between the Chairman and the independent directors, approve information sent to the Board, preside over any portions of Board meetings at which the evaluation or compensation of the principal executive officer is presented or discussed and, as appropriate upon request, act as a liaison to our stockholders. In addition, it is the responsibility of the lead independent director to coordinate between the Board and management with regard to the determination and implementation of responses to any problematic risk management issues. As a result, the Company believes that the lead independent director can help ensure the effective independent functioning of the Board in its oversight responsibilities. In addition, the Company believes that the lead independent director is better positioned to build a consensus among directors and to serve as a conduit between the other independent directors and the Chairman, for example, by facilitating the inclusion on meeting agendas of matters of concern to the independent directors.</w:t>
      </w:r>
    </w:p>
    <w:p>
      <w:pPr>
        <w:spacing w:after="0" w:line="2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Risk is inherent with every business, and we face a number of risks, including strategic, financial, business and operational, cybersecurity, legal and compliance, and reputational. We have designed and implemented processes to manage these risks. Management is responsible for the day-to-day implementation, oversight and management of risks and risk processes our company faces, while the Board, as a whole and assisted by its committees, has responsibility for the oversight of risk management. In its risk oversight role, our Board has the responsibility to satisfy itself that the risk management processes designed and implemented by management are appropriate and functioning as designed.</w:t>
      </w:r>
    </w:p>
    <w:p>
      <w:pPr>
        <w:spacing w:after="0" w:line="8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Board administers this oversight function directly through the Board as a whole, as well as through various Board committees that address risks inherent in their respective areas of oversight. The Board believes that open communication between management and the Board is essential for effective risk management and oversight. Consistent with this approach, the Board, with the assistance of its committees, regularly reviews our strategic and operational risks in the context of discussions with management, question and answer sessions, and reports from the management team at each of its regular meetings. Directors also have access to management outside of its regular meetings and are free to ask questions and receive information necessary to perform their duties as a director.</w:t>
      </w:r>
    </w:p>
    <w:p>
      <w:pPr>
        <w:spacing w:after="0" w:line="81" w:lineRule="exact"/>
        <w:rPr>
          <w:sz w:val="20"/>
          <w:szCs w:val="20"/>
          <w:color w:val="auto"/>
        </w:rPr>
      </w:pPr>
    </w:p>
    <w:p>
      <w:pPr>
        <w:jc w:val="both"/>
        <w:ind w:left="300" w:right="299"/>
        <w:spacing w:after="0" w:line="270" w:lineRule="auto"/>
        <w:rPr>
          <w:sz w:val="20"/>
          <w:szCs w:val="20"/>
          <w:color w:val="auto"/>
        </w:rPr>
      </w:pPr>
      <w:r>
        <w:rPr>
          <w:rFonts w:ascii="Times New Roman" w:cs="Times New Roman" w:eastAsia="Times New Roman" w:hAnsi="Times New Roman"/>
          <w:sz w:val="17"/>
          <w:szCs w:val="17"/>
          <w:color w:val="auto"/>
        </w:rPr>
        <w:t>In particular, the Board is responsible for monitoring and assessing strategic risk exposure, including a determination of the nature and level of risk appropriate for the Company, and for coordinating with management on decisions relating to any matters that carry potential enterprise-level risks. The Audit Committee has the responsibility to consider and discuss our major financial risk exposures and the steps our management has taken to monitor and control these exposures, including management’s guidelines and policies around quarterly reporting. The Audit Committee is also responsible for monitoring compliance with legal and regulatory requirements, including our Related Person Transaction Policy, in addition to oversight of the performance of our internal audit function. The Audit Committee’s responsibilities also include primary responsibility to help the Board oversee the Company’s enterprise risk assessment and management policies, procedures and practices (including, together with assistance from the Technology Committee, those risks related to information security, cybersecurity and data protection), as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5" w:name="page96"/>
    <w:bookmarkEnd w:id="9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well as review and determination of material commercial relationships and mergers, acquisitions or similar transactions that may have a material impact on the Company. The Nominating and Corporate Governance Committee is responsible for monitoring the effectiveness of our corporate governance guidelines, including whether they are successful in preventing illegal or improper liability-creating conduct. The Compensation Committee is responsible for assessing and monitoring whether any of our compensation policies and programs has the potential to encourage excessive risk-taking. The Technology Committee is responsible for oversight of the management of risks related to the Company’s technology, data, information security and tracking, and related matters, including disclosure of the Company’s key metrics and other operational data, together with assisting the Audit Committee with oversight of those risks related to information security, cybersecurity and data protection.</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Meetings of the Board of Directors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Board met seven times during 2023. All directors attended 75% or more of the aggregate number of meetings of the Board and of the committees on which they served, held during the portion of the last fiscal year for which they were a director or member.</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As required under applicable Nasdaq listing standards, in 2023, the Company’s independent directors met six times in regularly scheduled executive sessions at which only independent directors were present.</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Regarding Committees of the Board of Directors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Board established the Audit Committee, the Compensation Committee, the Nominating and Corporate Governance Committee and the Technology Committee. The Board adopted a charter for each of the committees, which complies with the applicable requirements of current Nasdaq rules and can be found at our website at ir.weedmaps.com. We intend to comply with future requirements to the extent they will be applicable to us. Copies of the charters for each committee are available on the investor relations portion of our website. The following table provides membership and meeting information for the year ended December 31, 2023 for each of the standing Board committees:</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Nominating</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0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1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and Corporate</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0" w:type="dxa"/>
            <w:vAlign w:val="bottom"/>
          </w:tcPr>
          <w:p>
            <w:pPr>
              <w:spacing w:after="0"/>
              <w:rPr>
                <w:sz w:val="1"/>
                <w:szCs w:val="1"/>
                <w:color w:val="auto"/>
              </w:rPr>
            </w:pPr>
          </w:p>
        </w:tc>
      </w:tr>
      <w:tr>
        <w:trPr>
          <w:trHeight w:val="190"/>
        </w:trPr>
        <w:tc>
          <w:tcPr>
            <w:tcW w:w="4900" w:type="dxa"/>
            <w:vAlign w:val="bottom"/>
            <w:gridSpan w:val="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Governance</w:t>
            </w: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472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Tony Aquila</w:t>
            </w:r>
          </w:p>
        </w:tc>
        <w:tc>
          <w:tcPr>
            <w:tcW w:w="4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X**</w:t>
            </w:r>
          </w:p>
        </w:tc>
        <w:tc>
          <w:tcPr>
            <w:tcW w:w="9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Anthony Bay</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X</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X</w:t>
            </w: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Douglas Francis*</w:t>
            </w:r>
          </w:p>
        </w:tc>
        <w:tc>
          <w:tcPr>
            <w:tcW w:w="4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Brenda Freeman</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X</w:t>
            </w: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X**</w:t>
            </w: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Olga Gonzalez</w:t>
            </w:r>
          </w:p>
        </w:tc>
        <w:tc>
          <w:tcPr>
            <w:tcW w:w="6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X**</w:t>
            </w:r>
          </w:p>
        </w:tc>
        <w:tc>
          <w:tcPr>
            <w:tcW w:w="9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Scott Gordon</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X</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X</w:t>
            </w: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Fiona Tan***</w:t>
            </w:r>
          </w:p>
        </w:tc>
        <w:tc>
          <w:tcPr>
            <w:tcW w:w="4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X</w:t>
            </w:r>
          </w:p>
        </w:tc>
        <w:tc>
          <w:tcPr>
            <w:tcW w:w="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X**</w:t>
            </w: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Meetings in the year ended December 31, 2023</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8</w:t>
            </w:r>
          </w:p>
        </w:tc>
        <w:tc>
          <w:tcPr>
            <w:tcW w:w="18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180" w:type="dxa"/>
            <w:vAlign w:val="bottom"/>
          </w:tcPr>
          <w:p>
            <w:pPr>
              <w:spacing w:after="0"/>
              <w:rPr>
                <w:sz w:val="23"/>
                <w:szCs w:val="23"/>
                <w:color w:val="auto"/>
              </w:rPr>
            </w:pPr>
          </w:p>
        </w:tc>
        <w:tc>
          <w:tcPr>
            <w:tcW w:w="920" w:type="dxa"/>
            <w:vAlign w:val="bottom"/>
          </w:tcPr>
          <w:p>
            <w:pPr>
              <w:jc w:val="right"/>
              <w:ind w:right="319"/>
              <w:spacing w:after="0"/>
              <w:rPr>
                <w:sz w:val="20"/>
                <w:szCs w:val="20"/>
                <w:color w:val="auto"/>
              </w:rPr>
            </w:pPr>
            <w:r>
              <w:rPr>
                <w:rFonts w:ascii="Times New Roman" w:cs="Times New Roman" w:eastAsia="Times New Roman" w:hAnsi="Times New Roman"/>
                <w:sz w:val="18"/>
                <w:szCs w:val="18"/>
                <w:b w:val="1"/>
                <w:bCs w:val="1"/>
                <w:color w:val="auto"/>
              </w:rPr>
              <w:t>3</w:t>
            </w:r>
          </w:p>
        </w:tc>
        <w:tc>
          <w:tcPr>
            <w:tcW w:w="20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4968875</wp:posOffset>
            </wp:positionH>
            <wp:positionV relativeFrom="paragraph">
              <wp:posOffset>-1628140</wp:posOffset>
            </wp:positionV>
            <wp:extent cx="12001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-1628140</wp:posOffset>
            </wp:positionV>
            <wp:extent cx="12001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-1628140</wp:posOffset>
            </wp:positionV>
            <wp:extent cx="12001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-1628140</wp:posOffset>
            </wp:positionV>
            <wp:extent cx="12001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22" w:lineRule="exact"/>
        <w:rPr>
          <w:sz w:val="20"/>
          <w:szCs w:val="20"/>
          <w:color w:val="auto"/>
        </w:rPr>
      </w:pPr>
    </w:p>
    <w:p>
      <w:pPr>
        <w:ind w:left="640" w:hanging="348"/>
        <w:spacing w:after="0"/>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Chair</w:t>
      </w:r>
    </w:p>
    <w:p>
      <w:pPr>
        <w:spacing w:after="0" w:line="42" w:lineRule="exact"/>
        <w:rPr>
          <w:sz w:val="20"/>
          <w:szCs w:val="20"/>
          <w:color w:val="auto"/>
        </w:rPr>
      </w:pPr>
    </w:p>
    <w:p>
      <w:pPr>
        <w:ind w:left="640" w:hanging="348"/>
        <w:spacing w:after="0"/>
        <w:tabs>
          <w:tab w:leader="none" w:pos="6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Committee Chairperson</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2, 2024, Fiona Tan notified us of her decision to resign as a member of our Board, the Nominating and Corporate Governance Committee of the Board and the Technology Committee of the Board, of which she was the Chairperson, effective September 30, 2024. Ms. Tan’s decision was not based on any disagreement with the Company or on any matter relating to the Company’s operations, policies or practices.</w:t>
      </w:r>
    </w:p>
    <w:p>
      <w:pPr>
        <w:spacing w:after="0" w:line="73"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Below is a description of each standing committee of the Board. Each of the committees has authority to engage legal counsel or other experts or consultants, as it deems appropriate to carry out its responsibilities. The Board has determined that each member of each committee meets the applicable Nasdaq rules and regulations regarding “independence” and each member is free of any relationship that would impair his or her individual exercise of independent judgment with regard to us.</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Audit Committee consists of Mses. Gonzalez and Freeman and Messrs. Bay and Ibbott. The Board has determined that each of the members of the Audit Committee satisfy the independence requirements of Rule 5605(c)</w:t>
      </w:r>
    </w:p>
    <w:p>
      <w:pPr>
        <w:ind w:left="300"/>
        <w:spacing w:after="0"/>
        <w:rPr>
          <w:sz w:val="20"/>
          <w:szCs w:val="20"/>
          <w:color w:val="auto"/>
        </w:rPr>
      </w:pPr>
      <w:r>
        <w:rPr>
          <w:rFonts w:ascii="Times New Roman" w:cs="Times New Roman" w:eastAsia="Times New Roman" w:hAnsi="Times New Roman"/>
          <w:sz w:val="18"/>
          <w:szCs w:val="18"/>
          <w:color w:val="auto"/>
        </w:rPr>
        <w:t>(2)(A)(i) and (ii) of the Nasdaq listing standards and Rule 10A-3 under the Exchange Act. Each member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6" w:name="page97"/>
    <w:bookmarkEnd w:id="9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of the Audit Committee can read and understand fundamental financial statements in accordance with Nasdaq audit committee requirements. In arriving at this determination, the Board examined each Audit Committee member’s scope of experience and the nature of their prior and/or current employment.</w:t>
      </w:r>
    </w:p>
    <w:p>
      <w:pPr>
        <w:spacing w:after="0" w:line="6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named Ms. Gonzalez as the Chairperson of the Audit Committee. The Board determined that Ms. Gonzalez and Messrs. Bay and Ibbott qualify as audit committee financial experts within the meaning of SEC regulations and meets the financial sophistication requirements of Nasdaq listing rules. In making this determination, the Board considered Ms. Gonzalez’s formal education and previous experience in financial roles. Both our independent registered public accounting firm and management periodically will meet privately with our Audit Committee. The Audit Committee met eight times during 2023.</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functions of this committee include, among other things, to:</w:t>
      </w:r>
    </w:p>
    <w:p>
      <w:pPr>
        <w:spacing w:after="0" w:line="117" w:lineRule="exact"/>
        <w:rPr>
          <w:sz w:val="20"/>
          <w:szCs w:val="20"/>
          <w:color w:val="auto"/>
        </w:rPr>
      </w:pPr>
    </w:p>
    <w:p>
      <w:pPr>
        <w:ind w:left="1000" w:right="319" w:hanging="348"/>
        <w:spacing w:after="0" w:line="282"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hiring, discharging and compensation of our independent registered public accounting firm; oversee the work of our independent registered public accounting firm;</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engagements of the independent registered public accounting firm to render any audit or permissible non-audit services;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qualifications, independence and performance of the independent registered public accounting firm;</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our financial statements and review our critical accounting policies and estimates;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related party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adequacy and effectiveness of our internal controls;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the independent registered public accounting firm the results of our annual audit, our quarterly financial statements and our publicly filed reports, and resolve disagreements that may arise from time to time between the independent registered public accounting firm and management.</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The Compensation Committee consists of Messrs. Aquila, Bay, Gordon and Ibbott. We named Mr. Bay as the Chairperson of the Compensation Committee. The Board has determined that each of the members of the Compensation Committee is a non-employee director, as defined in Rule 16b-3 promulgated under the Exchange Act and satisfies the independence requirements of Rule 5605(d)(2) of the Nasdaq listing standards. The Compensation Committee met nine times during 2023.</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functions of the Compensation Committee include, among other things, to:</w:t>
      </w:r>
    </w:p>
    <w:p>
      <w:pPr>
        <w:spacing w:after="0" w:line="117" w:lineRule="exact"/>
        <w:rPr>
          <w:sz w:val="20"/>
          <w:szCs w:val="20"/>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policies relating to compensation and benefits of our officers and employees;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corporate goals and objectives relevant to compensation of our chief executive officer and other senior officers;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performance of our officers in light of established goals and objectives;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compensation of our officers based on its evaluations;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the issuance of stock options and other awards under our stock plans.</w:t>
      </w: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 Processes and Procedures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Compensation Committee has quarterly meetings scheduled, and meets with greater frequency if necessary. The agenda for each meeting is usually developed by the Chairperson of the Compensation Committee, in consultation with the General Counsel. The Compensation Committee meets as necessary in executive session. However, from time to time, the Compensation Committee may invite to its meetings any director, officer or employee of the Company and such other persons as it deems appropriate in order to carry out its responsibilities. The Chief Executive Officer may not participate in, or be present during, any deliberations or determinations of the Compensation Committee regarding his compensation or performance. In addition, under its charter, the Compensation Committee has the authority to obtain, at the expense of the Company, advice and assistance from compensation consultants and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7" w:name="page98"/>
    <w:bookmarkEnd w:id="9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internal and external legal or other advisors and other external resources that the Compensation Committee considers necessary or appropriate in the performance of its duties. The Compensation Committee has direct responsibility for the compensation and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its charter, the Compensation Committee may select, or receive advice from, a compensation consultant, legal counsel or other adviser to the Compensation Committee, other than in-house legal counsel and certain other types of advisers, only after taking into consideration factors prescribed by the SEC and Nasdaq, that bear upon the adviser’s independence; however, there is no requirement that any adviser be independent.</w:t>
      </w:r>
    </w:p>
    <w:p>
      <w:pPr>
        <w:spacing w:after="0" w:line="86"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During the past fiscal year, after taking into consideration those factors prescribed by the SEC and Nasdaq, the Compensation Committee engaged Compensia, Inc. (“Compensia”) as compensation consultants.</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During the year ended December 31, 2023, Compensia provided the following services:</w:t>
      </w:r>
    </w:p>
    <w:p>
      <w:pPr>
        <w:spacing w:after="0" w:line="117" w:lineRule="exact"/>
        <w:rPr>
          <w:sz w:val="20"/>
          <w:szCs w:val="20"/>
          <w:color w:val="auto"/>
        </w:rPr>
      </w:pPr>
    </w:p>
    <w:p>
      <w:pPr>
        <w:ind w:left="1000" w:right="319" w:hanging="348"/>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Discussion and Analysis drafting and review for the Proxy Statement for the 2023 Annual Meeting;</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assisted the Compensation Committee in refreshing our compensation peer group;</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competitive market data based on the compensation peer group for our executive officer positions, and evaluated how the compensation we pay our executive officers compares both to our performance and to how the companies in our compensation peer group and broader technology industry compensate their executives; and</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guidance on other compensation topics including clawback programs, equity design and programs, burn rates and overhang levels, and ad hoc market data and practices.</w:t>
      </w:r>
    </w:p>
    <w:p>
      <w:pPr>
        <w:spacing w:after="0" w:line="54"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Per its charter, the Compensation Committee is responsible for reviewing and approving most of the significant adjustments to annual compensation, and determines base salary, bonus and equity awards for all Named Executive Officers at one or more meetings scheduled to be held during the first quarter of its fiscal year. However, the Compensation Committee also considers matters related to individual compensation, such as compensation for new executive hires, as well as high-level strategic issues, such as the efficacy of our compensation strategy, potential modifications to that strategy and new trends, plans or approaches to compensation, at various meetings throughout the year. The Compensation Committee recommends to the independent members of the Board for determination and approval the compensation and other terms of employment of our Chief Executive Officer and evaluates the Chief Executive Officer’s performance in light of relevant corporate performance goals and objectives. For all Named Executive Officers and non-employee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our executive officers in various hypothetical scenarios, executive officer and non-employee director stock ownership information, our stock performance data, analyses of historical executive compensation levels and current Company-wide compensation levels and recommendations of the Compensation Committee’s compensation consultant, including analyses of executive and non-employee director compensation paid at other companies identified by the consultant.</w:t>
      </w:r>
    </w:p>
    <w:p>
      <w:pPr>
        <w:spacing w:after="0" w:line="8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Compensation Committee has evaluated its relationship with Compensia to ensure that it believes that such firm is independent from management. This review process included a review of the services that such compensation consultant provided, the quality of those services and the fees associated with the services provided during 2023. Based on this review, as well as consideration of the factors affecting independence set forth in Exchange Act Rule 10C-1(b)(4), Rule 5605(d)(3)(D) of the Nasdaq rules, and such other factors as were deemed relevant under the circumstances, the Compensation Committee has determined that no conflict of interest was raised as a result of the work performed by Compensia.</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consists of Ms. Freeman, who serves as the Chairperson of the Nominating and Corporate Governance Committee, and Mr. Gordon. The Board has determined that each of the members of the Nominating and Corporate Governance Committee satisfies the independence requirements of Nasdaq. The Nominating and Corporate Governance Committee met three times during 2023.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8" w:name="page99"/>
    <w:bookmarkEnd w:id="9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functions of the Nominating and Corporate Governance Committee include, among other things, to:</w:t>
      </w:r>
    </w:p>
    <w:p>
      <w:pPr>
        <w:spacing w:after="0" w:line="117" w:lineRule="exact"/>
        <w:rPr>
          <w:sz w:val="20"/>
          <w:szCs w:val="20"/>
          <w:color w:val="auto"/>
        </w:rPr>
      </w:pPr>
    </w:p>
    <w:p>
      <w:pPr>
        <w:ind w:left="1000" w:right="31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and make recommendations regarding the organization and governance of the Board and its committees;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the performance of members of the Board and make recommendations regarding committee and chairperson assignments;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desired qualifications for Board membership and conduct searches for potential members of the Board;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make recommendations with regard to our corporate governance guidelines.</w:t>
      </w:r>
    </w:p>
    <w:p>
      <w:pPr>
        <w:spacing w:after="0" w:line="11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Nominating and Corporate Governance Committee retains the right to modify these qualifications from time to time.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diversity (including gender, racial and ethnic diversity), age, skills and such other factors as it deems appropriate, given the current needs of the Board and the Company, to maintain a balance of knowledge, experience and capability.</w:t>
      </w:r>
    </w:p>
    <w:p>
      <w:pPr>
        <w:spacing w:after="0" w:line="7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Nominating and Corporate Governance Committee appreciates the value of thoughtful Board refreshment, and regularly identifies and considers qualities, skills and other director attributes that would enhance the composition of the Board. In the case of incumbent directors whose terms of office are set to expire,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The Nominating and Corporate Governance Committee also takes into account the results of the Board’s self-evaluation, conducted annually on a group and individual basis and every three years, conducted with an outside consultant.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 In the year ended December 31, 2023, the Nominating and Corporate Governance Committee did not pay any fees to third parties to assist in the process of identifying or evaluating director candidates.</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At this time, the Nominating and Corporate Governance Committee does not have a policy with regard to the consideration of director candidates recommended by stockholders. The Nominating and Corporate Governance Committee believes that it is in the best position to identify, review, evaluate and select qualified candidates for Board membership, based on the comprehensive criteria for Board membership approved by the Board.</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Technology Committee</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Technology Committee consists of Messrs. Bay and Mr. Francis. Mr. Bay serves as the Chairperson of the Technology Committee. The Technology Committee met four times during 2023.</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functions of the Technology Committee include, among other things, to:</w:t>
      </w:r>
    </w:p>
    <w:p>
      <w:pPr>
        <w:spacing w:after="0" w:line="117" w:lineRule="exact"/>
        <w:rPr>
          <w:sz w:val="20"/>
          <w:szCs w:val="20"/>
          <w:color w:val="auto"/>
        </w:rPr>
      </w:pPr>
    </w:p>
    <w:p>
      <w:pPr>
        <w:ind w:left="1000" w:right="319" w:hanging="348"/>
        <w:spacing w:after="0" w:line="282"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and make recommendations regarding our major technology developments, technology related systems and architecture;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9" w:name="page100"/>
    <w:bookmarkEnd w:id="9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6"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formulation, definition, tracking, retention and reporting of our key metrics, performance indicators and other operational data, and help ensure effective internal and disclosure controls related to such data;</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guidance regarding significant emerging technology issues and trends that may affect our business and strategies;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provide guidance regarding our technology risk management, including our policies and procedures with respect to technology and its uses including cybersecurity, reporting and data system management.</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Our relationship with our stockholders is an important part of our corporate governance program. Engaging with stockholders helps us to understand how they view us, to set goals and expectations for our performance, and to identify emerging issues that may affect our strategies, corporate governance, compensation practices or other aspects of our operations. Our stockholder and investor outreach includes investor road shows, analyst meetings, and investor conferences and meetings. We also communicate with stockholders and other stakeholders through various media, including our annual report and SEC filings, proxy statement, news releases and our website. Our webcasts for quarterly earnings releases are open to all. These webcasts are available in real time and are archived on our website for a period of time.</w:t>
      </w:r>
    </w:p>
    <w:p>
      <w:pPr>
        <w:spacing w:after="0" w:line="84"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We have not adopted a formal process for stockholder communications with the Board. Nevertheless, every effort has been made to ensure that the views of stockholders are heard by the Board or individual directors, as applicable, and that appropriate responses are provided to stockholders in a timely manner. We believe our responsiveness to stockholder communications to the Board has been excellent and therefore a formal process is not necessary.</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Board adopted a Code of Conduct (the “Code of Conduct”), applicable to all of our employees, executive officers and directors. The Code of Conduct is available on our website at ir.weedmaps.com. The nominating and corporate governance committee of the Board is responsible for overseeing the Code of Conduct and must approve any waivers of the Code of Conduct for employees, executive officers and directors. We expect that any amendments to the Code of Conduct, or any waivers of its requirements, will be disclosed on our website.</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Board has documented our governance practices by adopting Corporate Governance Guidelines to assure that the Board will have the necessary authority and practices in place to review and evaluate our business operations as needed and to make decisions that are independent of our management. The guidelines are also intended to align the interests of directors and management with those of our stockholders. The Corporate Governance Guidelines set forth the practices the Board intends to follow with respect to board composition and selection, board meetings and involvement of senior management, principal executive officer performance evaluation and succession planning, and board committees and compensation. Our Corporate Governance Guidelines, as well as the charters for each committee of the Board, may be viewed at ir.weedmaps.com.</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Hedging and Pledging Policy</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part of our insider trading policy, all our directors, officers, employees and certain designated consultants are prohibited from engaging in short sales of our securities, establishing margin accounts, pledging our securities as collateral for a loan, trading in derivative securities, including buying or selling puts or calls on our securities, or otherwise engaging in any form of hedging or monetization transactions (such as prepaid variable forwards, equity swaps, collars and exchange funds) involving our securities.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0" w:name="page101"/>
    <w:bookmarkEnd w:id="10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are a “smaller reporting company” under Item 10 of Regulation S-K promulgated under the Exchange Act and the following compensation disclosure is intended to comply with the requirements applicable to smaller reporting companies. Although the rules allow us to provide less detail about our executive compensation program than companies that are not smaller reporting companies, our Compensation Committee is committed to providing the information necessary to help shareholders understand its executive compensation-related decisions. Accordingly, this section includes supplemental narratives that describe our 2023 compensation program for our Named Executive Officers.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Named Executive Officers for the year ended December 31, 2023, are:</w:t>
      </w:r>
    </w:p>
    <w:p>
      <w:pPr>
        <w:spacing w:after="0" w:line="88" w:lineRule="exact"/>
        <w:rPr>
          <w:sz w:val="20"/>
          <w:szCs w:val="20"/>
          <w:color w:val="auto"/>
        </w:rPr>
      </w:pPr>
    </w:p>
    <w:p>
      <w:pPr>
        <w:ind w:left="1000" w:hanging="348"/>
        <w:spacing w:after="0"/>
        <w:tabs>
          <w:tab w:leader="none" w:pos="1000" w:val="left"/>
        </w:tabs>
        <w:numPr>
          <w:ilvl w:val="1"/>
          <w:numId w:val="5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Douglas Francis, our principal executive officer and Executive Chair</w:t>
      </w:r>
      <w:r>
        <w:rPr>
          <w:rFonts w:ascii="Times New Roman" w:cs="Times New Roman" w:eastAsia="Times New Roman" w:hAnsi="Times New Roman"/>
          <w:sz w:val="29"/>
          <w:szCs w:val="29"/>
          <w:color w:val="auto"/>
          <w:vertAlign w:val="superscript"/>
        </w:rPr>
        <w:t>(1)</w:t>
      </w:r>
    </w:p>
    <w:p>
      <w:pPr>
        <w:ind w:left="1000" w:hanging="348"/>
        <w:spacing w:after="0"/>
        <w:tabs>
          <w:tab w:leader="none" w:pos="10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Brian Camire, our General Counsel and Secretary</w:t>
      </w:r>
    </w:p>
    <w:p>
      <w:pPr>
        <w:spacing w:after="0" w:line="8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5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Duncan Grazier, our Chief Technology Officer</w:t>
      </w:r>
      <w:r>
        <w:rPr>
          <w:rFonts w:ascii="Times New Roman" w:cs="Times New Roman" w:eastAsia="Times New Roman" w:hAnsi="Times New Roman"/>
          <w:sz w:val="29"/>
          <w:szCs w:val="29"/>
          <w:color w:val="auto"/>
          <w:vertAlign w:val="superscript"/>
        </w:rPr>
        <w:t>(2)</w:t>
      </w:r>
    </w:p>
    <w:p>
      <w:pPr>
        <w:spacing w:after="0" w:line="191" w:lineRule="exact"/>
        <w:rPr>
          <w:rFonts w:ascii="Times New Roman" w:cs="Times New Roman" w:eastAsia="Times New Roman" w:hAnsi="Times New Roman"/>
          <w:sz w:val="36"/>
          <w:szCs w:val="36"/>
          <w:color w:val="auto"/>
          <w:vertAlign w:val="superscript"/>
        </w:rPr>
      </w:pPr>
    </w:p>
    <w:p>
      <w:pPr>
        <w:ind w:left="640" w:hanging="348"/>
        <w:spacing w:after="0"/>
        <w:tabs>
          <w:tab w:leader="none" w:pos="6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7, 2024, the Board appointed Douglas Francis as the Chief Executive Officer, effective as of November 7, 2024.</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July 17, 2024, Duncan Grazier, tendered his resignation from his role as Chief Technology Officer, effective July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-258445</wp:posOffset>
            </wp:positionV>
            <wp:extent cx="8229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Relationship Between Pay and Performance</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believe our executive compensation program is reasonable, competitive, and appropriately balances the goals of attracting, motivating, rewarding, and retaining our Named Executive Officers and of aligning their interests with those of our stockholders. To ensure this alignment and to motivate and reward individual initiative and effort, we seek to ensure that a meaningful portion of our Named Executive Officers’ target annual total direct compensation opportunity is both variable in nature and “at-risk.”</w:t>
      </w:r>
    </w:p>
    <w:p>
      <w:pPr>
        <w:spacing w:after="0" w:line="7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emphasize variable compensation that appropriately rewards our Named Executive Officers through two separate compensation elements:</w:t>
      </w:r>
    </w:p>
    <w:p>
      <w:pPr>
        <w:spacing w:after="0" w:line="54" w:lineRule="exact"/>
        <w:rPr>
          <w:sz w:val="20"/>
          <w:szCs w:val="20"/>
          <w:color w:val="auto"/>
        </w:rPr>
      </w:pPr>
    </w:p>
    <w:p>
      <w:pPr>
        <w:jc w:val="both"/>
        <w:ind w:left="1000" w:right="299" w:hanging="348"/>
        <w:spacing w:after="0" w:line="258"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adopted a formal cash bonus plan for 2023 that provides our Named Executive Officers (other than Mr. Francis) with the opportunity to earn cash bonus payments if we produce short-term financial, operational, and strategic results that meet or exceed pre-established corporate performance goals and does not include the evaluation of any individual contributions in achieving those goals.</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we grant time-based RSU awards, and have in the past granted performance-based RSU (PRSU) awards, that may be earned or vest and settled for shares of our Class A Common Stock, which in the aggregate comprise a majority of our Named Executive Officers’ target annual total direct compensation opportunities. The value of these equity awards depends entirely on the value of our Class A Common Stock, thereby incentivizing our Named Executive Officers to build sustainable long-term value for the benefit of our stockholders.</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These variable pay elements ensure that, each year, a substantial portion of our Named Executive Officers’ target total direct compensation is contingent in nature, rather than fixed, with the amounts ultimately payable subject to variability above or below target levels commensurate with our actual performance.</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2023, approximately 33%, on average, of Mr. Camire’s and Mr. Grazier’s target total direct compensation consisted of variable, “at-risk” compensation. Mr. Francis’ 2023 compensation was solely as set forth in his offer letter of August 15, 2023, and did not include a target cash bonus opportunity or equity award. For additional information, see “—Executive Employment Arrangements” below.</w:t>
      </w:r>
    </w:p>
    <w:p>
      <w:pPr>
        <w:spacing w:after="0" w:line="72"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We believe that this design provides balanced incentives for our Named Executive Officers to execute our operational objectives and drive long-term growth. To ensure that we remain faithful to our compensation philosophy, the Compensation Committee intends to regularly evaluate the relationship between the reported values of the equity awards granted to our Named Executive Officers, the amount of compensation realizable (and, ultimately, realized) from such awards in subsequent years, and our performance over this period.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1" w:name="page102"/>
    <w:bookmarkEnd w:id="10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Compensation Policies and Practices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endeavor to maintain sound corporate governance standards consistent with our executive compensation policies and practices. The Compensation Committee reviews our executive compensation program on an annual basis to ensure consistency with our short-term and long-term goals given the dynamic nature of our business and the market in which we compete for executive talent. The following summarizes our executive compensation-related policies and practices that were in effect during 2023:</w:t>
      </w:r>
    </w:p>
    <w:p>
      <w:pPr>
        <w:sectPr>
          <w:pgSz w:w="11900" w:h="16838" w:orient="portrait"/>
          <w:cols w:equalWidth="0" w:num="1">
            <w:col w:w="9019"/>
          </w:cols>
          <w:pgMar w:left="1440" w:top="263" w:right="1440" w:bottom="1440" w:gutter="0" w:footer="0" w:header="0"/>
        </w:sectPr>
      </w:pPr>
    </w:p>
    <w:p>
      <w:pPr>
        <w:spacing w:after="0" w:line="220"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62865</wp:posOffset>
            </wp:positionV>
            <wp:extent cx="261429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40" w:lineRule="exact"/>
        <w:rPr>
          <w:sz w:val="20"/>
          <w:szCs w:val="20"/>
          <w:color w:val="auto"/>
        </w:rPr>
      </w:pPr>
    </w:p>
    <w:p>
      <w:pPr>
        <w:ind w:left="600" w:right="40" w:hanging="308"/>
        <w:spacing w:after="0" w:line="255" w:lineRule="auto"/>
        <w:tabs>
          <w:tab w:leader="none" w:pos="6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Maintain Independent Compensation Committee. </w:t>
      </w:r>
      <w:r>
        <w:rPr>
          <w:rFonts w:ascii="Times New Roman" w:cs="Times New Roman" w:eastAsia="Times New Roman" w:hAnsi="Times New Roman"/>
          <w:sz w:val="18"/>
          <w:szCs w:val="18"/>
          <w:color w:val="auto"/>
        </w:rPr>
        <w:t>The Compensation Committee is comprised solely of independent directors who determine our compensation policies and practices and who have established effective means for communicating with our stockholders regarding their executive compensation views and concerns, as described in this prospectus.</w:t>
      </w: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ind w:left="600" w:hanging="308"/>
        <w:spacing w:after="0" w:line="256" w:lineRule="auto"/>
        <w:tabs>
          <w:tab w:leader="none" w:pos="6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Retain an Independent Compensation Consultant</w:t>
      </w:r>
      <w:r>
        <w:rPr>
          <w:rFonts w:ascii="Times New Roman" w:cs="Times New Roman" w:eastAsia="Times New Roman" w:hAnsi="Times New Roman"/>
          <w:sz w:val="18"/>
          <w:szCs w:val="18"/>
          <w:color w:val="auto"/>
        </w:rPr>
        <w: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the Compensation Committee engaged its own compensation consultant to provide information, analysis, and other advice on compensation matters independent of management. This compensation consultant performed no other services for us during 2023.</w:t>
      </w:r>
    </w:p>
    <w:p>
      <w:pPr>
        <w:spacing w:after="0" w:line="74" w:lineRule="exact"/>
        <w:rPr>
          <w:rFonts w:ascii="Times New Roman" w:cs="Times New Roman" w:eastAsia="Times New Roman" w:hAnsi="Times New Roman"/>
          <w:sz w:val="18"/>
          <w:szCs w:val="18"/>
          <w:color w:val="auto"/>
        </w:rPr>
      </w:pPr>
    </w:p>
    <w:p>
      <w:pPr>
        <w:ind w:left="600" w:right="20" w:hanging="308"/>
        <w:spacing w:after="0" w:line="257" w:lineRule="auto"/>
        <w:tabs>
          <w:tab w:leader="none" w:pos="6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Annual Executive Compensation Review.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reviews and approves our compensation strategy and policies planned to be done annually, including review and approval of the 2023 short-term incentive plan for executive officers.</w:t>
      </w:r>
    </w:p>
    <w:p>
      <w:pPr>
        <w:spacing w:after="0" w:line="74" w:lineRule="exact"/>
        <w:rPr>
          <w:rFonts w:ascii="Times New Roman" w:cs="Times New Roman" w:eastAsia="Times New Roman" w:hAnsi="Times New Roman"/>
          <w:sz w:val="18"/>
          <w:szCs w:val="18"/>
          <w:color w:val="auto"/>
        </w:rPr>
      </w:pPr>
    </w:p>
    <w:p>
      <w:pPr>
        <w:ind w:left="600" w:right="40" w:hanging="308"/>
        <w:spacing w:after="0" w:line="255" w:lineRule="auto"/>
        <w:tabs>
          <w:tab w:leader="none" w:pos="6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Compensation “At-Risk.” </w:t>
      </w:r>
      <w:r>
        <w:rPr>
          <w:rFonts w:ascii="Times New Roman" w:cs="Times New Roman" w:eastAsia="Times New Roman" w:hAnsi="Times New Roman"/>
          <w:sz w:val="18"/>
          <w:szCs w:val="18"/>
          <w:color w:val="auto"/>
        </w:rPr>
        <w:t>Other than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for Mr. Francis, our executive compensation program is designed so that a meaningful portion of our Named Executive Officers’ target annual total direct compensation is “at-risk” based on corporate performance, as well as equity-based, to align the interests of our Named Executive Officers and stockholders.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40" w:lineRule="exact"/>
        <w:rPr>
          <w:rFonts w:ascii="Times New Roman" w:cs="Times New Roman" w:eastAsia="Times New Roman" w:hAnsi="Times New Roman"/>
          <w:sz w:val="18"/>
          <w:szCs w:val="18"/>
          <w:color w:val="auto"/>
        </w:rPr>
      </w:pPr>
    </w:p>
    <w:p>
      <w:pPr>
        <w:ind w:left="600" w:hanging="308"/>
        <w:spacing w:after="0" w:line="258" w:lineRule="auto"/>
        <w:tabs>
          <w:tab w:leader="none" w:pos="6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Use of “Pay-for-Performance” Philosophy.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our Named Executive Officers’ target annual total direct compensation, other than for Mr. Francis, is directly linked to our financial results and our stock price performance.</w:t>
      </w:r>
    </w:p>
    <w:p>
      <w:pPr>
        <w:spacing w:after="0" w:line="75" w:lineRule="exact"/>
        <w:rPr>
          <w:rFonts w:ascii="Times New Roman" w:cs="Times New Roman" w:eastAsia="Times New Roman" w:hAnsi="Times New Roman"/>
          <w:sz w:val="18"/>
          <w:szCs w:val="18"/>
          <w:color w:val="auto"/>
        </w:rPr>
      </w:pPr>
    </w:p>
    <w:p>
      <w:pPr>
        <w:ind w:left="600" w:hanging="308"/>
        <w:spacing w:after="0" w:line="258" w:lineRule="auto"/>
        <w:tabs>
          <w:tab w:leader="none" w:pos="6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Multi-Year Vesting Requirements. </w:t>
      </w:r>
      <w:r>
        <w:rPr>
          <w:rFonts w:ascii="Times New Roman" w:cs="Times New Roman" w:eastAsia="Times New Roman" w:hAnsi="Times New Roman"/>
          <w:sz w:val="18"/>
          <w:szCs w:val="18"/>
          <w:color w:val="auto"/>
        </w:rPr>
        <w:t>The annual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granted to our Named Executive Officers are earned and/or vest over multi-year periods, consistent with current market practice and our retention objectives.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ind w:right="305"/>
        <w:spacing w:after="0"/>
        <w:rPr>
          <w:sz w:val="20"/>
          <w:szCs w:val="20"/>
          <w:color w:val="auto"/>
        </w:rPr>
      </w:pPr>
      <w:r>
        <w:rPr>
          <w:rFonts w:ascii="Times New Roman" w:cs="Times New Roman" w:eastAsia="Times New Roman" w:hAnsi="Times New Roman"/>
          <w:sz w:val="18"/>
          <w:szCs w:val="18"/>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259715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40" w:lineRule="exact"/>
        <w:rPr>
          <w:sz w:val="20"/>
          <w:szCs w:val="20"/>
          <w:color w:val="auto"/>
        </w:rPr>
      </w:pPr>
    </w:p>
    <w:p>
      <w:pPr>
        <w:ind w:left="295" w:right="359" w:hanging="295"/>
        <w:spacing w:after="0" w:line="254" w:lineRule="auto"/>
        <w:tabs>
          <w:tab w:leader="none" w:pos="29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Executive Officer Retirement Plans. </w:t>
      </w:r>
      <w:r>
        <w:rPr>
          <w:rFonts w:ascii="Times New Roman" w:cs="Times New Roman" w:eastAsia="Times New Roman" w:hAnsi="Times New Roman"/>
          <w:sz w:val="18"/>
          <w:szCs w:val="18"/>
          <w:color w:val="auto"/>
        </w:rPr>
        <w:t>We do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currently offer, nor do we have plans to offer, defined benefit pension plans or any non-qualified deferred compensation plans or arrangements to our Named Executive Officers other than the plans and arrangements that are available to all our other employees. Our Named Executive Officers are eligible to participate in our Section 401(k) retirement savings plan on the same basis as our other employees.</w:t>
      </w:r>
    </w:p>
    <w:p>
      <w:pPr>
        <w:spacing w:after="0" w:line="77" w:lineRule="exact"/>
        <w:rPr>
          <w:rFonts w:ascii="Times New Roman" w:cs="Times New Roman" w:eastAsia="Times New Roman" w:hAnsi="Times New Roman"/>
          <w:sz w:val="18"/>
          <w:szCs w:val="18"/>
          <w:color w:val="auto"/>
        </w:rPr>
      </w:pPr>
    </w:p>
    <w:p>
      <w:pPr>
        <w:ind w:left="295" w:right="359" w:hanging="295"/>
        <w:spacing w:after="0" w:line="256" w:lineRule="auto"/>
        <w:tabs>
          <w:tab w:leader="none" w:pos="29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Limited Executive Officer Perquisites. </w:t>
      </w:r>
      <w:r>
        <w:rPr>
          <w:rFonts w:ascii="Times New Roman" w:cs="Times New Roman" w:eastAsia="Times New Roman" w:hAnsi="Times New Roman"/>
          <w:sz w:val="18"/>
          <w:szCs w:val="18"/>
          <w:color w:val="auto"/>
        </w:rPr>
        <w:t>We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benefits to our Named Executive Officers on the same basis as provided to all of our employees, including health, dental and vision insurance; accidental death and dismemberment insurance; disability insurance; and a tax-qualified Section 401(k) plan.</w:t>
      </w:r>
    </w:p>
    <w:p>
      <w:pPr>
        <w:spacing w:after="0" w:line="74" w:lineRule="exact"/>
        <w:rPr>
          <w:rFonts w:ascii="Times New Roman" w:cs="Times New Roman" w:eastAsia="Times New Roman" w:hAnsi="Times New Roman"/>
          <w:sz w:val="18"/>
          <w:szCs w:val="18"/>
          <w:color w:val="auto"/>
        </w:rPr>
      </w:pPr>
    </w:p>
    <w:p>
      <w:pPr>
        <w:ind w:left="295" w:right="319" w:hanging="295"/>
        <w:spacing w:after="0" w:line="258" w:lineRule="auto"/>
        <w:tabs>
          <w:tab w:leader="none" w:pos="29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Tax Payments on Change-in-Control Arrangements</w:t>
      </w:r>
      <w:r>
        <w:rPr>
          <w:rFonts w:ascii="Times New Roman" w:cs="Times New Roman" w:eastAsia="Times New Roman" w:hAnsi="Times New Roman"/>
          <w:sz w:val="18"/>
          <w:szCs w:val="18"/>
          <w:color w:val="auto"/>
        </w:rPr>
        <w:t>. We do not provide any excise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reimbursement payments (including “gross-ups”) on payments or benefits that are contingent upon a change-in-control of the Company.</w:t>
      </w:r>
    </w:p>
    <w:p>
      <w:pPr>
        <w:spacing w:after="0" w:line="291" w:lineRule="exact"/>
        <w:rPr>
          <w:rFonts w:ascii="Times New Roman" w:cs="Times New Roman" w:eastAsia="Times New Roman" w:hAnsi="Times New Roman"/>
          <w:sz w:val="18"/>
          <w:szCs w:val="18"/>
          <w:color w:val="auto"/>
        </w:rPr>
      </w:pPr>
    </w:p>
    <w:p>
      <w:pPr>
        <w:ind w:left="295" w:right="319" w:hanging="295"/>
        <w:spacing w:after="0" w:line="253" w:lineRule="auto"/>
        <w:tabs>
          <w:tab w:leader="none" w:pos="29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Hedging or Pledging of our Securities. </w:t>
      </w:r>
      <w:r>
        <w:rPr>
          <w:rFonts w:ascii="Times New Roman" w:cs="Times New Roman" w:eastAsia="Times New Roman" w:hAnsi="Times New Roman"/>
          <w:sz w:val="18"/>
          <w:szCs w:val="18"/>
          <w:color w:val="auto"/>
        </w:rPr>
        <w:t>As part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insider trading policy, all our directors, officers, employees and certain designated consultants are prohibited from engaging in short sales of our securities, establishing margin accounts, pledging our securities as collateral for a loan, trading in derivative securities, including buying or selling puts or calls on our securities, or otherwise engaging in any form of hedging or monetization transactions (such as prepaid variable forwards, equity swaps, collars and exchange funds) involving our securities.</w:t>
      </w:r>
    </w:p>
    <w:p>
      <w:pPr>
        <w:spacing w:after="0" w:line="2582" w:lineRule="exact"/>
        <w:rPr>
          <w:sz w:val="20"/>
          <w:szCs w:val="20"/>
          <w:color w:val="auto"/>
        </w:rPr>
      </w:pPr>
    </w:p>
    <w:p>
      <w:pPr>
        <w:sectPr>
          <w:pgSz w:w="11900" w:h="16838" w:orient="portrait"/>
          <w:cols w:equalWidth="0" w:num="2">
            <w:col w:w="4400" w:space="225"/>
            <w:col w:w="4394"/>
          </w:cols>
          <w:pgMar w:left="1440" w:top="263" w:right="1440" w:bottom="1440" w:gutter="0" w:footer="0" w:header="0"/>
          <w:type w:val="continuous"/>
        </w:sectPr>
      </w:pP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02" w:name="page103"/>
    <w:bookmarkEnd w:id="10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5" w:lineRule="exact"/>
        <w:rPr>
          <w:sz w:val="20"/>
          <w:szCs w:val="20"/>
          <w:color w:val="auto"/>
        </w:rPr>
      </w:pPr>
    </w:p>
    <w:p>
      <w:pPr>
        <w:ind w:left="600" w:right="4659" w:hanging="308"/>
        <w:spacing w:after="0" w:line="253" w:lineRule="auto"/>
        <w:tabs>
          <w:tab w:leader="none" w:pos="6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Maintain “Double-Trigger” Change-in-Control Arrangements. </w:t>
      </w:r>
      <w:r>
        <w:rPr>
          <w:rFonts w:ascii="Times New Roman" w:cs="Times New Roman" w:eastAsia="Times New Roman" w:hAnsi="Times New Roman"/>
          <w:sz w:val="18"/>
          <w:szCs w:val="18"/>
          <w:color w:val="auto"/>
        </w:rPr>
        <w:t>Our Named Executive Officers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Mr. Francis are eligible to participate in the Severance and Change in Control Plan, which provides certain payments and other benefits in the event of an involuntary termination of employment in connection with a change-in-control of the Company. These “double-trigger” arrangements require both a change-in-control of the Company plus a qualifying termination of employment before payments and benefits are paid. In addition, all such payments and benefits are subject to the execution and delivery of an effective general waiver and release of claims in favor of the Company.</w:t>
      </w:r>
    </w:p>
    <w:p>
      <w:pPr>
        <w:spacing w:after="0" w:line="77" w:lineRule="exact"/>
        <w:rPr>
          <w:rFonts w:ascii="Times New Roman" w:cs="Times New Roman" w:eastAsia="Times New Roman" w:hAnsi="Times New Roman"/>
          <w:sz w:val="18"/>
          <w:szCs w:val="18"/>
          <w:color w:val="auto"/>
        </w:rPr>
      </w:pPr>
    </w:p>
    <w:p>
      <w:pPr>
        <w:ind w:left="600" w:right="4639" w:hanging="308"/>
        <w:spacing w:after="0" w:line="258" w:lineRule="auto"/>
        <w:tabs>
          <w:tab w:leader="none" w:pos="6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Only Broad-Based Health and Welfare Benefits.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Named Executive Officers participate in broad-based Company-sponsored health and welfare benefit programs on the same basis as our other employees.</w:t>
      </w:r>
    </w:p>
    <w:p>
      <w:pPr>
        <w:spacing w:after="0" w:line="75" w:lineRule="exact"/>
        <w:rPr>
          <w:rFonts w:ascii="Times New Roman" w:cs="Times New Roman" w:eastAsia="Times New Roman" w:hAnsi="Times New Roman"/>
          <w:sz w:val="18"/>
          <w:szCs w:val="18"/>
          <w:color w:val="auto"/>
        </w:rPr>
      </w:pPr>
    </w:p>
    <w:p>
      <w:pPr>
        <w:ind w:left="600" w:right="4859" w:hanging="308"/>
        <w:spacing w:after="0" w:line="290" w:lineRule="auto"/>
        <w:tabs>
          <w:tab w:leader="none" w:pos="6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Clawback Policy. </w:t>
      </w:r>
      <w:r>
        <w:rPr>
          <w:rFonts w:ascii="Times New Roman" w:cs="Times New Roman" w:eastAsia="Times New Roman" w:hAnsi="Times New Roman"/>
          <w:sz w:val="17"/>
          <w:szCs w:val="17"/>
          <w:color w:val="auto"/>
        </w:rPr>
        <w:t>We require compensation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recoupment with respect to our executive officers pursuant to the terms of our clawback policy.</w:t>
      </w:r>
    </w:p>
    <w:p>
      <w:pPr>
        <w:spacing w:after="0" w:line="47" w:lineRule="exact"/>
        <w:rPr>
          <w:rFonts w:ascii="Times New Roman" w:cs="Times New Roman" w:eastAsia="Times New Roman" w:hAnsi="Times New Roman"/>
          <w:sz w:val="17"/>
          <w:szCs w:val="17"/>
          <w:color w:val="auto"/>
        </w:rPr>
      </w:pPr>
    </w:p>
    <w:p>
      <w:pPr>
        <w:ind w:left="600" w:right="4619" w:hanging="308"/>
        <w:spacing w:after="0" w:line="267" w:lineRule="auto"/>
        <w:tabs>
          <w:tab w:leader="none" w:pos="6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Succession Planning. </w:t>
      </w:r>
      <w:r>
        <w:rPr>
          <w:rFonts w:ascii="Times New Roman" w:cs="Times New Roman" w:eastAsia="Times New Roman" w:hAnsi="Times New Roman"/>
          <w:sz w:val="18"/>
          <w:szCs w:val="18"/>
          <w:color w:val="auto"/>
        </w:rPr>
        <w:t>We review the risks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our key executive officer positions to ensure adequate succession plans are in place.</w:t>
      </w:r>
    </w:p>
    <w:p>
      <w:pPr>
        <w:spacing w:after="0" w:line="200" w:lineRule="exact"/>
        <w:rPr>
          <w:sz w:val="20"/>
          <w:szCs w:val="20"/>
          <w:color w:val="auto"/>
        </w:rPr>
      </w:pP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Compensation Philosophy and Objectives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Our executive compensation program is designed to achieve our ambitious goals by attracting, motivating, and retaining talented, deeply qualified, and committed individuals who believe in our mission, while rewarding them for long-term value creation. Specifically, our compensation philosophy is as follows:</w:t>
      </w:r>
    </w:p>
    <w:p>
      <w:pPr>
        <w:spacing w:after="0" w:line="64" w:lineRule="exact"/>
        <w:rPr>
          <w:sz w:val="20"/>
          <w:szCs w:val="20"/>
          <w:color w:val="auto"/>
        </w:rPr>
      </w:pPr>
    </w:p>
    <w:p>
      <w:pPr>
        <w:ind w:left="1000" w:right="319" w:hanging="348"/>
        <w:spacing w:after="0" w:line="286"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Attract Top Talent </w:t>
      </w:r>
      <w:r>
        <w:rPr>
          <w:rFonts w:ascii="Times New Roman" w:cs="Times New Roman" w:eastAsia="Times New Roman" w:hAnsi="Times New Roman"/>
          <w:sz w:val="18"/>
          <w:szCs w:val="18"/>
          <w:color w:val="auto"/>
        </w:rPr>
        <w:t>– Given the nature of our business and our long-term financial and strategic objectives,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must compete with other top technology companies for talent to build and grow our Company;</w:t>
      </w:r>
    </w:p>
    <w:p>
      <w:pPr>
        <w:spacing w:after="0" w:line="46" w:lineRule="exact"/>
        <w:rPr>
          <w:rFonts w:ascii="Times New Roman" w:cs="Times New Roman" w:eastAsia="Times New Roman" w:hAnsi="Times New Roman"/>
          <w:sz w:val="18"/>
          <w:szCs w:val="18"/>
          <w:color w:val="auto"/>
        </w:rPr>
      </w:pPr>
    </w:p>
    <w:p>
      <w:pPr>
        <w:jc w:val="both"/>
        <w:ind w:left="1000" w:right="319" w:hanging="348"/>
        <w:spacing w:after="0" w:line="262"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 and Maintain a Performance-Based Culture </w:t>
      </w:r>
      <w:r>
        <w:rPr>
          <w:rFonts w:ascii="Times New Roman" w:cs="Times New Roman" w:eastAsia="Times New Roman" w:hAnsi="Times New Roman"/>
          <w:sz w:val="18"/>
          <w:szCs w:val="18"/>
          <w:color w:val="auto"/>
        </w:rPr>
        <w:t>– To be successful in a highly competitive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talent, we must create consistency through a compensation program that motivates exceptional performance by expanding the reach of our employees’ incentives so that they may share in the success of our business with our stockholders; and</w:t>
      </w:r>
    </w:p>
    <w:p>
      <w:pPr>
        <w:spacing w:after="0" w:line="68" w:lineRule="exact"/>
        <w:rPr>
          <w:rFonts w:ascii="Times New Roman" w:cs="Times New Roman" w:eastAsia="Times New Roman" w:hAnsi="Times New Roman"/>
          <w:sz w:val="18"/>
          <w:szCs w:val="18"/>
          <w:color w:val="auto"/>
        </w:rPr>
      </w:pPr>
    </w:p>
    <w:p>
      <w:pPr>
        <w:jc w:val="both"/>
        <w:ind w:left="1000" w:right="299" w:hanging="348"/>
        <w:spacing w:after="0" w:line="268"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Retain Exceptional Employees </w:t>
      </w:r>
      <w:r>
        <w:rPr>
          <w:rFonts w:ascii="Times New Roman" w:cs="Times New Roman" w:eastAsia="Times New Roman" w:hAnsi="Times New Roman"/>
          <w:sz w:val="18"/>
          <w:szCs w:val="18"/>
          <w:color w:val="auto"/>
        </w:rPr>
        <w:t>– To ensure that we can meet our objectives, we must foster a culture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instills a sense of commitment to the organization and each other while, at the same time, recognizing and rewarding individual contributions and impact.</w:t>
      </w:r>
    </w:p>
    <w:p>
      <w:pPr>
        <w:spacing w:after="0" w:line="6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 critical priority is to promote a long-term commitment to the Company by our Named Executive Officers and other key employees. We believe that there is great value to the Company in having a team of long-tenured, seasoned managers and knowledgeable, experienced employees. Our team-focused culture and management processes are designed to foster this commitment.</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While we are still evolving our compensation policies and practices, we strive for a fair, competitive, transparent, and equitable approach in recognizing and rewarding our Named Executive Officers and other employees. We take a principled approach to providing fair, relevant, and competitive compensation and benefits to a dynamic workforce with diverse needs. For our Named Executive Officers, we aim to balance short-term and long-term compensation and fixed amounts of cash with variable incentive compensation.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3" w:name="page104"/>
    <w:bookmarkEnd w:id="10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Elements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Generally, our executive compensation program consists of three principal elements – base salary, cash bonus opportunities, and long-term incentive compensation in the form of equity awards.</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Element</w:t>
            </w:r>
          </w:p>
        </w:tc>
        <w:tc>
          <w:tcPr>
            <w:tcW w:w="8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Type of</w:t>
            </w:r>
          </w:p>
        </w:tc>
        <w:tc>
          <w:tcPr>
            <w:tcW w:w="28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Compensation Element</w:t>
            </w:r>
          </w:p>
        </w:tc>
        <w:tc>
          <w:tcPr>
            <w:tcW w:w="3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Objective</w:t>
            </w:r>
          </w:p>
        </w:tc>
        <w:tc>
          <w:tcPr>
            <w:tcW w:w="0" w:type="dxa"/>
            <w:vAlign w:val="bottom"/>
          </w:tcPr>
          <w:p>
            <w:pPr>
              <w:spacing w:after="0"/>
              <w:rPr>
                <w:sz w:val="1"/>
                <w:szCs w:val="1"/>
                <w:color w:val="auto"/>
              </w:rPr>
            </w:pPr>
          </w:p>
        </w:tc>
      </w:tr>
      <w:tr>
        <w:trPr>
          <w:trHeight w:val="190"/>
        </w:trPr>
        <w:tc>
          <w:tcPr>
            <w:tcW w:w="1180" w:type="dxa"/>
            <w:vAlign w:val="bottom"/>
            <w:gridSpan w:val="2"/>
            <w:vMerge w:val="continue"/>
          </w:tcPr>
          <w:p>
            <w:pPr>
              <w:spacing w:after="0"/>
              <w:rPr>
                <w:sz w:val="16"/>
                <w:szCs w:val="16"/>
                <w:color w:val="auto"/>
              </w:rPr>
            </w:pPr>
          </w:p>
        </w:tc>
        <w:tc>
          <w:tcPr>
            <w:tcW w:w="8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Element</w:t>
            </w:r>
          </w:p>
        </w:tc>
        <w:tc>
          <w:tcPr>
            <w:tcW w:w="2800" w:type="dxa"/>
            <w:vAlign w:val="bottom"/>
            <w:gridSpan w:val="3"/>
            <w:vMerge w:val="continue"/>
          </w:tcPr>
          <w:p>
            <w:pPr>
              <w:spacing w:after="0"/>
              <w:rPr>
                <w:sz w:val="16"/>
                <w:szCs w:val="16"/>
                <w:color w:val="auto"/>
              </w:rPr>
            </w:pPr>
          </w:p>
        </w:tc>
        <w:tc>
          <w:tcPr>
            <w:tcW w:w="3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Salary</w:t>
            </w: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w:t>
            </w:r>
          </w:p>
        </w:tc>
        <w:tc>
          <w:tcPr>
            <w:tcW w:w="2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w:t>
            </w: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Designed to attract and retain executives by</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providing a competitive fixed amount of cash</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compensation based on the executive’s role, prior</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experience, and expected contributions to the</w:t>
            </w:r>
          </w:p>
        </w:tc>
        <w:tc>
          <w:tcPr>
            <w:tcW w:w="0" w:type="dxa"/>
            <w:vAlign w:val="bottom"/>
          </w:tcPr>
          <w:p>
            <w:pPr>
              <w:spacing w:after="0"/>
              <w:rPr>
                <w:sz w:val="1"/>
                <w:szCs w:val="1"/>
                <w:color w:val="auto"/>
              </w:rPr>
            </w:pPr>
          </w:p>
        </w:tc>
      </w:tr>
      <w:tr>
        <w:trPr>
          <w:trHeight w:val="268"/>
        </w:trPr>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w:t>
            </w:r>
          </w:p>
        </w:tc>
        <w:tc>
          <w:tcPr>
            <w:tcW w:w="0" w:type="dxa"/>
            <w:vAlign w:val="bottom"/>
          </w:tcPr>
          <w:p>
            <w:pPr>
              <w:spacing w:after="0"/>
              <w:rPr>
                <w:sz w:val="1"/>
                <w:szCs w:val="1"/>
                <w:color w:val="auto"/>
              </w:rPr>
            </w:pPr>
          </w:p>
        </w:tc>
      </w:tr>
      <w:tr>
        <w:trPr>
          <w:trHeight w:val="252"/>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Bonuses</w:t>
            </w: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Variable</w:t>
            </w:r>
          </w:p>
        </w:tc>
        <w:tc>
          <w:tcPr>
            <w:tcW w:w="2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Cash</w:t>
            </w: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Designed to motivate our executives to achieve</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business objectives tied to specific Company</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metrics and which are aligned to our annual</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priorities, with the payout opportunity based on</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Company and individual performance</w:t>
            </w: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364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w:t>
            </w: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w:t>
            </w:r>
          </w:p>
        </w:tc>
        <w:tc>
          <w:tcPr>
            <w:tcW w:w="63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 awards in the form of RSU Designed to align the interests of our executives</w:t>
            </w:r>
          </w:p>
        </w:tc>
        <w:tc>
          <w:tcPr>
            <w:tcW w:w="0" w:type="dxa"/>
            <w:vAlign w:val="bottom"/>
          </w:tcPr>
          <w:p>
            <w:pPr>
              <w:spacing w:after="0"/>
              <w:rPr>
                <w:sz w:val="1"/>
                <w:szCs w:val="1"/>
                <w:color w:val="auto"/>
              </w:rPr>
            </w:pPr>
          </w:p>
        </w:tc>
      </w:tr>
      <w:tr>
        <w:trPr>
          <w:trHeight w:val="216"/>
        </w:trPr>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w:t>
            </w:r>
          </w:p>
        </w:tc>
        <w:tc>
          <w:tcPr>
            <w:tcW w:w="88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awards  that  may  be  settled  for</w:t>
            </w: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our stockholders while helping to attract and</w:t>
            </w:r>
          </w:p>
        </w:tc>
        <w:tc>
          <w:tcPr>
            <w:tcW w:w="0" w:type="dxa"/>
            <w:vAlign w:val="bottom"/>
          </w:tcPr>
          <w:p>
            <w:pPr>
              <w:spacing w:after="0"/>
              <w:rPr>
                <w:sz w:val="1"/>
                <w:szCs w:val="1"/>
                <w:color w:val="auto"/>
              </w:rPr>
            </w:pPr>
          </w:p>
        </w:tc>
      </w:tr>
      <w:tr>
        <w:trPr>
          <w:trHeight w:val="216"/>
        </w:trPr>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88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shares  of  our  Class A Common</w:t>
            </w: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retain talented leaders by paying for performance</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 and PRSU awards that may</w:t>
            </w:r>
          </w:p>
        </w:tc>
        <w:tc>
          <w:tcPr>
            <w:tcW w:w="3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be earned and settled for shares of</w:t>
            </w:r>
          </w:p>
        </w:tc>
        <w:tc>
          <w:tcPr>
            <w:tcW w:w="3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our Class A Common Stock</w:t>
            </w:r>
          </w:p>
        </w:tc>
        <w:tc>
          <w:tcPr>
            <w:tcW w:w="3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0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6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35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-2416810</wp:posOffset>
            </wp:positionV>
            <wp:extent cx="514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-2416810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-2416810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also provide certain post-employment compensation (severance and change-in-control) payments and benefits that are consistent with our view of competitive market practices, and other benefits, such as health and welfare programs, including a Section 401(k) retirement savings plan. In general, our executive officers participate in the standard employee health and welfare benefit programs available to our employees generally.</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Base salary represents the fixed portion of the compensation of our Named Executive Officers and is a critical element of compensation intended to attract and retain highly talented individuals. Generally, the base salary for each Named Executive Officer is intended to provide a fixed amount of cash compensation that is based on the executive’s role, experience, and expected contributions to the Company. Base salary is also designed to provide our Named Executive Officers with steady cash flow during the course of the fiscal year that is not contingent on short-term variations in our corporate performance.</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annual base salaries of our Named Executive Officers for 2023 were as follows:</w:t>
      </w:r>
    </w:p>
    <w:p>
      <w:pPr>
        <w:spacing w:after="0" w:line="23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 Base Salary</w:t>
            </w:r>
          </w:p>
        </w:tc>
        <w:tc>
          <w:tcPr>
            <w:tcW w:w="0" w:type="dxa"/>
            <w:vAlign w:val="bottom"/>
          </w:tcPr>
          <w:p>
            <w:pPr>
              <w:spacing w:after="0"/>
              <w:rPr>
                <w:sz w:val="1"/>
                <w:szCs w:val="1"/>
                <w:color w:val="auto"/>
              </w:rPr>
            </w:pPr>
          </w:p>
        </w:tc>
      </w:tr>
      <w:tr>
        <w:trPr>
          <w:trHeight w:val="190"/>
        </w:trPr>
        <w:tc>
          <w:tcPr>
            <w:tcW w:w="73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50"/>
        </w:trPr>
        <w:tc>
          <w:tcPr>
            <w:tcW w:w="71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372"/>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Francis</w:t>
            </w:r>
            <w:r>
              <w:rPr>
                <w:rFonts w:ascii="Times New Roman" w:cs="Times New Roman" w:eastAsia="Times New Roman" w:hAnsi="Times New Roman"/>
                <w:sz w:val="29"/>
                <w:szCs w:val="29"/>
                <w:color w:val="auto"/>
                <w:vertAlign w:val="superscript"/>
              </w:rPr>
              <w:t>(1)</w:t>
            </w:r>
          </w:p>
        </w:tc>
        <w:tc>
          <w:tcPr>
            <w:tcW w:w="10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$1,020,000</w:t>
            </w:r>
          </w:p>
        </w:tc>
        <w:tc>
          <w:tcPr>
            <w:tcW w:w="0" w:type="dxa"/>
            <w:vAlign w:val="bottom"/>
          </w:tcPr>
          <w:p>
            <w:pPr>
              <w:spacing w:after="0"/>
              <w:rPr>
                <w:sz w:val="1"/>
                <w:szCs w:val="1"/>
                <w:color w:val="auto"/>
              </w:rPr>
            </w:pPr>
          </w:p>
        </w:tc>
      </w:tr>
      <w:tr>
        <w:trPr>
          <w:trHeight w:val="270"/>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410,000</w:t>
            </w:r>
          </w:p>
        </w:tc>
        <w:tc>
          <w:tcPr>
            <w:tcW w:w="0" w:type="dxa"/>
            <w:vAlign w:val="bottom"/>
          </w:tcPr>
          <w:p>
            <w:pPr>
              <w:spacing w:after="0"/>
              <w:rPr>
                <w:sz w:val="1"/>
                <w:szCs w:val="1"/>
                <w:color w:val="auto"/>
              </w:rPr>
            </w:pPr>
          </w:p>
        </w:tc>
      </w:tr>
      <w:tr>
        <w:trPr>
          <w:trHeight w:val="54"/>
        </w:trPr>
        <w:tc>
          <w:tcPr>
            <w:tcW w:w="7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Duncan Grazier</w:t>
            </w:r>
            <w:r>
              <w:rPr>
                <w:rFonts w:ascii="Times New Roman" w:cs="Times New Roman" w:eastAsia="Times New Roman" w:hAnsi="Times New Roman"/>
                <w:sz w:val="29"/>
                <w:szCs w:val="29"/>
                <w:color w:val="auto"/>
                <w:vertAlign w:val="superscript"/>
              </w:rPr>
              <w:t>(2)</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408,171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-685165</wp:posOffset>
            </wp:positionV>
            <wp:extent cx="1371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Francis’ base salary in 2023 of $1,020,000 became effective on August 15, 2023.</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Grazier’s previous annual base salary was $402,500 and was increased to $425,000 on September 30, 2023.</w:t>
      </w:r>
    </w:p>
    <w:p>
      <w:pPr>
        <w:spacing w:after="0" w:line="100"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Upon review, the Compensation Committee (i) awarded the annual base salary for Mr. Francis, (ii) made no adjustment to, and confirmed the annual base salary of Mr. Camire, and (iii) increased Mr. Grazier’s annual base salary as part of its annual review of our executive compensation program.</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total base salaries paid to our Named Executive Officers during 2023 are set forth in the “Summary Compensation Table” below.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4" w:name="page105"/>
    <w:bookmarkEnd w:id="10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Cash Bonuses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Target Bonus Opportunities</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From time to time, our Compensation Committee may adjust a Named Executive Officer’s target cash bonus opportunity after taking into account the Named Executive Officer’s position, role and responsibilities, experience, prior target cash bonus opportunity, the target bonus opportunities of our other Named Executive Officers, and our compensation objectives. Our Compensation Committee also considered information about the target bonus opportunities of similarly situated executives in other companies at a similar stage of development. Upon review, the Compensation Committee (i) awarded Mr. Francis a signing bonus as part of his offer letter, (ii) increased the target cash bonus opportunity of Mr. Camire, and (iii) made no adjustments to Mr. Grazier’s target cash bonus opportunity as part of its annual review of our executive compensation program.</w:t>
      </w:r>
    </w:p>
    <w:p>
      <w:pPr>
        <w:spacing w:after="0" w:line="8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target cash bonus opportunities of our Named Executive Officers for 2023, as a percentage of annual base salary, were as follows:</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2023 Base Cash Bonus</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2023 Target Cash Bonus</w:t>
            </w:r>
          </w:p>
        </w:tc>
        <w:tc>
          <w:tcPr>
            <w:tcW w:w="0" w:type="dxa"/>
            <w:vAlign w:val="bottom"/>
          </w:tcPr>
          <w:p>
            <w:pPr>
              <w:spacing w:after="0"/>
              <w:rPr>
                <w:sz w:val="1"/>
                <w:szCs w:val="1"/>
                <w:color w:val="auto"/>
              </w:rPr>
            </w:pPr>
          </w:p>
        </w:tc>
      </w:tr>
      <w:tr>
        <w:trPr>
          <w:trHeight w:val="148"/>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Opportunity</w:t>
            </w:r>
          </w:p>
        </w:tc>
        <w:tc>
          <w:tcPr>
            <w:tcW w:w="15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Opportunity</w:t>
            </w:r>
          </w:p>
        </w:tc>
        <w:tc>
          <w:tcPr>
            <w:tcW w:w="0" w:type="dxa"/>
            <w:vAlign w:val="bottom"/>
          </w:tcPr>
          <w:p>
            <w:pPr>
              <w:spacing w:after="0"/>
              <w:rPr>
                <w:sz w:val="1"/>
                <w:szCs w:val="1"/>
                <w:color w:val="auto"/>
              </w:rPr>
            </w:pPr>
          </w:p>
        </w:tc>
      </w:tr>
      <w:tr>
        <w:trPr>
          <w:trHeight w:val="190"/>
        </w:trPr>
        <w:tc>
          <w:tcPr>
            <w:tcW w:w="4720" w:type="dxa"/>
            <w:vAlign w:val="bottom"/>
            <w:gridSpan w:val="2"/>
            <w:vMerge w:val="continue"/>
          </w:tcPr>
          <w:p>
            <w:pPr>
              <w:spacing w:after="0"/>
              <w:rPr>
                <w:sz w:val="16"/>
                <w:szCs w:val="16"/>
                <w:color w:val="auto"/>
              </w:rPr>
            </w:pPr>
          </w:p>
        </w:tc>
        <w:tc>
          <w:tcPr>
            <w:tcW w:w="2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a percentage of base salary)</w:t>
            </w:r>
          </w:p>
        </w:tc>
        <w:tc>
          <w:tcPr>
            <w:tcW w:w="600" w:type="dxa"/>
            <w:vAlign w:val="bottom"/>
          </w:tcPr>
          <w:p>
            <w:pPr>
              <w:spacing w:after="0"/>
              <w:rPr>
                <w:sz w:val="16"/>
                <w:szCs w:val="16"/>
                <w:color w:val="auto"/>
              </w:rPr>
            </w:pPr>
          </w:p>
        </w:tc>
        <w:tc>
          <w:tcPr>
            <w:tcW w:w="940" w:type="dxa"/>
            <w:vAlign w:val="bottom"/>
          </w:tcPr>
          <w:p>
            <w:pPr>
              <w:jc w:val="center"/>
              <w:ind w:right="5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452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4720" w:type="dxa"/>
            <w:vAlign w:val="bottom"/>
            <w:gridSpan w:val="2"/>
            <w:shd w:val="clear" w:color="auto" w:fill="CCEEFF"/>
          </w:tcPr>
          <w:p>
            <w:pPr>
              <w:spacing w:after="0" w:line="331" w:lineRule="exact"/>
              <w:rPr>
                <w:sz w:val="20"/>
                <w:szCs w:val="20"/>
                <w:color w:val="auto"/>
              </w:rPr>
            </w:pPr>
            <w:r>
              <w:rPr>
                <w:rFonts w:ascii="Times New Roman" w:cs="Times New Roman" w:eastAsia="Times New Roman" w:hAnsi="Times New Roman"/>
                <w:sz w:val="18"/>
                <w:szCs w:val="18"/>
                <w:color w:val="auto"/>
              </w:rPr>
              <w:t>Douglas Francis</w:t>
            </w:r>
            <w:r>
              <w:rPr>
                <w:rFonts w:ascii="Times New Roman" w:cs="Times New Roman" w:eastAsia="Times New Roman" w:hAnsi="Times New Roman"/>
                <w:sz w:val="29"/>
                <w:szCs w:val="29"/>
                <w:color w:val="auto"/>
                <w:vertAlign w:val="superscript"/>
              </w:rPr>
              <w:t>(1)</w:t>
            </w:r>
          </w:p>
        </w:tc>
        <w:tc>
          <w:tcPr>
            <w:tcW w:w="21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19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21"/>
                <w:szCs w:val="21"/>
                <w:color w:val="auto"/>
              </w:rPr>
            </w:pPr>
          </w:p>
        </w:tc>
        <w:tc>
          <w:tcPr>
            <w:tcW w:w="1540" w:type="dxa"/>
            <w:vAlign w:val="bottom"/>
            <w:gridSpan w:val="2"/>
          </w:tcPr>
          <w:p>
            <w:pPr>
              <w:jc w:val="right"/>
              <w:ind w:right="359"/>
              <w:spacing w:after="0"/>
              <w:rPr>
                <w:sz w:val="20"/>
                <w:szCs w:val="20"/>
                <w:color w:val="auto"/>
              </w:rPr>
            </w:pPr>
            <w:r>
              <w:rPr>
                <w:rFonts w:ascii="Times New Roman" w:cs="Times New Roman" w:eastAsia="Times New Roman" w:hAnsi="Times New Roman"/>
                <w:sz w:val="18"/>
                <w:szCs w:val="18"/>
                <w:color w:val="auto"/>
              </w:rPr>
              <w:t>$205,000</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8"/>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Duncan Grazier</w:t>
            </w:r>
            <w:r>
              <w:rPr>
                <w:rFonts w:ascii="Times New Roman" w:cs="Times New Roman" w:eastAsia="Times New Roman" w:hAnsi="Times New Roman"/>
                <w:sz w:val="29"/>
                <w:szCs w:val="29"/>
                <w:color w:val="auto"/>
                <w:vertAlign w:val="superscript"/>
              </w:rPr>
              <w:t>(2)</w:t>
            </w:r>
          </w:p>
        </w:tc>
        <w:tc>
          <w:tcPr>
            <w:tcW w:w="19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color w:val="auto"/>
              </w:rPr>
              <w:t>$212,500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4437380</wp:posOffset>
            </wp:positionH>
            <wp:positionV relativeFrom="paragraph">
              <wp:posOffset>-607695</wp:posOffset>
            </wp:positionV>
            <wp:extent cx="12001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-607695</wp:posOffset>
            </wp:positionV>
            <wp:extent cx="12001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120015</wp:posOffset>
            </wp:positionV>
            <wp:extent cx="8229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14" w:lineRule="exact"/>
        <w:rPr>
          <w:sz w:val="20"/>
          <w:szCs w:val="20"/>
          <w:color w:val="auto"/>
        </w:rPr>
      </w:pPr>
    </w:p>
    <w:p>
      <w:pPr>
        <w:ind w:left="640" w:right="299" w:hanging="348"/>
        <w:spacing w:after="0" w:line="261" w:lineRule="auto"/>
        <w:tabs>
          <w:tab w:leader="none" w:pos="6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Francis was not eligible for a target bonus opportunity in 2023 , but did receive a signing bonus of $700,000 in connection with the entry into his offer letter dated August 15, 2023.</w:t>
      </w:r>
    </w:p>
    <w:p>
      <w:pPr>
        <w:ind w:left="640" w:hanging="348"/>
        <w:spacing w:after="0"/>
        <w:tabs>
          <w:tab w:leader="none" w:pos="6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Grazier’s approved target bonus by the Compensation Committee was based off his increased base salary of $425,000.</w:t>
      </w:r>
    </w:p>
    <w:p>
      <w:pPr>
        <w:spacing w:after="0" w:line="2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Evaluation of Performance</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formal cash bonus plan for 2023 adopted by the Compensation Committee for Mr. Camire and Mr. Grazier did not have an individual award component and was based on Company performance against Revenue, Adj. EBITDA, and Cash targets for fiscal year 2023 in the same manner as the core bonus plan for the rest of the employees of the Company. See “Cash Bonus Payments” for additional details regarding our cash bonus plan.</w:t>
      </w: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Cash Bonus Payments</w:t>
      </w:r>
    </w:p>
    <w:p>
      <w:pPr>
        <w:spacing w:after="0" w:line="11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September 2023 the Compensation Committee approved the short-term incentive plan (STIP) for 2023, which was entirely based on our actual financial performance for the year. The company performance award comprised 100% of the cash bonuses available under the STIP, and was based on (i) fiscal year 2023 Revenue achievement (50% of the company performance award) and (ii) fiscal year 2023 Adj. EBITDA achievement (50% of the company performance award), with a minimum cash component measured as of December 31, 2023 which was a minimum condition to be met in order for any bonus to be paid. The Compensation Committee reviewed and provided input on our Executive Chair’s determinations as to each Named Executive Officer’s cash bonus target.</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Based on our Compensation Committee’s assessment of our corporate performance during the fiscal year, our Named Executive Officers 2023 STIP bonus was achieved at 66.5% based on achievement of the 2023 Revenue and 2023 Adjusted EBITDA goals. In May 2024, upon review and consideration of executive performance for 2023, our Compensation Committee determined that a discretionary cash bonus should be paid to Mr. Camire and Mr. Grazier to account for their individual contributions, raising their cash bonus amounts to $181,425 and $188,062, respectively:</w:t>
      </w:r>
    </w:p>
    <w:p>
      <w:pPr>
        <w:spacing w:after="0" w:line="19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2023 Target Cash Bonus</w:t>
            </w:r>
          </w:p>
        </w:tc>
        <w:tc>
          <w:tcPr>
            <w:tcW w:w="16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Actual 2023 Cash Bonus</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Actual 2023 Cash Bonus</w:t>
            </w:r>
          </w:p>
        </w:tc>
        <w:tc>
          <w:tcPr>
            <w:tcW w:w="0" w:type="dxa"/>
            <w:vAlign w:val="bottom"/>
          </w:tcPr>
          <w:p>
            <w:pPr>
              <w:spacing w:after="0"/>
              <w:rPr>
                <w:sz w:val="1"/>
                <w:szCs w:val="1"/>
                <w:color w:val="auto"/>
              </w:rPr>
            </w:pPr>
          </w:p>
        </w:tc>
      </w:tr>
      <w:tr>
        <w:trPr>
          <w:trHeight w:val="146"/>
        </w:trPr>
        <w:tc>
          <w:tcPr>
            <w:tcW w:w="3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20" w:type="dxa"/>
            <w:vAlign w:val="bottom"/>
            <w:vMerge w:val="restart"/>
          </w:tcPr>
          <w:p>
            <w:pPr>
              <w:spacing w:after="0"/>
              <w:rPr>
                <w:sz w:val="12"/>
                <w:szCs w:val="12"/>
                <w:color w:val="auto"/>
              </w:rPr>
            </w:pPr>
          </w:p>
        </w:tc>
        <w:tc>
          <w:tcPr>
            <w:tcW w:w="1640" w:type="dxa"/>
            <w:vAlign w:val="bottom"/>
            <w:gridSpan w:val="3"/>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Opportunity</w:t>
            </w:r>
          </w:p>
        </w:tc>
        <w:tc>
          <w:tcPr>
            <w:tcW w:w="1640" w:type="dxa"/>
            <w:vAlign w:val="bottom"/>
            <w:gridSpan w:val="3"/>
            <w:vMerge w:val="continue"/>
          </w:tcPr>
          <w:p>
            <w:pPr>
              <w:spacing w:after="0"/>
              <w:rPr>
                <w:sz w:val="12"/>
                <w:szCs w:val="12"/>
                <w:color w:val="auto"/>
              </w:rPr>
            </w:pPr>
          </w:p>
        </w:tc>
        <w:tc>
          <w:tcPr>
            <w:tcW w:w="15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(as a percentage of target</w:t>
            </w:r>
          </w:p>
        </w:tc>
        <w:tc>
          <w:tcPr>
            <w:tcW w:w="0" w:type="dxa"/>
            <w:vAlign w:val="bottom"/>
          </w:tcPr>
          <w:p>
            <w:pPr>
              <w:spacing w:after="0"/>
              <w:rPr>
                <w:sz w:val="1"/>
                <w:szCs w:val="1"/>
                <w:color w:val="auto"/>
              </w:rPr>
            </w:pPr>
          </w:p>
        </w:tc>
      </w:tr>
      <w:tr>
        <w:trPr>
          <w:trHeight w:val="230"/>
        </w:trPr>
        <w:tc>
          <w:tcPr>
            <w:tcW w:w="34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51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19"/>
              <w:spacing w:after="0" w:line="230"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23"/>
                <w:szCs w:val="23"/>
                <w:b w:val="1"/>
                <w:bCs w:val="1"/>
                <w:color w:val="auto"/>
                <w:w w:val="99"/>
                <w:vertAlign w:val="superscript"/>
              </w:rPr>
              <w:t>(2)</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cash bonus opportunity)</w:t>
            </w:r>
          </w:p>
        </w:tc>
        <w:tc>
          <w:tcPr>
            <w:tcW w:w="0" w:type="dxa"/>
            <w:vAlign w:val="bottom"/>
          </w:tcPr>
          <w:p>
            <w:pPr>
              <w:spacing w:after="0"/>
              <w:rPr>
                <w:sz w:val="1"/>
                <w:szCs w:val="1"/>
                <w:color w:val="auto"/>
              </w:rPr>
            </w:pPr>
          </w:p>
        </w:tc>
      </w:tr>
      <w:tr>
        <w:trPr>
          <w:trHeight w:val="331"/>
        </w:trPr>
        <w:tc>
          <w:tcPr>
            <w:tcW w:w="3560" w:type="dxa"/>
            <w:vAlign w:val="bottom"/>
            <w:gridSpan w:val="2"/>
            <w:shd w:val="clear" w:color="auto" w:fill="CCEEFF"/>
          </w:tcPr>
          <w:p>
            <w:pPr>
              <w:spacing w:after="0" w:line="331" w:lineRule="exact"/>
              <w:rPr>
                <w:sz w:val="20"/>
                <w:szCs w:val="20"/>
                <w:color w:val="auto"/>
              </w:rPr>
            </w:pPr>
            <w:r>
              <w:rPr>
                <w:rFonts w:ascii="Times New Roman" w:cs="Times New Roman" w:eastAsia="Times New Roman" w:hAnsi="Times New Roman"/>
                <w:sz w:val="18"/>
                <w:szCs w:val="18"/>
                <w:color w:val="auto"/>
              </w:rPr>
              <w:t>Douglas Francis</w:t>
            </w:r>
            <w:r>
              <w:rPr>
                <w:rFonts w:ascii="Times New Roman" w:cs="Times New Roman" w:eastAsia="Times New Roman" w:hAnsi="Times New Roman"/>
                <w:sz w:val="29"/>
                <w:szCs w:val="29"/>
                <w:color w:val="auto"/>
                <w:vertAlign w:val="superscript"/>
              </w:rPr>
              <w:t>(1)</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1540" w:type="dxa"/>
            <w:vAlign w:val="bottom"/>
            <w:gridSpan w:val="2"/>
          </w:tcPr>
          <w:p>
            <w:pPr>
              <w:jc w:val="right"/>
              <w:ind w:right="339"/>
              <w:spacing w:after="0"/>
              <w:rPr>
                <w:sz w:val="20"/>
                <w:szCs w:val="20"/>
                <w:color w:val="auto"/>
              </w:rPr>
            </w:pPr>
            <w:r>
              <w:rPr>
                <w:rFonts w:ascii="Times New Roman" w:cs="Times New Roman" w:eastAsia="Times New Roman" w:hAnsi="Times New Roman"/>
                <w:sz w:val="18"/>
                <w:szCs w:val="18"/>
                <w:color w:val="auto"/>
              </w:rPr>
              <w:t>$205,000</w:t>
            </w:r>
          </w:p>
        </w:tc>
        <w:tc>
          <w:tcPr>
            <w:tcW w:w="100" w:type="dxa"/>
            <w:vAlign w:val="bottom"/>
          </w:tcPr>
          <w:p>
            <w:pPr>
              <w:spacing w:after="0"/>
              <w:rPr>
                <w:sz w:val="21"/>
                <w:szCs w:val="21"/>
                <w:color w:val="auto"/>
              </w:rPr>
            </w:pPr>
          </w:p>
        </w:tc>
        <w:tc>
          <w:tcPr>
            <w:tcW w:w="1520" w:type="dxa"/>
            <w:vAlign w:val="bottom"/>
            <w:gridSpan w:val="2"/>
          </w:tcPr>
          <w:p>
            <w:pPr>
              <w:jc w:val="right"/>
              <w:ind w:right="339"/>
              <w:spacing w:after="0"/>
              <w:rPr>
                <w:sz w:val="20"/>
                <w:szCs w:val="20"/>
                <w:color w:val="auto"/>
              </w:rPr>
            </w:pPr>
            <w:r>
              <w:rPr>
                <w:rFonts w:ascii="Times New Roman" w:cs="Times New Roman" w:eastAsia="Times New Roman" w:hAnsi="Times New Roman"/>
                <w:sz w:val="18"/>
                <w:szCs w:val="18"/>
                <w:color w:val="auto"/>
              </w:rPr>
              <w:t>$181,425</w:t>
            </w:r>
          </w:p>
        </w:tc>
        <w:tc>
          <w:tcPr>
            <w:tcW w:w="120" w:type="dxa"/>
            <w:vAlign w:val="bottom"/>
          </w:tcPr>
          <w:p>
            <w:pPr>
              <w:spacing w:after="0"/>
              <w:rPr>
                <w:sz w:val="21"/>
                <w:szCs w:val="21"/>
                <w:color w:val="auto"/>
              </w:rPr>
            </w:pPr>
          </w:p>
        </w:tc>
        <w:tc>
          <w:tcPr>
            <w:tcW w:w="15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7"/>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Duncan Grazier</w:t>
            </w:r>
            <w:r>
              <w:rPr>
                <w:rFonts w:ascii="Times New Roman" w:cs="Times New Roman" w:eastAsia="Times New Roman" w:hAnsi="Times New Roman"/>
                <w:sz w:val="29"/>
                <w:szCs w:val="29"/>
                <w:color w:val="auto"/>
                <w:vertAlign w:val="superscript"/>
              </w:rPr>
              <w:t>(2)</w:t>
            </w:r>
          </w:p>
        </w:tc>
        <w:tc>
          <w:tcPr>
            <w:tcW w:w="1540" w:type="dxa"/>
            <w:vAlign w:val="bottom"/>
            <w:gridSpan w:val="2"/>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$212,500</w:t>
            </w:r>
          </w:p>
        </w:tc>
        <w:tc>
          <w:tcPr>
            <w:tcW w:w="10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$188,062</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-607695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-607695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-607695</wp:posOffset>
            </wp:positionV>
            <wp:extent cx="774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120015</wp:posOffset>
            </wp:positionV>
            <wp:extent cx="8229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14" w:lineRule="exact"/>
        <w:rPr>
          <w:sz w:val="20"/>
          <w:szCs w:val="20"/>
          <w:color w:val="auto"/>
        </w:rPr>
      </w:pPr>
    </w:p>
    <w:p>
      <w:pPr>
        <w:ind w:left="640" w:hanging="348"/>
        <w:spacing w:after="0"/>
        <w:tabs>
          <w:tab w:leader="none" w:pos="6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Francis was not eligible for a bonus in 2023 other than his signing bonus disclosed in the Summary Compensation Table below.</w:t>
      </w:r>
    </w:p>
    <w:p>
      <w:pPr>
        <w:spacing w:after="0" w:line="41"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2023 Cash Bonus for Mr. Grazier does not include a retention bonus in the amount of $200,000 paid to Mr. Grazier, as set forth in his retention bonus agreement described in the Form 8-K filed by the Company on October 6, 2023.</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5" w:name="page106"/>
    <w:bookmarkEnd w:id="10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Going forward, we anticipate the Compensation Committee will design and adopt a similar cash bonus plan for our Named Executive Officers as part of its annual review of our executive compensation program.</w:t>
      </w:r>
    </w:p>
    <w:p>
      <w:pPr>
        <w:spacing w:after="0" w:line="5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annual bonuses awarded to our Named Executive Officers for 2023 are set forth in the “Summary Compensation Table” below.</w:t>
      </w:r>
    </w:p>
    <w:p>
      <w:pPr>
        <w:spacing w:after="0" w:line="1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Long-Term Equity Incentive Compensation</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encounter significant competition for qualified personnel, and long-term incentive compensation plays a critical role in our ability to attract, hire, motivate, and reward qualified and experienced executives. The use of long-term incentive compensation in the form of equity awards is necessary for us to compete for qualified executives without significantly increasing cash compensation and is the most important element of our executive compensation program. We use equity awards to incentivize and reward our Named Executive Officers for long-term corporate performance based on the value of our Class A Common Stock and, thereby, align their interests with the interests of our stockholders. The realized value of these equity awards bears a direct relationship to our stock price, and, therefore, these awards are an incentive for our Named Executive Officers to create value for our stockholders. Equity awards also help us retain our Named Executive Officers in a highly competitive market.</w:t>
      </w:r>
    </w:p>
    <w:p>
      <w:pPr>
        <w:spacing w:after="0" w:line="80"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December 2021, we granted time-based RSU awards and PRSU awards, which may be settled for shares of our Class A Common Stock, to motivate and reward our Named Executive Officers for long-term increases in the value of our Class A Common Stock. Mr. Grazier was not a Named Executive Officer at the time, and received time-based RSU awards in August 2021 and March 2022 consistent with other non-executive employees. Mr. Francis did not receive any RSU awards in 2023 in his role as our Executive Chair. We view these equity awards, whether the awards are subject to time-based vesting requirements or are to be earned based on the attainment of specific performance objectives over a multi-year performance period, as inherently variable since the grant date fair value of these awards may not necessarily be indicative of their value when, and if, the stock underlying these awards vest or are earned. Because RSU awards have value to the recipient even in the absence of stock price appreciation, we believe that we are able to incentivize and retain our Named Executive Officers using fewer shares of our Class A Common Stock than would be necessary if we used stock options to provide an equity stake in the Company. Further, since the value of RSU awards increases with any increase in the value of the underlying shares, RSU awards also provide incentives to our Named Executive Officers that are aligned with the interests of our stockholders. We believe that PRSU awards also served as an effective source of motivation for our Named Executive Officers to drive our financial performance. In addition, PRSU awards provided a direct link between compensation and stockholder return, thereby motivating our Named Executive Officers to focus on and strive to achieve both our annual and long-term financial and strategic objectives.</w:t>
      </w:r>
    </w:p>
    <w:p>
      <w:pPr>
        <w:spacing w:after="0" w:line="8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Compensation Committee reviewed and determined the size of the equity awards of our current Named Executive Officers based on a formula that took into account each eligible Named Executive Officer’s position, qualifications, experience and a competitive market analysis prepared by its compensation consultant, and awarded time-based RSU awards to Mr. Grazier and Mr. Camire in September 2023. Based upon these factors, the Compensation Committee determined the size of each equity award at levels considered appropriate to create a meaningful opportunity for reward predicated on the creation of long-term stockholder value.</w:t>
      </w:r>
    </w:p>
    <w:p>
      <w:pPr>
        <w:spacing w:after="0" w:line="7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equity awards granted to our Named Executive Officers in 2023 under the WM Technology, Inc. 2021 Equity Incentive Plan (the “2021 Equity Plan”), were as follows:</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RSU Awards</w:t>
            </w: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RSU Awards</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PRSU Awards</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PRSU Awards</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10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49"/>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260" w:type="dxa"/>
            <w:vAlign w:val="bottom"/>
          </w:tcPr>
          <w:p>
            <w:pPr>
              <w:spacing w:after="0"/>
              <w:rPr>
                <w:sz w:val="12"/>
                <w:szCs w:val="12"/>
                <w:color w:val="auto"/>
              </w:rPr>
            </w:pPr>
          </w:p>
        </w:tc>
        <w:tc>
          <w:tcPr>
            <w:tcW w:w="8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0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units)</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0"/>
        </w:trPr>
        <w:tc>
          <w:tcPr>
            <w:tcW w:w="4460" w:type="dxa"/>
            <w:vAlign w:val="bottom"/>
            <w:gridSpan w:val="2"/>
            <w:vMerge w:val="continue"/>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90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50"/>
        </w:trPr>
        <w:tc>
          <w:tcPr>
            <w:tcW w:w="4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Francis</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70"/>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Duncan Grazier</w:t>
            </w:r>
          </w:p>
        </w:tc>
        <w:tc>
          <w:tcPr>
            <w:tcW w:w="8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692,968</w:t>
            </w:r>
          </w:p>
        </w:tc>
        <w:tc>
          <w:tcPr>
            <w:tcW w:w="100" w:type="dxa"/>
            <w:vAlign w:val="bottom"/>
          </w:tcPr>
          <w:p>
            <w:pPr>
              <w:spacing w:after="0"/>
              <w:rPr>
                <w:sz w:val="23"/>
                <w:szCs w:val="23"/>
                <w:color w:val="auto"/>
              </w:rPr>
            </w:pPr>
          </w:p>
        </w:tc>
        <w:tc>
          <w:tcPr>
            <w:tcW w:w="98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$914,718</w:t>
            </w:r>
          </w:p>
        </w:tc>
        <w:tc>
          <w:tcPr>
            <w:tcW w:w="100" w:type="dxa"/>
            <w:vAlign w:val="bottom"/>
          </w:tcPr>
          <w:p>
            <w:pPr>
              <w:spacing w:after="0"/>
              <w:rPr>
                <w:sz w:val="23"/>
                <w:szCs w:val="23"/>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8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655,468</w:t>
            </w: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$865,218</w:t>
            </w: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54"/>
        </w:trPr>
        <w:tc>
          <w:tcPr>
            <w:tcW w:w="43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4848860</wp:posOffset>
            </wp:positionH>
            <wp:positionV relativeFrom="paragraph">
              <wp:posOffset>-633730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-633730</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-633730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-633730</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RSU Awards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RSU awards granted to Mr. Camire in 2021, and to Mr. Grazier and Mr. Camire in September 2023 each vest in equal quarterly installments over three years following the vesting commencement date, and vesting terminates upon the Named Executive Officer’s termination of continuous service with us. Each unit granted pursuant to these RSU awards represents a contingent right to receive one share of our Class A Common Stock for each unit that vests.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6" w:name="page107"/>
    <w:bookmarkEnd w:id="10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RSU awards originally granted to Mr. Grazier in August 2021 and March 2022 vest in equal quarterly installments over four years commencing on the first vest date (except that 25% of Mr. Grazier’s first grant vests on a one-year cliff first vest date), and vesting terminates upon Mr. Grazier’s termination of continuous service with us. Each unit granted pursuant to these RSU awards represents a contingent right to receive one share of our Class A Common Stock for each unit that vests. The RSU awards granted to Mr. Francis in previous years in his capacity as a director of the Company, are as described in the section entitled “Director Compensation” below.</w:t>
      </w:r>
    </w:p>
    <w:p>
      <w:pPr>
        <w:spacing w:after="0" w:line="3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PRSU Awards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PRSUs granted to Mr. Camire vested only if we achieved specified performance goals during the performance period beginning on January 1, 2022 and ending on December 31, 2023. The actual number of PRSUs vested was determined based upon the following calculation: (i) the sum of (A) the Revenue CAGR Percentage (as defined in the PRSU award agreement) multiplied by 0.75, plus (B) the Adjusted EBITDA Margin Percentage (as defined in the PRSU award agreement) multiplied by 0.25, then multiplied by (ii) the target Number of PRSUs granted to the Named Executive Officer, with the resulting number of PRSUs rounded down to the nearest whole unit.</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number of PRSUs that vested was determined by our Compensation Committee on May 23, 2024. Each eligible recipient must remain employed by us through the determination date for the PRSU award to vest.</w:t>
      </w:r>
    </w:p>
    <w:p>
      <w:pPr>
        <w:spacing w:after="0" w:line="5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Threshold achievement of the Revenue CAGR performance metric would have resulted in a 50% Revenue CAGR Percentage, target achievement of the Revenue CAGR performance metric would have resulted in a 100% Revenue CAGR Percentage, and maximum achievement of the Revenue CAGR performance metric would have resulted in a 200% Revenue CAGR Percentage, with the Revenue CAGR Percentage interpolated linearly and rounded up the nearest percentage point between these level after threshold performance was attained.</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Threshold achievement of the Adjusted EBITDA Margin performance metric would have resulted in a 50% Adjusted EBITDA Margin Percentage, target achievement of the Adjusted EBITDA Margin performance metric would have resulted in a 100% Adjusted EBITDA Margin Percentage, and maximum achievement of the Adjusted EBITDA Margin performance metric would have resulted in a 200% Adjusted EBITDA Margin Percentage, with the Adjusted EBITDA Margin Percentage interpolated linearly and rounded up the nearest percentage point between these level after threshold performance is attained.</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During the performance period beginning on January 1, 2022 and ending on December 31, 2023, the Company did not achieve the threshold Revenue CAGR performance metric, resulting in a 0% Revenue CAGR Percentage and reached a 100% achievement of the Adjusted EBITDA Margin performance metric, representing a 100% Adjusted EBITDA Margin Percentage. In the aggregate, this resulted in vesting of 25% of the granted units for Mr. Camire.</w:t>
      </w:r>
    </w:p>
    <w:p>
      <w:pPr>
        <w:spacing w:after="0" w:line="7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equity awards vested to our Named Executive Officers during the performance period are set forth in the “Summary Compensation Table” below.</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Health and Welfare Benefits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Named Executive Officers are generally eligible to participate in the same employee benefit plans, and on the same terms and conditions, as all our other eligible employees. These benefits include medical, dental, and vision insurance, vacation, personal holidays, and sick days, basic life insurance and supplemental life insurance, short-term and long-term disability insurance, and a Section 401(k) retirement savings plan. In addition, our executives are eligible for life insurance and disability benefits paid for by us.</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Section 401(k) Plan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maintain a tax-qualified Section 401(k) retirement savings plan (the “Section 401(k) Plan”) that provides our employees, including our Named Executive Officers, who satisfy certain eligibility requirements, with an opportunity to save for retirement on a tax advantaged basis. Eligible employees are able to participate in the Section 401(k) Plan as of the first day of the month following the day they complete three months of employment and participants are able to defer, either on a pre-tax basis or on an after-tax (Roth) basis through contributions to the Section 401(k) Plan, up to 90% of their eligible compensation, but within the limits prescribed by the Internal Revenue Code (the “Code”). All participants’ interests in their deferrals are 100% vested when contributed. Under the Section 401(k) Plan, we make matching contributions of 100% of each participant’s elective deferrals of the first 1% of such participant’s eligible compensation plus 50% of each participant’s elective deferrals of the next 2% to 6% of</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7" w:name="page108"/>
    <w:bookmarkEnd w:id="10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such participant’s eligible compensation, up to a maximum matching contribution of 3.5% of eligible compensation. The Section 401(k) Plan is intended to be qualified under Section 401(a) of the Code with the Section 401(k) Plan’s related trust intended to be tax exempt under Section 501(a) of the Code.</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believe these benefits are generally consistent with those offered by other companies and specifically those companies with which we compete for employees. 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Perquisites and Other Personal Benefits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Currently, we do not view perquisites or other personal benefits as a significant component of our executive compensation program. Accordingly, we do not generally provide perquisites or other personal benefits to our Named Executive Officers except as generally made available to our employees or in situations where we believe it is appropriate to assist an individual in the performance of his duties, to make them more efficient and effective, and for recruitment and retention purposes. During 2023, our Named Executive Officers did not receive perquisites or other personal benefits that were, in the aggregate, $10,000 or more for each individual.</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the future, we may provide perquisites or other personal benefits in limited circumstances, such as those described in the preceding paragraph. All future practices with respect to perquisites or other personal benefits will be approved and subject to periodic review by the Compensation Committee.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Equity Award Grant Policy</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Compensation Committee has adopted an equity award grant policy to ensure the integrity and efficiency of our equity award process. The Board has delegated to the Compensation Committee the express authority to serve as administrator of the 2021 Equity Plan, although such delegation of authority is not exclusive as the Board retains concurrent rights to grant equity awards under the 2021 Equity Plan.</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Compensation Committee has delegated to the Equity Grant Committee (which consists of our principal executive officer, General Counsel, and Chief Financial Officer) (the “EGC”) the nonexclusive authority to grant equity awards to employees who are not “officers” as defined in Rule 16a-1 of the Exchange Act. Further, the EGC may not grant any equity award to a member of the EGC, any member of the Board, or any consultant. At least annually, the EGC will provide the Compensation Committee with a report summarizing the equity awards granted by the EGC during the applicable period.</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It is also our intent that no equity awards will be backdated, nor will the timing of the public release of material information or of the grant of an equity award be manipulated with the intent of benefiting an award recipient.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8" w:name="page109"/>
    <w:bookmarkEnd w:id="10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following table shows compensation awarded or paid to, or earned by, our Named Executive Officers with respect to the years ended 2023 and 2022. The amounts in the “Stock awards” column reflect our accounting expense for these equity awards, as further described in the footnotes to the table, and do not necessarily represent the actual economic value that was realized in the stated year or may be realized by the Named Executive Officers.</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2023, our Named Executive Officers were:</w:t>
      </w:r>
    </w:p>
    <w:p>
      <w:pPr>
        <w:spacing w:after="0" w:line="88" w:lineRule="exact"/>
        <w:rPr>
          <w:sz w:val="20"/>
          <w:szCs w:val="20"/>
          <w:color w:val="auto"/>
        </w:rPr>
      </w:pPr>
    </w:p>
    <w:p>
      <w:pPr>
        <w:ind w:left="1000" w:hanging="348"/>
        <w:spacing w:after="0"/>
        <w:tabs>
          <w:tab w:leader="none" w:pos="1000" w:val="left"/>
        </w:tabs>
        <w:numPr>
          <w:ilvl w:val="0"/>
          <w:numId w:val="6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Douglas Francis, our principal executive officer and Executive Chair</w:t>
      </w:r>
      <w:r>
        <w:rPr>
          <w:rFonts w:ascii="Times New Roman" w:cs="Times New Roman" w:eastAsia="Times New Roman" w:hAnsi="Times New Roman"/>
          <w:sz w:val="29"/>
          <w:szCs w:val="29"/>
          <w:color w:val="auto"/>
          <w:vertAlign w:val="superscript"/>
        </w:rPr>
        <w:t>(1)</w:t>
      </w:r>
    </w:p>
    <w:p>
      <w:pPr>
        <w:ind w:left="1000" w:hanging="348"/>
        <w:spacing w:after="0"/>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Brian Camire, our General Counsel and Secretary</w:t>
      </w:r>
    </w:p>
    <w:p>
      <w:pPr>
        <w:spacing w:after="0" w:line="8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Duncan Grazier, our Chief Technology Officer</w:t>
      </w:r>
      <w:r>
        <w:rPr>
          <w:rFonts w:ascii="Times New Roman" w:cs="Times New Roman" w:eastAsia="Times New Roman" w:hAnsi="Times New Roman"/>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93345</wp:posOffset>
            </wp:positionV>
            <wp:extent cx="82296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192" w:lineRule="exact"/>
        <w:rPr>
          <w:sz w:val="20"/>
          <w:szCs w:val="20"/>
          <w:color w:val="auto"/>
        </w:rPr>
      </w:pPr>
    </w:p>
    <w:p>
      <w:pPr>
        <w:ind w:left="640" w:hanging="348"/>
        <w:spacing w:after="0"/>
        <w:tabs>
          <w:tab w:leader="none" w:pos="6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7, 2024, the Board appointed Douglas Francis as the Chief Executive Officer, effective as of November 7, 2024.</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July 17, 2024, Duncan Grazier, tendered his resignation from his role as Chief Technology Officer, effective July 31, 2024.</w:t>
      </w:r>
    </w:p>
    <w:p>
      <w:pPr>
        <w:spacing w:after="0" w:line="21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and</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nonqualified</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w:t>
            </w: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0" w:type="dxa"/>
            <w:vAlign w:val="bottom"/>
          </w:tcPr>
          <w:p>
            <w:pPr>
              <w:spacing w:after="0"/>
              <w:rPr>
                <w:sz w:val="1"/>
                <w:szCs w:val="1"/>
                <w:color w:val="auto"/>
              </w:rPr>
            </w:pPr>
          </w:p>
        </w:tc>
      </w:tr>
      <w:tr>
        <w:trPr>
          <w:trHeight w:val="148"/>
        </w:trPr>
        <w:tc>
          <w:tcPr>
            <w:tcW w:w="112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Bonus</w:t>
            </w:r>
          </w:p>
        </w:tc>
        <w:tc>
          <w:tcPr>
            <w:tcW w:w="70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Executive</w:t>
            </w:r>
          </w:p>
        </w:tc>
        <w:tc>
          <w:tcPr>
            <w:tcW w:w="94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66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Officer</w:t>
            </w:r>
          </w:p>
        </w:tc>
        <w:tc>
          <w:tcPr>
            <w:tcW w:w="940" w:type="dxa"/>
            <w:vAlign w:val="bottom"/>
            <w:vMerge w:val="continue"/>
          </w:tcPr>
          <w:p>
            <w:pPr>
              <w:spacing w:after="0"/>
              <w:rPr>
                <w:sz w:val="21"/>
                <w:szCs w:val="21"/>
                <w:color w:val="auto"/>
              </w:rPr>
            </w:pPr>
          </w:p>
        </w:tc>
        <w:tc>
          <w:tcPr>
            <w:tcW w:w="6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center"/>
              <w:ind w:right="68"/>
              <w:spacing w:after="0" w:line="243"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3"/>
                <w:szCs w:val="23"/>
                <w:b w:val="1"/>
                <w:bCs w:val="1"/>
                <w:color w:val="auto"/>
                <w:vertAlign w:val="superscript"/>
              </w:rPr>
              <w:t>(2)</w:t>
            </w:r>
          </w:p>
        </w:tc>
        <w:tc>
          <w:tcPr>
            <w:tcW w:w="700" w:type="dxa"/>
            <w:vAlign w:val="bottom"/>
          </w:tcPr>
          <w:p>
            <w:pPr>
              <w:jc w:val="center"/>
              <w:ind w:left="8"/>
              <w:spacing w:after="0" w:line="243"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(3)</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(4)</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40" w:type="dxa"/>
            <w:vAlign w:val="bottom"/>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5003165</wp:posOffset>
            </wp:positionH>
            <wp:positionV relativeFrom="paragraph">
              <wp:posOffset>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62" w:lineRule="exact"/>
        <w:rPr>
          <w:sz w:val="20"/>
          <w:szCs w:val="20"/>
          <w:color w:val="auto"/>
        </w:rPr>
      </w:pPr>
    </w:p>
    <w:p>
      <w:pPr>
        <w:sectPr>
          <w:pgSz w:w="11900" w:h="16838" w:orient="portrait"/>
          <w:cols w:equalWidth="0" w:num="2">
            <w:col w:w="7960" w:space="220"/>
            <w:col w:w="839"/>
          </w:cols>
          <w:pgMar w:left="1440" w:top="263" w:right="1440" w:bottom="1440" w:gutter="0" w:footer="0" w:header="0"/>
          <w:type w:val="continuous"/>
        </w:sectPr>
      </w:pPr>
    </w:p>
    <w:tbl>
      <w:tblPr>
        <w:tblLayout w:type="fixed"/>
        <w:tblInd w:w="300" w:type="dxa"/>
        <w:tblCellMar>
          <w:top w:w="0" w:type="dxa"/>
          <w:left w:w="0" w:type="dxa"/>
          <w:bottom w:w="0" w:type="dxa"/>
          <w:right w:w="0" w:type="dxa"/>
        </w:tblCellMar>
      </w:tblPr>
      <w:tr>
        <w:trPr>
          <w:trHeight w:val="277"/>
        </w:trPr>
        <w:tc>
          <w:tcPr>
            <w:tcW w:w="150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Francis,</w:t>
            </w:r>
          </w:p>
        </w:tc>
        <w:tc>
          <w:tcPr>
            <w:tcW w:w="60" w:type="dxa"/>
            <w:vAlign w:val="bottom"/>
            <w:tcBorders>
              <w:top w:val="single" w:sz="8" w:color="CCEEFF"/>
            </w:tcBorders>
            <w:vMerge w:val="restart"/>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2023</w:t>
            </w:r>
          </w:p>
        </w:tc>
        <w:tc>
          <w:tcPr>
            <w:tcW w:w="100" w:type="dxa"/>
            <w:vAlign w:val="bottom"/>
            <w:tcBorders>
              <w:top w:val="single" w:sz="8" w:color="CCEEFF"/>
            </w:tcBorders>
            <w:shd w:val="clear" w:color="auto" w:fill="CCEEFF"/>
          </w:tcPr>
          <w:p>
            <w:pPr>
              <w:spacing w:after="0"/>
              <w:rPr>
                <w:sz w:val="24"/>
                <w:szCs w:val="2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388,384</w:t>
            </w:r>
          </w:p>
        </w:tc>
        <w:tc>
          <w:tcPr>
            <w:tcW w:w="100" w:type="dxa"/>
            <w:vAlign w:val="bottom"/>
            <w:tcBorders>
              <w:top w:val="single" w:sz="8" w:color="CCEEFF"/>
            </w:tcBorders>
            <w:shd w:val="clear" w:color="auto" w:fill="CCEEFF"/>
          </w:tcPr>
          <w:p>
            <w:pPr>
              <w:spacing w:after="0"/>
              <w:rPr>
                <w:sz w:val="24"/>
                <w:szCs w:val="2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700,000</w:t>
            </w:r>
          </w:p>
        </w:tc>
        <w:tc>
          <w:tcPr>
            <w:tcW w:w="100" w:type="dxa"/>
            <w:vAlign w:val="bottom"/>
            <w:tcBorders>
              <w:top w:val="single" w:sz="8" w:color="CCEEFF"/>
            </w:tcBorders>
            <w:shd w:val="clear" w:color="auto" w:fill="CCEEFF"/>
          </w:tcPr>
          <w:p>
            <w:pPr>
              <w:spacing w:after="0"/>
              <w:rPr>
                <w:sz w:val="24"/>
                <w:szCs w:val="2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24"/>
                <w:szCs w:val="24"/>
                <w:color w:val="auto"/>
              </w:rPr>
            </w:pPr>
          </w:p>
        </w:tc>
        <w:tc>
          <w:tcPr>
            <w:tcW w:w="4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82,607</w:t>
            </w:r>
          </w:p>
        </w:tc>
        <w:tc>
          <w:tcPr>
            <w:tcW w:w="100" w:type="dxa"/>
            <w:vAlign w:val="bottom"/>
            <w:tcBorders>
              <w:top w:val="single" w:sz="8" w:color="CCEEFF"/>
            </w:tcBorders>
            <w:shd w:val="clear" w:color="auto" w:fill="CCEEFF"/>
          </w:tcPr>
          <w:p>
            <w:pPr>
              <w:spacing w:after="0"/>
              <w:rPr>
                <w:sz w:val="24"/>
                <w:szCs w:val="2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1,170,991</w:t>
            </w:r>
          </w:p>
        </w:tc>
        <w:tc>
          <w:tcPr>
            <w:tcW w:w="0" w:type="dxa"/>
            <w:vAlign w:val="bottom"/>
          </w:tcPr>
          <w:p>
            <w:pPr>
              <w:spacing w:after="0"/>
              <w:rPr>
                <w:sz w:val="1"/>
                <w:szCs w:val="1"/>
                <w:color w:val="auto"/>
              </w:rPr>
            </w:pPr>
          </w:p>
        </w:tc>
      </w:tr>
      <w:tr>
        <w:trPr>
          <w:trHeight w:val="90"/>
        </w:trPr>
        <w:tc>
          <w:tcPr>
            <w:tcW w:w="1500" w:type="dxa"/>
            <w:vAlign w:val="bottom"/>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1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Executive Chair</w:t>
            </w:r>
          </w:p>
        </w:tc>
        <w:tc>
          <w:tcPr>
            <w:tcW w:w="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2022</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193,357</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69,701</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263,058</w:t>
            </w:r>
          </w:p>
        </w:tc>
        <w:tc>
          <w:tcPr>
            <w:tcW w:w="0" w:type="dxa"/>
            <w:vAlign w:val="bottom"/>
          </w:tcPr>
          <w:p>
            <w:pPr>
              <w:spacing w:after="0"/>
              <w:rPr>
                <w:sz w:val="1"/>
                <w:szCs w:val="1"/>
                <w:color w:val="auto"/>
              </w:rPr>
            </w:pPr>
          </w:p>
        </w:tc>
      </w:tr>
      <w:tr>
        <w:trPr>
          <w:trHeight w:val="252"/>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410,000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45,100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865,218</w:t>
            </w:r>
          </w:p>
        </w:tc>
        <w:tc>
          <w:tcPr>
            <w:tcW w:w="120" w:type="dxa"/>
            <w:vAlign w:val="bottom"/>
          </w:tcPr>
          <w:p>
            <w:pPr>
              <w:spacing w:after="0"/>
              <w:rPr>
                <w:sz w:val="21"/>
                <w:szCs w:val="21"/>
                <w:color w:val="auto"/>
              </w:rPr>
            </w:pP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136,325</w:t>
            </w:r>
          </w:p>
        </w:tc>
        <w:tc>
          <w:tcPr>
            <w:tcW w:w="100" w:type="dxa"/>
            <w:vAlign w:val="bottom"/>
          </w:tcPr>
          <w:p>
            <w:pPr>
              <w:spacing w:after="0"/>
              <w:rPr>
                <w:sz w:val="21"/>
                <w:szCs w:val="21"/>
                <w:color w:val="auto"/>
              </w:rPr>
            </w:pPr>
          </w:p>
        </w:tc>
        <w:tc>
          <w:tcPr>
            <w:tcW w:w="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12,111</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1,468,754</w:t>
            </w:r>
          </w:p>
        </w:tc>
        <w:tc>
          <w:tcPr>
            <w:tcW w:w="0" w:type="dxa"/>
            <w:vAlign w:val="bottom"/>
          </w:tcPr>
          <w:p>
            <w:pPr>
              <w:spacing w:after="0"/>
              <w:rPr>
                <w:sz w:val="1"/>
                <w:szCs w:val="1"/>
                <w:color w:val="auto"/>
              </w:rPr>
            </w:pPr>
          </w:p>
        </w:tc>
      </w:tr>
      <w:tr>
        <w:trPr>
          <w:trHeight w:val="216"/>
        </w:trPr>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Counsel</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410,000</w:t>
            </w:r>
          </w:p>
        </w:tc>
        <w:tc>
          <w:tcPr>
            <w:tcW w:w="10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11,531</w:t>
            </w:r>
          </w:p>
        </w:tc>
        <w:tc>
          <w:tcPr>
            <w:tcW w:w="100" w:type="dxa"/>
            <w:vAlign w:val="bottom"/>
          </w:tcPr>
          <w:p>
            <w:pPr>
              <w:spacing w:after="0"/>
              <w:rPr>
                <w:sz w:val="18"/>
                <w:szCs w:val="18"/>
                <w:color w:val="auto"/>
              </w:rPr>
            </w:pPr>
          </w:p>
        </w:tc>
        <w:tc>
          <w:tcPr>
            <w:tcW w:w="9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13,384</w:t>
            </w:r>
          </w:p>
        </w:tc>
        <w:tc>
          <w:tcPr>
            <w:tcW w:w="10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434,915</w:t>
            </w:r>
          </w:p>
        </w:tc>
        <w:tc>
          <w:tcPr>
            <w:tcW w:w="0" w:type="dxa"/>
            <w:vAlign w:val="bottom"/>
          </w:tcPr>
          <w:p>
            <w:pPr>
              <w:spacing w:after="0"/>
              <w:rPr>
                <w:sz w:val="1"/>
                <w:szCs w:val="1"/>
                <w:color w:val="auto"/>
              </w:rPr>
            </w:pPr>
          </w:p>
        </w:tc>
      </w:tr>
      <w:tr>
        <w:trPr>
          <w:trHeight w:val="234"/>
        </w:trPr>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Secretary</w:t>
            </w:r>
          </w:p>
        </w:tc>
        <w:tc>
          <w:tcPr>
            <w:tcW w:w="420" w:type="dxa"/>
            <w:vAlign w:val="bottom"/>
            <w:gridSpan w:val="2"/>
            <w:vMerge w:val="continue"/>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Duncan Grazier,</w:t>
            </w: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2023</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391,779</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246,750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914,718</w:t>
            </w:r>
          </w:p>
        </w:tc>
        <w:tc>
          <w:tcPr>
            <w:tcW w:w="1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141,312</w:t>
            </w: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24,658</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1,719,217</w:t>
            </w:r>
          </w:p>
        </w:tc>
        <w:tc>
          <w:tcPr>
            <w:tcW w:w="0" w:type="dxa"/>
            <w:vAlign w:val="bottom"/>
          </w:tcPr>
          <w:p>
            <w:pPr>
              <w:spacing w:after="0"/>
              <w:rPr>
                <w:sz w:val="1"/>
                <w:szCs w:val="1"/>
                <w:color w:val="auto"/>
              </w:rPr>
            </w:pPr>
          </w:p>
        </w:tc>
      </w:tr>
      <w:tr>
        <w:trPr>
          <w:trHeight w:val="216"/>
        </w:trPr>
        <w:tc>
          <w:tcPr>
            <w:tcW w:w="1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Technology</w:t>
            </w:r>
          </w:p>
        </w:tc>
        <w:tc>
          <w:tcPr>
            <w:tcW w:w="6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2022</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394,221</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162,592</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299,995</w:t>
            </w:r>
          </w:p>
        </w:tc>
        <w:tc>
          <w:tcPr>
            <w:tcW w:w="120" w:type="dxa"/>
            <w:vAlign w:val="bottom"/>
            <w:shd w:val="clear" w:color="auto" w:fill="CCEEFF"/>
          </w:tcPr>
          <w:p>
            <w:pPr>
              <w:spacing w:after="0"/>
              <w:rPr>
                <w:sz w:val="18"/>
                <w:szCs w:val="18"/>
                <w:color w:val="auto"/>
              </w:rPr>
            </w:pPr>
          </w:p>
        </w:tc>
        <w:tc>
          <w:tcPr>
            <w:tcW w:w="5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10,504</w:t>
            </w:r>
          </w:p>
        </w:tc>
        <w:tc>
          <w:tcPr>
            <w:tcW w:w="10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867,312</w:t>
            </w:r>
          </w:p>
        </w:tc>
        <w:tc>
          <w:tcPr>
            <w:tcW w:w="0" w:type="dxa"/>
            <w:vAlign w:val="bottom"/>
          </w:tcPr>
          <w:p>
            <w:pPr>
              <w:spacing w:after="0"/>
              <w:rPr>
                <w:sz w:val="1"/>
                <w:szCs w:val="1"/>
                <w:color w:val="auto"/>
              </w:rPr>
            </w:pPr>
          </w:p>
        </w:tc>
      </w:tr>
      <w:tr>
        <w:trPr>
          <w:trHeight w:val="234"/>
        </w:trPr>
        <w:tc>
          <w:tcPr>
            <w:tcW w:w="1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60" w:type="dxa"/>
            <w:vAlign w:val="bottom"/>
            <w:shd w:val="clear" w:color="auto" w:fill="CCEEFF"/>
          </w:tcPr>
          <w:p>
            <w:pPr>
              <w:spacing w:after="0"/>
              <w:rPr>
                <w:sz w:val="20"/>
                <w:szCs w:val="20"/>
                <w:color w:val="auto"/>
              </w:rPr>
            </w:pPr>
          </w:p>
        </w:tc>
        <w:tc>
          <w:tcPr>
            <w:tcW w:w="360" w:type="dxa"/>
            <w:vAlign w:val="bottom"/>
            <w:vMerge w:val="continue"/>
            <w:shd w:val="clear" w:color="auto" w:fill="CCEEFF"/>
          </w:tcPr>
          <w:p>
            <w:pPr>
              <w:spacing w:after="0"/>
              <w:rPr>
                <w:sz w:val="20"/>
                <w:szCs w:val="20"/>
                <w:color w:val="auto"/>
              </w:rPr>
            </w:pPr>
          </w:p>
        </w:tc>
        <w:tc>
          <w:tcPr>
            <w:tcW w:w="700" w:type="dxa"/>
            <w:vAlign w:val="bottom"/>
            <w:gridSpan w:val="2"/>
            <w:vMerge w:val="continue"/>
            <w:shd w:val="clear" w:color="auto" w:fill="CCEEFF"/>
          </w:tcPr>
          <w:p>
            <w:pPr>
              <w:spacing w:after="0"/>
              <w:rPr>
                <w:sz w:val="20"/>
                <w:szCs w:val="20"/>
                <w:color w:val="auto"/>
              </w:rPr>
            </w:pPr>
          </w:p>
        </w:tc>
        <w:tc>
          <w:tcPr>
            <w:tcW w:w="700" w:type="dxa"/>
            <w:vAlign w:val="bottom"/>
            <w:gridSpan w:val="2"/>
            <w:vMerge w:val="continue"/>
            <w:shd w:val="clear" w:color="auto" w:fill="CCEEFF"/>
          </w:tcPr>
          <w:p>
            <w:pPr>
              <w:spacing w:after="0"/>
              <w:rPr>
                <w:sz w:val="20"/>
                <w:szCs w:val="20"/>
                <w:color w:val="auto"/>
              </w:rPr>
            </w:pPr>
          </w:p>
        </w:tc>
        <w:tc>
          <w:tcPr>
            <w:tcW w:w="7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gridSpan w:val="2"/>
            <w:vMerge w:val="continue"/>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jc w:val="both"/>
        <w:ind w:left="640" w:right="299" w:hanging="348"/>
        <w:spacing w:after="0" w:line="241" w:lineRule="auto"/>
        <w:tabs>
          <w:tab w:leader="none" w:pos="6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Francis was not an employee in 2022 and began service as our principal executive officer on November 7, 2022. Mr. Francis became an employee on August 15, 2023; Mr. Grazier, formerly our Senior Vice President, Engineering, was appointed our Chief Technology Officer, effective December 5, 2022.</w:t>
      </w:r>
    </w:p>
    <w:p>
      <w:pPr>
        <w:spacing w:after="0" w:line="14" w:lineRule="exact"/>
        <w:rPr>
          <w:rFonts w:ascii="Times New Roman" w:cs="Times New Roman" w:eastAsia="Times New Roman" w:hAnsi="Times New Roman"/>
          <w:sz w:val="14"/>
          <w:szCs w:val="14"/>
          <w:color w:val="auto"/>
        </w:rPr>
      </w:pPr>
    </w:p>
    <w:p>
      <w:pPr>
        <w:jc w:val="both"/>
        <w:ind w:left="640" w:right="319" w:hanging="348"/>
        <w:spacing w:after="0" w:line="241" w:lineRule="auto"/>
        <w:tabs>
          <w:tab w:leader="none" w:pos="6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represent performance-based, discretionary cash bonuses including a signing bonus of $700,000 for Mr. Francis, a retention bonus of $200,000 for Mr. Grazier and additional bonuses for Mr. Camire and Mr. Grazier of $45,100 and $46,750, respectively, to account for their individual contributions, as described under “—Cash Bonuses—Cash Bonus Payments” above.</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grant date fair value of all time-based restricted stock unit (“RSU”) award in accordance with ASC 718. The grant date fair value of each RSU award was measured based on the per share closing price of our Class A Common Stock on the date of grant. The amounts reported do not correspond to the economic value received by each NEO from the equity award. For additional information regarding the market value of outstanding awards, see “Outstanding Equity Awards at Fiscal Year-end” below. For information regarding assumptions underlying the value of equity awards, see Note 14 to our audited consolidated financial statements included in this prospectus.</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1" w:lineRule="auto"/>
        <w:tabs>
          <w:tab w:leader="none" w:pos="6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paid under the short term incentive plan “STIP”). In September 2023, the Compensation Committee approved the 2023 STIP for the Named Executive Officers (other than Mr. Francis) based on performance against our Revenue (50% of the performance award), Adjusted EBITDA (50% of the performance award), and Cash (a minimum condition for any award) targets for FY23 in the same manner as the core bonus plan for the rest of the employees of the Company. There is no individual award component to the 2023 STIP. The value of the 2023 STIP could have ranged from $0 to, assuming the highest level of performance conditions were achieved, $307,500 for Mr. Camire and $318,750 for Mr. Grazier.</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include (i) group term life insurance premiums in excess of the broad-based benefit level of $280, $224 and $561 for 2023 for Messrs. Francis, Camire and Grazier, respectively and $0, $216, and $540 for 2022 for Messrs. Francis, Camire and Grazier, respectively;</w:t>
      </w:r>
    </w:p>
    <w:p>
      <w:pPr>
        <w:jc w:val="both"/>
        <w:ind w:left="640" w:right="299" w:firstLine="3"/>
        <w:spacing w:after="0" w:line="228" w:lineRule="auto"/>
        <w:tabs>
          <w:tab w:leader="none" w:pos="876"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matching contributions under our 401(k) plan of $4,708, $11,327 and $11,550 for 2023 for Messrs. Francis, Camire and Grazier, respectively and $0, $10,288, $12,844 for 2022 for Messrs. Francis, Camire and Grazier; (iii) compensation for service as a member of our Board of $68,673 for 2023 and $69,701 for 2022, respectively for Mr. Francis as further described in the section entitled Director Compensation; (iv) compensation for legal fee reimbursement of $8,946 for 2023 for Mr. Francis; and (v) parental leave benefit of $13,106 in 2023 for Mr. Grazier.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09" w:name="page110"/>
    <w:bookmarkEnd w:id="10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shows certain information regarding outstanding equity awards for the Named Executive Officers as of December 31, 2023:</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6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87"/>
        </w:trPr>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awards:</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plan</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0"/>
              </w:rPr>
              <w:t>or</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plan</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6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8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8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5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 units</w:t>
            </w: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w:t>
            </w: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w:t>
            </w:r>
          </w:p>
        </w:tc>
        <w:tc>
          <w:tcPr>
            <w:tcW w:w="6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0" w:type="dxa"/>
            <w:vAlign w:val="bottom"/>
          </w:tcPr>
          <w:p>
            <w:pPr>
              <w:spacing w:after="0"/>
              <w:rPr>
                <w:sz w:val="1"/>
                <w:szCs w:val="1"/>
                <w:color w:val="auto"/>
              </w:rPr>
            </w:pPr>
          </w:p>
        </w:tc>
      </w:tr>
      <w:tr>
        <w:trPr>
          <w:trHeight w:val="148"/>
        </w:trPr>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w:t>
            </w: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32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 Option</w:t>
            </w:r>
          </w:p>
        </w:tc>
        <w:tc>
          <w:tcPr>
            <w:tcW w:w="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have</w:t>
            </w: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have</w:t>
            </w: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w:t>
            </w:r>
          </w:p>
        </w:tc>
        <w:tc>
          <w:tcPr>
            <w:tcW w:w="0" w:type="dxa"/>
            <w:vAlign w:val="bottom"/>
          </w:tcPr>
          <w:p>
            <w:pPr>
              <w:spacing w:after="0"/>
              <w:rPr>
                <w:sz w:val="1"/>
                <w:szCs w:val="1"/>
                <w:color w:val="auto"/>
              </w:rPr>
            </w:pPr>
          </w:p>
        </w:tc>
      </w:tr>
      <w:tr>
        <w:trPr>
          <w:trHeight w:val="148"/>
        </w:trPr>
        <w:tc>
          <w:tcPr>
            <w:tcW w:w="9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5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700" w:type="dxa"/>
            <w:vAlign w:val="bottom"/>
            <w:gridSpan w:val="2"/>
            <w:vMerge w:val="continue"/>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6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48"/>
        </w:trPr>
        <w:tc>
          <w:tcPr>
            <w:tcW w:w="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Executive</w:t>
            </w:r>
          </w:p>
        </w:tc>
        <w:tc>
          <w:tcPr>
            <w:tcW w:w="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5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price</w:t>
            </w:r>
          </w:p>
        </w:tc>
        <w:tc>
          <w:tcPr>
            <w:tcW w:w="7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Officer</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Date</w:t>
            </w:r>
          </w:p>
        </w:tc>
        <w:tc>
          <w:tcPr>
            <w:tcW w:w="8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60" w:type="dxa"/>
            <w:vAlign w:val="bottom"/>
          </w:tcPr>
          <w:p>
            <w:pPr>
              <w:spacing w:after="0"/>
              <w:rPr>
                <w:sz w:val="21"/>
                <w:szCs w:val="21"/>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21"/>
                <w:szCs w:val="21"/>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1"/>
                <w:szCs w:val="21"/>
                <w:color w:val="auto"/>
              </w:rPr>
            </w:pP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21"/>
                <w:szCs w:val="21"/>
                <w:color w:val="auto"/>
              </w:rPr>
            </w:pP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8"/>
                <w:szCs w:val="28"/>
                <w:b w:val="1"/>
                <w:bCs w:val="1"/>
                <w:color w:val="auto"/>
                <w:w w:val="89"/>
                <w:vertAlign w:val="subscript"/>
              </w:rPr>
              <w:t>($)</w:t>
            </w:r>
            <w:r>
              <w:rPr>
                <w:rFonts w:ascii="Times New Roman" w:cs="Times New Roman" w:eastAsia="Times New Roman" w:hAnsi="Times New Roman"/>
                <w:sz w:val="12"/>
                <w:szCs w:val="12"/>
                <w:b w:val="1"/>
                <w:bCs w:val="1"/>
                <w:color w:val="auto"/>
                <w:w w:val="89"/>
              </w:rPr>
              <w:t>(1)</w:t>
            </w:r>
          </w:p>
        </w:tc>
        <w:tc>
          <w:tcPr>
            <w:tcW w:w="6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1"/>
                <w:szCs w:val="21"/>
                <w:color w:val="auto"/>
              </w:rPr>
            </w:pP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8"/>
                <w:szCs w:val="28"/>
                <w:b w:val="1"/>
                <w:bCs w:val="1"/>
                <w:color w:val="auto"/>
                <w:w w:val="89"/>
                <w:vertAlign w:val="subscript"/>
              </w:rPr>
              <w:t>($)</w:t>
            </w:r>
            <w:r>
              <w:rPr>
                <w:rFonts w:ascii="Times New Roman" w:cs="Times New Roman" w:eastAsia="Times New Roman" w:hAnsi="Times New Roman"/>
                <w:sz w:val="12"/>
                <w:szCs w:val="12"/>
                <w:b w:val="1"/>
                <w:bCs w:val="1"/>
                <w:color w:val="auto"/>
                <w:w w:val="89"/>
              </w:rPr>
              <w:t>(1)</w:t>
            </w:r>
          </w:p>
        </w:tc>
        <w:tc>
          <w:tcPr>
            <w:tcW w:w="0" w:type="dxa"/>
            <w:vAlign w:val="bottom"/>
          </w:tcPr>
          <w:p>
            <w:pPr>
              <w:spacing w:after="0"/>
              <w:rPr>
                <w:sz w:val="1"/>
                <w:szCs w:val="1"/>
                <w:color w:val="auto"/>
              </w:rPr>
            </w:pPr>
          </w:p>
        </w:tc>
      </w:tr>
      <w:tr>
        <w:trPr>
          <w:trHeight w:val="250"/>
        </w:trPr>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Douglas</w:t>
            </w:r>
          </w:p>
        </w:tc>
        <w:tc>
          <w:tcPr>
            <w:tcW w:w="4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vMerge w:val="restart"/>
            <w:shd w:val="clear" w:color="auto" w:fill="CCEEFF"/>
          </w:tcPr>
          <w:p>
            <w:pPr>
              <w:spacing w:after="0"/>
              <w:rPr>
                <w:sz w:val="21"/>
                <w:szCs w:val="21"/>
                <w:color w:val="auto"/>
              </w:rPr>
            </w:pPr>
          </w:p>
        </w:tc>
        <w:tc>
          <w:tcPr>
            <w:tcW w:w="460" w:type="dxa"/>
            <w:vAlign w:val="bottom"/>
            <w:tcBorders>
              <w:top w:val="single" w:sz="8" w:color="auto"/>
            </w:tcBorders>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top w:val="single" w:sz="8" w:color="CCEEFF"/>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Francis</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8/26/2021</w:t>
            </w:r>
          </w:p>
        </w:tc>
        <w:tc>
          <w:tcPr>
            <w:tcW w:w="80" w:type="dxa"/>
            <w:vAlign w:val="bottom"/>
            <w:tcBorders>
              <w:bottom w:val="single" w:sz="8" w:color="CCEEFF"/>
            </w:tcBorders>
            <w:vMerge w:val="continue"/>
            <w:shd w:val="clear" w:color="auto" w:fill="CCEEFF"/>
          </w:tcPr>
          <w:p>
            <w:pPr>
              <w:spacing w:after="0"/>
              <w:rPr>
                <w:sz w:val="21"/>
                <w:szCs w:val="21"/>
                <w:color w:val="auto"/>
              </w:rPr>
            </w:pPr>
          </w:p>
        </w:tc>
        <w:tc>
          <w:tcPr>
            <w:tcW w:w="460" w:type="dxa"/>
            <w:vAlign w:val="bottom"/>
            <w:tcBorders>
              <w:bottom w:val="single" w:sz="8" w:color="CCEEFF"/>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10,094</w:t>
            </w:r>
          </w:p>
        </w:tc>
        <w:tc>
          <w:tcPr>
            <w:tcW w:w="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7,271</w:t>
            </w:r>
          </w:p>
        </w:tc>
        <w:tc>
          <w:tcPr>
            <w:tcW w:w="5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Brian</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12/11/2021</w:t>
            </w:r>
          </w:p>
        </w:tc>
        <w:tc>
          <w:tcPr>
            <w:tcW w:w="54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52,734</w:t>
            </w:r>
          </w:p>
        </w:tc>
        <w:tc>
          <w:tcPr>
            <w:tcW w:w="6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37,984</w:t>
            </w:r>
          </w:p>
        </w:tc>
        <w:tc>
          <w:tcPr>
            <w:tcW w:w="0" w:type="dxa"/>
            <w:vAlign w:val="bottom"/>
          </w:tcPr>
          <w:p>
            <w:pPr>
              <w:spacing w:after="0"/>
              <w:rPr>
                <w:sz w:val="1"/>
                <w:szCs w:val="1"/>
                <w:color w:val="auto"/>
              </w:rPr>
            </w:pPr>
          </w:p>
        </w:tc>
      </w:tr>
      <w:tr>
        <w:trPr>
          <w:trHeight w:val="210"/>
        </w:trPr>
        <w:tc>
          <w:tcPr>
            <w:tcW w:w="9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Camire</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12/11/2021</w:t>
            </w:r>
          </w:p>
        </w:tc>
        <w:tc>
          <w:tcPr>
            <w:tcW w:w="54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58,596</w:t>
            </w:r>
          </w:p>
        </w:tc>
        <w:tc>
          <w:tcPr>
            <w:tcW w:w="60" w:type="dxa"/>
            <w:vAlign w:val="bottom"/>
          </w:tcPr>
          <w:p>
            <w:pPr>
              <w:spacing w:after="0"/>
              <w:rPr>
                <w:sz w:val="18"/>
                <w:szCs w:val="18"/>
                <w:color w:val="auto"/>
              </w:rPr>
            </w:pP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42,207</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9/30/2023</w:t>
            </w:r>
          </w:p>
        </w:tc>
        <w:tc>
          <w:tcPr>
            <w:tcW w:w="54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w w:val="99"/>
              </w:rPr>
              <w:t>600,846 432,789</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12/8/2020</w:t>
            </w:r>
          </w:p>
        </w:tc>
        <w:tc>
          <w:tcPr>
            <w:tcW w:w="54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24"/>
                <w:szCs w:val="24"/>
                <w:color w:val="auto"/>
              </w:rPr>
            </w:pPr>
          </w:p>
        </w:tc>
        <w:tc>
          <w:tcPr>
            <w:tcW w:w="74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185,933</w:t>
            </w:r>
          </w:p>
        </w:tc>
        <w:tc>
          <w:tcPr>
            <w:tcW w:w="60" w:type="dxa"/>
            <w:vAlign w:val="bottom"/>
          </w:tcPr>
          <w:p>
            <w:pPr>
              <w:spacing w:after="0"/>
              <w:rPr>
                <w:sz w:val="24"/>
                <w:szCs w:val="24"/>
                <w:color w:val="auto"/>
              </w:rPr>
            </w:pPr>
          </w:p>
        </w:tc>
        <w:tc>
          <w:tcPr>
            <w:tcW w:w="820" w:type="dxa"/>
            <w:vAlign w:val="bottom"/>
          </w:tcPr>
          <w:p>
            <w:pPr>
              <w:jc w:val="right"/>
              <w:ind w:right="106"/>
              <w:spacing w:after="0"/>
              <w:rPr>
                <w:sz w:val="20"/>
                <w:szCs w:val="20"/>
                <w:color w:val="auto"/>
              </w:rPr>
            </w:pPr>
            <w:r>
              <w:rPr>
                <w:rFonts w:ascii="Times New Roman" w:cs="Times New Roman" w:eastAsia="Times New Roman" w:hAnsi="Times New Roman"/>
                <w:sz w:val="16"/>
                <w:szCs w:val="16"/>
                <w:color w:val="auto"/>
              </w:rPr>
              <w:t>61,976</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10</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11/12/2019</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433,840</w:t>
            </w:r>
          </w:p>
        </w:tc>
        <w:tc>
          <w:tcPr>
            <w:tcW w:w="6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8.03</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Duncan</w:t>
            </w:r>
          </w:p>
        </w:tc>
        <w:tc>
          <w:tcPr>
            <w:tcW w:w="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3/1/2022</w:t>
            </w:r>
          </w:p>
        </w:tc>
        <w:tc>
          <w:tcPr>
            <w:tcW w:w="54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29,353</w:t>
            </w:r>
          </w:p>
        </w:tc>
        <w:tc>
          <w:tcPr>
            <w:tcW w:w="6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21,143</w:t>
            </w:r>
          </w:p>
        </w:tc>
        <w:tc>
          <w:tcPr>
            <w:tcW w:w="5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Grazier</w:t>
            </w:r>
          </w:p>
        </w:tc>
        <w:tc>
          <w:tcPr>
            <w:tcW w:w="4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9/30/2023</w:t>
            </w:r>
          </w:p>
        </w:tc>
        <w:tc>
          <w:tcPr>
            <w:tcW w:w="540" w:type="dxa"/>
            <w:vAlign w:val="bottom"/>
            <w:gridSpan w:val="2"/>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gridSpan w:val="4"/>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635,221 457,550</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54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160" w:type="dxa"/>
            <w:vAlign w:val="bottom"/>
            <w:gridSpan w:val="4"/>
            <w:vMerge w:val="continue"/>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8/30/2021</w:t>
            </w:r>
          </w:p>
        </w:tc>
        <w:tc>
          <w:tcPr>
            <w:tcW w:w="54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35,553</w:t>
            </w:r>
          </w:p>
        </w:tc>
        <w:tc>
          <w:tcPr>
            <w:tcW w:w="6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25,609</w:t>
            </w: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12/8/2020</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46,482</w:t>
            </w:r>
          </w:p>
        </w:tc>
        <w:tc>
          <w:tcPr>
            <w:tcW w:w="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15,495</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10</w:t>
            </w:r>
          </w:p>
        </w:tc>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12/10/2019</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61,977</w:t>
            </w:r>
          </w:p>
        </w:tc>
        <w:tc>
          <w:tcPr>
            <w:tcW w:w="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8.03</w:t>
            </w:r>
          </w:p>
        </w:tc>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8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5123180</wp:posOffset>
            </wp:positionH>
            <wp:positionV relativeFrom="paragraph">
              <wp:posOffset>-2313940</wp:posOffset>
            </wp:positionV>
            <wp:extent cx="342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-2313940</wp:posOffset>
            </wp:positionV>
            <wp:extent cx="342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-2313940</wp:posOffset>
            </wp:positionV>
            <wp:extent cx="342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-2313940</wp:posOffset>
            </wp:positionV>
            <wp:extent cx="342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-2313940</wp:posOffset>
            </wp:positionV>
            <wp:extent cx="342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-2313940</wp:posOffset>
            </wp:positionV>
            <wp:extent cx="342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-2313940</wp:posOffset>
            </wp:positionV>
            <wp:extent cx="342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-2313940</wp:posOffset>
            </wp:positionV>
            <wp:extent cx="342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-2313940</wp:posOffset>
            </wp:positionV>
            <wp:extent cx="514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-2313940</wp:posOffset>
            </wp:positionV>
            <wp:extent cx="514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-2313940</wp:posOffset>
            </wp:positionV>
            <wp:extent cx="514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value is based on the closing price of our common stock as of December 31, 2023 of $0.7203 per share.</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on June 16, 2024, subject to continued service with us.</w:t>
      </w:r>
    </w:p>
    <w:p>
      <w:pPr>
        <w:spacing w:after="0" w:line="41"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in seven equal quarterly installments beginning on February 15, 2024, subject to continued service with us.</w:t>
      </w:r>
    </w:p>
    <w:p>
      <w:pPr>
        <w:ind w:left="640" w:right="299" w:hanging="348"/>
        <w:spacing w:after="0" w:line="261" w:lineRule="auto"/>
        <w:tabs>
          <w:tab w:leader="none" w:pos="6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in nine equal quarterly installments beginning on February 15, 2024, subject to continued service with us.</w:t>
      </w:r>
    </w:p>
    <w:p>
      <w:pPr>
        <w:ind w:left="640" w:right="319" w:hanging="348"/>
        <w:spacing w:after="0" w:line="261" w:lineRule="auto"/>
        <w:tabs>
          <w:tab w:leader="none" w:pos="6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in eleven equal quarterly installments beginning on February 15, 2024, subject to continued service with us.</w:t>
      </w:r>
    </w:p>
    <w:p>
      <w:pPr>
        <w:ind w:left="640" w:right="299" w:hanging="348"/>
        <w:spacing w:after="0" w:line="261" w:lineRule="auto"/>
        <w:tabs>
          <w:tab w:leader="none" w:pos="6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in three equal quarterly installments beginning on February 15, 2024, subject to continued service with us.</w:t>
      </w:r>
    </w:p>
    <w:p>
      <w:pPr>
        <w:ind w:left="640" w:right="319" w:hanging="348"/>
        <w:spacing w:after="0" w:line="261" w:lineRule="auto"/>
        <w:tabs>
          <w:tab w:leader="none" w:pos="6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in eleven equal quarterly installments beginning on February 15, 2024, subject to continued service with us.</w:t>
      </w:r>
    </w:p>
    <w:p>
      <w:pPr>
        <w:jc w:val="both"/>
        <w:ind w:left="640" w:right="299" w:hanging="348"/>
        <w:spacing w:after="0" w:line="241" w:lineRule="auto"/>
        <w:tabs>
          <w:tab w:leader="none" w:pos="6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PRSU award vests on January 1, 2024 in accordance with the performance-based vesting conditions described above under “Equity-Based Incentive Awards.” The number of shares subject to each named executive officer’s PRSU award assumes threshold achievement, with the Adjusted EBITDA Margin Percentage deemed to equal 100% and Revenue CAGR Percentage deemed to equal 0%.</w:t>
      </w:r>
    </w:p>
    <w:p>
      <w:pPr>
        <w:spacing w:after="0" w:line="14"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Class P Unit award vests in four quarterly installments beginning on January 12, 2024, subject to continued service with us.</w:t>
      </w:r>
    </w:p>
    <w:p>
      <w:pPr>
        <w:ind w:left="640" w:right="299" w:hanging="348"/>
        <w:spacing w:after="0" w:line="261" w:lineRule="auto"/>
        <w:tabs>
          <w:tab w:leader="none" w:pos="6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Class P Unit award vests in four quarterly installments beginning on March 8, 2024, subject to continued service with us.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0" w:name="page111"/>
    <w:bookmarkEnd w:id="1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 xml:space="preserve">For 2023, the compensation programs for our Named Executive Officers consisted of base salary, cash bonuses and equity-based incentive awards. Detailed information about these compensation programs can be found above in the section </w:t>
      </w:r>
      <w:r>
        <w:rPr>
          <w:rFonts w:ascii="Times New Roman" w:cs="Times New Roman" w:eastAsia="Times New Roman" w:hAnsi="Times New Roman"/>
          <w:sz w:val="18"/>
          <w:szCs w:val="18"/>
          <w:i w:val="1"/>
          <w:iCs w:val="1"/>
          <w:color w:val="auto"/>
        </w:rPr>
        <w:t>Executive Compensation – Compensation Elements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Employment Arrangements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Each of our Named Executive Officers, have entered into an offer letter with Ghost Management Group, LLC, which provides for employment on an at-will basis.</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Douglas Francis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Mr. Francis previously entered into an offer of continued employment with Ghost Management Group, LLC, dated August 15, 2023, reflecting his continued service as our Executive Chair. Pursuant to the terms of the offer letter, Mr. Francis’ annual base salary is $1,020,000, and he received a signing bonus of $700,000 (the “Prior Employment Agreement”). Mr. Francis also is eligible to participate in the employee benefit plans generally available to our employees and maintained by us.</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connection with Mr. Francis’ appointment as the Company’s Chief Executive Officer, the Company entered into a new offer of continued employment with Mr. Francis (the “Employment Agreement”), dated November 7, 2024, which amends and supersedes the Prior Employment Agreement. Under the Employment Agreement, Mr. Francis is entitled to receive an annual base salary of $750,000. In addition, Mr. Francis is eligible to receive an annual target bonus equal to 100% of his annual salary. The Employment Agreement also provides that Mr. Francis will receive</w:t>
      </w:r>
    </w:p>
    <w:p>
      <w:pPr>
        <w:spacing w:after="0" w:line="3" w:lineRule="exact"/>
        <w:rPr>
          <w:sz w:val="20"/>
          <w:szCs w:val="20"/>
          <w:color w:val="auto"/>
        </w:rPr>
      </w:pPr>
    </w:p>
    <w:p>
      <w:pPr>
        <w:jc w:val="both"/>
        <w:ind w:left="300" w:right="299" w:hanging="8"/>
        <w:spacing w:after="0" w:line="267" w:lineRule="auto"/>
        <w:tabs>
          <w:tab w:leader="none" w:pos="515"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service-based vesting restricted stock units under the Company’s 2021 Stock Incentive Plan (the “Plan”) with a grant date fair value of $3,995,000.00 (“Service RSUs”) and (iv) performance-based vesting restricted stock units under the Plan with a grant date fair value of $3,995,000.00 (“Performance RSUs”). The Service RSUs will vest quarterly in substantially equal installments over a three-year period, subject to Mr. Francis’ continuous service with the Company. The Performance RSUs will vest upon the achievement of certain stock performance milestones. Under the Employment Agreement, Mr. Francis is eligible to receive the benefits applicable to “Eligible Employees” as described in the Company’s Severance and Change in Control Plan previously adopted by the Audit Committee of the Board, and other benefits on the same basis as those benefits are made available to other similarly situated employees of the Company. In addition, Mr. Francis is eligible for a reimbursement of the annual membership fee for a concierge medical plan selected by Mr. Francis, subject to a net after-tax maximum yearly amount of $24,000.</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Duncan Grazier</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Mr. Grazier previously entered into an offer letter with Ghost Management Group, LLC, dated August 20, 2019. Pursuant to the terms of the offer letter, Mr. Grazier’s annual base salary was $250,000 per year, which increased to $425,000 following his promotion to Chief Technology Officer. Mr. Grazier also was advanced a retention bonus in the amount of $200,000 pursuant to the retention bonus agreement entered into on October 2, 2023, as further described in the Form 8-K filed on October 6, 2023. Mr. Grazier also is eligible to participate in the employee benefit plans generally available to our employees and maintained by us.</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On August 7, 2024, Mr. Grazier and the Company entered into a Separation and Release Agreement (the “Separation Agreement”), providing for the terms of Mr. Grazier’s separation from employment with the Company. Under the Separation Agreement, Mr. Grazier remained employed with the Company on an “at-will” basis with the title of Special Advisor, assisting the Company in the transition of the Chief Technology Officer role through October 31, 2024. In addition, under the Separation Agreement, the Company agreed to provide Mr. Grazier with the following separation payments and benefits in lieu of any payments or benefits he may otherwise have been entitled to under the terms of his employment agreement: an amount equal to the equivalent of nine months base salary plus 75% of his 2024 target bonus, less any applicable taxes, deductions and withholdings; nine months of paid COBRA premiums (which cease in the event of new coverage with a subsequent employer); and vesting acceleration of 66,086 restricted stock units. The Separation Agreement contains a release of claims, subject to customary exceptions.</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Brian Camire</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Mr. Camire previously entered into an offer letter with Ghost Management Group, LLC, dated April 4, 2019. Pursuant to the terms of the offer letter, Mr. Camire’s annual base salary was $350,000, which increased to $410,000 per year. Mr. Camire also is eligible to participate in the employee benefit plans generally available to our employees and maintained by us.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1" w:name="page112"/>
    <w:bookmarkEnd w:id="1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Each of Mr. Grazier and Mr. Camire is eligible to participate in the Severance Plan, which provides certain benefits. Mr. Francis is not a participant in the Severance Plan and did not have any severance benefits as of December 31, 2023.</w:t>
      </w:r>
    </w:p>
    <w:p>
      <w:pPr>
        <w:spacing w:after="0" w:line="6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Severance Plan provides for severance and change in control benefits to our Named Executive Officers upon a “change in control termination” or a “regular termination” (each, as described below). Upon a change in control termination, each of Mr. Grazier and Mr. Camire (our current Named Executive Officers eligible to participate in the Severance Plan) is entitled to (i) a lump sum payment equal to 12 months of his base salary, (ii) a lump sum payment equal to 100% of the Named Executive Officer’s annual target cash bonus, (iii) full vesting acceleration of all outstanding equity awards (with any performance-based vesting awards deemed achieved at target level), and</w:t>
      </w:r>
    </w:p>
    <w:p>
      <w:pPr>
        <w:spacing w:after="0" w:line="5" w:lineRule="exact"/>
        <w:rPr>
          <w:sz w:val="20"/>
          <w:szCs w:val="20"/>
          <w:color w:val="auto"/>
        </w:rPr>
      </w:pPr>
    </w:p>
    <w:p>
      <w:pPr>
        <w:jc w:val="both"/>
        <w:ind w:left="300" w:right="299" w:hanging="8"/>
        <w:spacing w:after="0" w:line="253" w:lineRule="auto"/>
        <w:tabs>
          <w:tab w:leader="none" w:pos="6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group health insurance premiums for 12 months. Upon a regular termination, each of Mr. Grazier and Mr. Camire is entitled to (i) continued payment of the Named Executive Officer’s base salary for 9 months, (ii) a lump sum payment equal to 75% of the Named Executive Officer’s annual target cash bonus, and (iii) payment of group health insurance premiums for 9 months. All benefits under the Severance Plan are subject to the Named Executive Officer’s execution of an effective release of claims against us.</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For purposes of the Severance Plan, a “change in control termination” is a termination by us without “cause” (and not as a result of death or disability) or a resignation by the Named Executive Officer for “good reason” (each, as defined in the Severance Plan), that occurs during the period of time beginning three months before the closing of, and ending 12 months following the closing of, a “change in control” (as defined in our 2021 Equity Plan), which we refer to as the “change in control period.” A “regular termination” is a termination by us without cause that does not occur during a change in control period. No benefits are payable pursuant to our Severance Plan in the event of a Named Executive Officer’s retirement or voluntary resignation (other than for Good Reason, as described above).</w:t>
      </w:r>
    </w:p>
    <w:p>
      <w:pPr>
        <w:spacing w:after="0" w:line="8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following table quantifies the amount of cash payments, continued health benefits, and the value of any equity acceleration our eligible Named Executive Officers would have received in connection with certain terminations of employment as if such termination of employment had occurred on December 31, 2023.</w:t>
      </w:r>
    </w:p>
    <w:p>
      <w:pPr>
        <w:spacing w:after="0" w:line="102"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Continued</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74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23"/>
                <w:szCs w:val="23"/>
                <w:b w:val="1"/>
                <w:bCs w:val="1"/>
                <w:color w:val="auto"/>
                <w:vertAlign w:val="superscript"/>
              </w:rPr>
              <w:t>(1)</w:t>
            </w:r>
          </w:p>
        </w:tc>
        <w:tc>
          <w:tcPr>
            <w:tcW w:w="6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3160" w:type="dxa"/>
            <w:vAlign w:val="bottom"/>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Triggering Event</w:t>
            </w:r>
          </w:p>
        </w:tc>
        <w:tc>
          <w:tcPr>
            <w:tcW w:w="80" w:type="dxa"/>
            <w:vAlign w:val="bottom"/>
            <w:vMerge w:val="restart"/>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8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Acceleration</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380" w:type="dxa"/>
            <w:vAlign w:val="bottom"/>
            <w:tcBorders>
              <w:bottom w:val="single" w:sz="8" w:color="auto"/>
            </w:tcBorders>
            <w:vMerge w:val="continue"/>
          </w:tcPr>
          <w:p>
            <w:pPr>
              <w:spacing w:after="0"/>
              <w:rPr>
                <w:sz w:val="21"/>
                <w:szCs w:val="21"/>
                <w:color w:val="auto"/>
              </w:rPr>
            </w:pPr>
          </w:p>
        </w:tc>
        <w:tc>
          <w:tcPr>
            <w:tcW w:w="60" w:type="dxa"/>
            <w:vAlign w:val="bottom"/>
            <w:tcBorders>
              <w:bottom w:val="single" w:sz="8" w:color="CCEEFF"/>
            </w:tcBorders>
            <w:vMerge w:val="continue"/>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316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8"/>
                <w:szCs w:val="28"/>
                <w:b w:val="1"/>
                <w:bCs w:val="1"/>
                <w:color w:val="auto"/>
                <w:w w:val="88"/>
                <w:vertAlign w:val="subscript"/>
              </w:rPr>
              <w:t>($)</w:t>
            </w:r>
            <w:r>
              <w:rPr>
                <w:rFonts w:ascii="Times New Roman" w:cs="Times New Roman" w:eastAsia="Times New Roman" w:hAnsi="Times New Roman"/>
                <w:sz w:val="12"/>
                <w:szCs w:val="12"/>
                <w:b w:val="1"/>
                <w:bCs w:val="1"/>
                <w:color w:val="auto"/>
                <w:w w:val="88"/>
              </w:rPr>
              <w:t>(2)(3)</w:t>
            </w:r>
          </w:p>
        </w:tc>
        <w:tc>
          <w:tcPr>
            <w:tcW w:w="8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77"/>
        </w:trPr>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Duncan Grazier</w:t>
            </w:r>
          </w:p>
        </w:tc>
        <w:tc>
          <w:tcPr>
            <w:tcW w:w="60" w:type="dxa"/>
            <w:vAlign w:val="bottom"/>
            <w:shd w:val="clear" w:color="auto" w:fill="CCEEFF"/>
          </w:tcPr>
          <w:p>
            <w:pPr>
              <w:spacing w:after="0"/>
              <w:rPr>
                <w:sz w:val="24"/>
                <w:szCs w:val="24"/>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Involuntary Termination (non-CIC)</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318,750</w:t>
            </w: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159,375</w:t>
            </w: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24,151</w:t>
            </w:r>
          </w:p>
        </w:tc>
        <w:tc>
          <w:tcPr>
            <w:tcW w:w="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502,276</w:t>
            </w:r>
          </w:p>
        </w:tc>
        <w:tc>
          <w:tcPr>
            <w:tcW w:w="0" w:type="dxa"/>
            <w:vAlign w:val="bottom"/>
          </w:tcPr>
          <w:p>
            <w:pPr>
              <w:spacing w:after="0"/>
              <w:rPr>
                <w:sz w:val="1"/>
                <w:szCs w:val="1"/>
                <w:color w:val="auto"/>
              </w:rPr>
            </w:pPr>
          </w:p>
        </w:tc>
      </w:tr>
      <w:tr>
        <w:trPr>
          <w:trHeight w:val="358"/>
        </w:trPr>
        <w:tc>
          <w:tcPr>
            <w:tcW w:w="13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Involuntary Termination during CIC period</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shd w:val="clear" w:color="auto" w:fill="CCEEFF"/>
              </w:rPr>
              <w:t>425,000</w:t>
            </w:r>
          </w:p>
        </w:tc>
        <w:tc>
          <w:tcPr>
            <w:tcW w:w="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shd w:val="clear" w:color="auto" w:fill="CCEEFF"/>
              </w:rPr>
              <w:t>212,500</w:t>
            </w: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shd w:val="clear" w:color="auto" w:fill="CCEEFF"/>
              </w:rPr>
              <w:t>32,202</w:t>
            </w:r>
          </w:p>
        </w:tc>
        <w:tc>
          <w:tcPr>
            <w:tcW w:w="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shd w:val="clear" w:color="auto" w:fill="CCEEFF"/>
              </w:rPr>
              <w:t>504,301</w:t>
            </w:r>
          </w:p>
        </w:tc>
        <w:tc>
          <w:tcPr>
            <w:tcW w:w="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shd w:val="clear" w:color="auto" w:fill="CCEEFF"/>
              </w:rPr>
              <w:t>1,174,003</w:t>
            </w:r>
          </w:p>
        </w:tc>
        <w:tc>
          <w:tcPr>
            <w:tcW w:w="0" w:type="dxa"/>
            <w:vAlign w:val="bottom"/>
          </w:tcPr>
          <w:p>
            <w:pPr>
              <w:spacing w:after="0"/>
              <w:rPr>
                <w:sz w:val="1"/>
                <w:szCs w:val="1"/>
                <w:color w:val="auto"/>
              </w:rPr>
            </w:pPr>
          </w:p>
        </w:tc>
      </w:tr>
      <w:tr>
        <w:trPr>
          <w:trHeight w:val="270"/>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33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Involuntary Termination (non-CIC)</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307,500</w:t>
            </w:r>
          </w:p>
        </w:tc>
        <w:tc>
          <w:tcPr>
            <w:tcW w:w="8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153,750</w:t>
            </w:r>
          </w:p>
        </w:tc>
        <w:tc>
          <w:tcPr>
            <w:tcW w:w="80" w:type="dxa"/>
            <w:vAlign w:val="bottom"/>
          </w:tcPr>
          <w:p>
            <w:pPr>
              <w:spacing w:after="0"/>
              <w:rPr>
                <w:sz w:val="23"/>
                <w:szCs w:val="2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16,841</w:t>
            </w:r>
          </w:p>
        </w:tc>
        <w:tc>
          <w:tcPr>
            <w:tcW w:w="80" w:type="dxa"/>
            <w:vAlign w:val="bottom"/>
          </w:tcPr>
          <w:p>
            <w:pPr>
              <w:spacing w:after="0"/>
              <w:rPr>
                <w:sz w:val="23"/>
                <w:szCs w:val="23"/>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478,091</w:t>
            </w:r>
          </w:p>
        </w:tc>
        <w:tc>
          <w:tcPr>
            <w:tcW w:w="0" w:type="dxa"/>
            <w:vAlign w:val="bottom"/>
          </w:tcPr>
          <w:p>
            <w:pPr>
              <w:spacing w:after="0"/>
              <w:rPr>
                <w:sz w:val="1"/>
                <w:szCs w:val="1"/>
                <w:color w:val="auto"/>
              </w:rPr>
            </w:pPr>
          </w:p>
        </w:tc>
      </w:tr>
      <w:tr>
        <w:trPr>
          <w:trHeight w:val="324"/>
        </w:trPr>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Involuntary Termination during CIC period</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410,000</w:t>
            </w:r>
          </w:p>
        </w:tc>
        <w:tc>
          <w:tcPr>
            <w:tcW w:w="8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205,000</w:t>
            </w:r>
          </w:p>
        </w:tc>
        <w:tc>
          <w:tcPr>
            <w:tcW w:w="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22,454</w:t>
            </w:r>
          </w:p>
        </w:tc>
        <w:tc>
          <w:tcPr>
            <w:tcW w:w="8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474,996</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1,112,450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5020310</wp:posOffset>
            </wp:positionH>
            <wp:positionV relativeFrom="paragraph">
              <wp:posOffset>-805180</wp:posOffset>
            </wp:positionV>
            <wp:extent cx="5143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-805180</wp:posOffset>
            </wp:positionV>
            <wp:extent cx="5143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-805180</wp:posOffset>
            </wp:positionV>
            <wp:extent cx="5143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-805180</wp:posOffset>
            </wp:positionV>
            <wp:extent cx="5143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-805180</wp:posOffset>
            </wp:positionV>
            <wp:extent cx="5143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-805180</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Mr. Francis, who was not a participant in the Severance Plan as of December 31, 2023.</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value of equity acceleration is calculated based on the closing price of our common stock as of December 31, 2023 of $0.7203 per share.</w:t>
      </w:r>
    </w:p>
    <w:p>
      <w:pPr>
        <w:ind w:left="640" w:hanging="348"/>
        <w:spacing w:after="0"/>
        <w:tabs>
          <w:tab w:leader="none" w:pos="6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on June 16, 2024, subject to continued service with us.</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Our Named Executive Officers did not participate in, or otherwise receive any benefits under, any pension or retirement plan sponsored by us during 2023 other than the 401(k) Plan.</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2023, we adopted our Incentive Compensation Recoupment Policy in compliance with requirements under the Dodd Frank Wall Street Reform and Consumer Protection Act and related Nasdaq listing rules, which was amended and restated on November 7, 2024.</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In connection with the filing of our Annual Report on Form 10-K for fiscal year 2023 (“2023 10-K”), we restated our financial statements for each of the first three quarters of fiscal year 2023 in the 2023 10-K (“Restatement”).</w:t>
      </w:r>
    </w:p>
    <w:p>
      <w:pPr>
        <w:spacing w:after="0" w:line="5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 determined that the Restatement would not result in the recoupment of any compensation because the variable incentive compensation for the Company’s executive officers is calculated and paid based on year-end financial results, including year-end Revenue and year-end Adjusted EBITDA targets, which are not finalized until the Company’s year-end financial close processes and audit have been completed. For fiscal 2023, the Company based its determination of variable incentive compensation for its executive officers based on the Company’s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2" w:name="page113"/>
    <w:bookmarkEnd w:id="1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2023 year-end financial results for Revenue and Adjusted EBITDA. The variable component of the Company’s executive compensation program consists of cash-based bonus opportunities and long-term incentive compensation, including in the form of performance-based restricted stock units (“PRSUs”). Cash-based bonus opportunities for 2023 were delivered through a short-term incentive plan (“STIP”) and achievement of bonus amounts under the STIP were based on the Company’s 2023 year-end Revenue and 2023 year-end Adjusted EBITDA. PRSUs that were outstanding during fiscal 2023 had performance goals based on 2023 year-end Revenue and 2023 year-end Adjusted EBITDA. Accordingly, the Company’s determination of whether any performance goals were achieved with respect to the STIP or outstanding PRSUs took place at the end of fiscal 2023, after taking into account any adjustments to the first three quarters of 2023 that resulted from the Restatement.</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Accordingly, the Restatement did not impact the Company’s executive compensation payments because the variable portion of the Company’s executive compensation payments was calculated and finalized based on financial results provided in the Company’s year-end financial statements. As a result, the Company’s Compensation Committee determined that there were no payments required to be pursued under the Company’s Incentive Compensation Recoupment Policy.</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2023, we compensated our non-employee directors in accordance with a Non-Employee Director Compensation Policy established by our Compensation Committee in consultation with the Board, compensation consultants, Chief Executive Officer, and other members of our senior management team. The Non-Employee Director Compensation Policy is intended to provide a total compensation package that enables us to attract and retain, on a long-term basis, high-caliber directors who are not our employees or officers.</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Non-Employee Director Compensation Policy was amended in 2023 with changes effective on 1/1/2023. The Non-Employee Director Compensation Policy that was effective for 2023 consisted of the following elements:</w:t>
      </w:r>
    </w:p>
    <w:p>
      <w:pPr>
        <w:spacing w:after="0" w:line="7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Non-Employee Director Compensation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0"/>
        </w:trPr>
        <w:tc>
          <w:tcPr>
            <w:tcW w:w="7820" w:type="dxa"/>
            <w:vAlign w:val="bottom"/>
            <w:gridSpan w:val="2"/>
            <w:vMerge w:val="continue"/>
          </w:tcPr>
          <w:p>
            <w:pPr>
              <w:spacing w:after="0"/>
              <w:rPr>
                <w:sz w:val="16"/>
                <w:szCs w:val="16"/>
                <w:color w:val="auto"/>
              </w:rPr>
            </w:pP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50"/>
        </w:trPr>
        <w:tc>
          <w:tcPr>
            <w:tcW w:w="756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7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Annual Retainer for Board Membership</w:t>
            </w:r>
            <w:r>
              <w:rPr>
                <w:rFonts w:ascii="Times New Roman" w:cs="Times New Roman" w:eastAsia="Times New Roman" w:hAnsi="Times New Roman"/>
                <w:sz w:val="29"/>
                <w:szCs w:val="29"/>
                <w:b w:val="1"/>
                <w:bCs w:val="1"/>
                <w:color w:val="auto"/>
                <w:vertAlign w:val="superscript"/>
              </w:rPr>
              <w:t>(1)(2)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338"/>
        </w:trPr>
        <w:tc>
          <w:tcPr>
            <w:tcW w:w="78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New Director Grant of RSUs for New Non-Employee Directors</w:t>
            </w:r>
            <w:r>
              <w:rPr>
                <w:rFonts w:ascii="Times New Roman" w:cs="Times New Roman" w:eastAsia="Times New Roman" w:hAnsi="Times New Roman"/>
                <w:sz w:val="29"/>
                <w:szCs w:val="29"/>
                <w:b w:val="1"/>
                <w:bCs w:val="1"/>
                <w:color w:val="auto"/>
                <w:vertAlign w:val="superscript"/>
              </w:rPr>
              <w:t>(3)(4)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200,000</w:t>
            </w:r>
          </w:p>
        </w:tc>
        <w:tc>
          <w:tcPr>
            <w:tcW w:w="0" w:type="dxa"/>
            <w:vAlign w:val="bottom"/>
          </w:tcPr>
          <w:p>
            <w:pPr>
              <w:spacing w:after="0"/>
              <w:rPr>
                <w:sz w:val="1"/>
                <w:szCs w:val="1"/>
                <w:color w:val="auto"/>
              </w:rPr>
            </w:pPr>
          </w:p>
        </w:tc>
      </w:tr>
      <w:tr>
        <w:trPr>
          <w:trHeight w:val="338"/>
        </w:trPr>
        <w:tc>
          <w:tcPr>
            <w:tcW w:w="7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Initial Term Grants for Existing Non-Employee Directors</w:t>
            </w:r>
            <w:r>
              <w:rPr>
                <w:rFonts w:ascii="Times New Roman" w:cs="Times New Roman" w:eastAsia="Times New Roman" w:hAnsi="Times New Roman"/>
                <w:sz w:val="29"/>
                <w:szCs w:val="29"/>
                <w:b w:val="1"/>
                <w:bCs w:val="1"/>
                <w:color w:val="auto"/>
                <w:vertAlign w:val="superscript"/>
              </w:rPr>
              <w:t>(4)(5)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200,000</w:t>
            </w:r>
          </w:p>
        </w:tc>
        <w:tc>
          <w:tcPr>
            <w:tcW w:w="0" w:type="dxa"/>
            <w:vAlign w:val="bottom"/>
          </w:tcPr>
          <w:p>
            <w:pPr>
              <w:spacing w:after="0"/>
              <w:rPr>
                <w:sz w:val="1"/>
                <w:szCs w:val="1"/>
                <w:color w:val="auto"/>
              </w:rPr>
            </w:pPr>
          </w:p>
        </w:tc>
      </w:tr>
      <w:tr>
        <w:trPr>
          <w:trHeight w:val="338"/>
        </w:trPr>
        <w:tc>
          <w:tcPr>
            <w:tcW w:w="78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Annual RSU Grant for All Non-Employee Directors</w:t>
            </w:r>
            <w:r>
              <w:rPr>
                <w:rFonts w:ascii="Times New Roman" w:cs="Times New Roman" w:eastAsia="Times New Roman" w:hAnsi="Times New Roman"/>
                <w:sz w:val="29"/>
                <w:szCs w:val="29"/>
                <w:b w:val="1"/>
                <w:bCs w:val="1"/>
                <w:color w:val="auto"/>
                <w:vertAlign w:val="superscript"/>
              </w:rPr>
              <w:t>(5)(6)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200,000</w:t>
            </w:r>
          </w:p>
        </w:tc>
        <w:tc>
          <w:tcPr>
            <w:tcW w:w="0" w:type="dxa"/>
            <w:vAlign w:val="bottom"/>
          </w:tcPr>
          <w:p>
            <w:pPr>
              <w:spacing w:after="0"/>
              <w:rPr>
                <w:sz w:val="1"/>
                <w:szCs w:val="1"/>
                <w:color w:val="auto"/>
              </w:rPr>
            </w:pPr>
          </w:p>
        </w:tc>
      </w:tr>
      <w:tr>
        <w:trPr>
          <w:trHeight w:val="277"/>
        </w:trPr>
        <w:tc>
          <w:tcPr>
            <w:tcW w:w="78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Committee Additional Cash Retainer</w:t>
            </w:r>
          </w:p>
        </w:tc>
        <w:tc>
          <w:tcPr>
            <w:tcW w:w="6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Audit Committee Chairperson</w:t>
            </w:r>
            <w:r>
              <w:rPr>
                <w:rFonts w:ascii="Times New Roman" w:cs="Times New Roman" w:eastAsia="Times New Roman" w:hAnsi="Times New Roman"/>
                <w:sz w:val="29"/>
                <w:szCs w:val="29"/>
                <w:color w:val="auto"/>
                <w:vertAlign w:val="superscript"/>
              </w:rPr>
              <w:t>(1)(2)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338"/>
        </w:trPr>
        <w:tc>
          <w:tcPr>
            <w:tcW w:w="7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Audit Committee member (other than Chairperson)</w:t>
            </w:r>
            <w:r>
              <w:rPr>
                <w:rFonts w:ascii="Times New Roman" w:cs="Times New Roman" w:eastAsia="Times New Roman" w:hAnsi="Times New Roman"/>
                <w:sz w:val="29"/>
                <w:szCs w:val="29"/>
                <w:color w:val="auto"/>
                <w:vertAlign w:val="superscript"/>
              </w:rPr>
              <w:t>(1)(2)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338"/>
        </w:trPr>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Compensation Committee Chairperson </w:t>
            </w:r>
            <w:r>
              <w:rPr>
                <w:rFonts w:ascii="Times New Roman" w:cs="Times New Roman" w:eastAsia="Times New Roman" w:hAnsi="Times New Roman"/>
                <w:sz w:val="29"/>
                <w:szCs w:val="29"/>
                <w:color w:val="auto"/>
                <w:vertAlign w:val="superscript"/>
              </w:rPr>
              <w:t>(1)(2)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338"/>
        </w:trPr>
        <w:tc>
          <w:tcPr>
            <w:tcW w:w="7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Compensation Committee member (other than Chairperson)</w:t>
            </w:r>
            <w:r>
              <w:rPr>
                <w:rFonts w:ascii="Times New Roman" w:cs="Times New Roman" w:eastAsia="Times New Roman" w:hAnsi="Times New Roman"/>
                <w:sz w:val="29"/>
                <w:szCs w:val="29"/>
                <w:color w:val="auto"/>
                <w:vertAlign w:val="superscript"/>
              </w:rPr>
              <w:t>(1)(2)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338"/>
        </w:trPr>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Nominating and Corporate Governance Committee Chairperson</w:t>
            </w:r>
            <w:r>
              <w:rPr>
                <w:rFonts w:ascii="Times New Roman" w:cs="Times New Roman" w:eastAsia="Times New Roman" w:hAnsi="Times New Roman"/>
                <w:sz w:val="29"/>
                <w:szCs w:val="29"/>
                <w:color w:val="auto"/>
                <w:vertAlign w:val="superscript"/>
              </w:rPr>
              <w:t>(1)(2)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338"/>
        </w:trPr>
        <w:tc>
          <w:tcPr>
            <w:tcW w:w="7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Nominating and Corporate Governance Committee member (other than Chairperson)</w:t>
            </w:r>
            <w:r>
              <w:rPr>
                <w:rFonts w:ascii="Times New Roman" w:cs="Times New Roman" w:eastAsia="Times New Roman" w:hAnsi="Times New Roman"/>
                <w:sz w:val="29"/>
                <w:szCs w:val="29"/>
                <w:color w:val="auto"/>
                <w:vertAlign w:val="superscript"/>
              </w:rPr>
              <w:t>(1)(2)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337"/>
        </w:trPr>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Technology Committee Chairperson</w:t>
            </w:r>
            <w:r>
              <w:rPr>
                <w:rFonts w:ascii="Times New Roman" w:cs="Times New Roman" w:eastAsia="Times New Roman" w:hAnsi="Times New Roman"/>
                <w:sz w:val="29"/>
                <w:szCs w:val="29"/>
                <w:color w:val="auto"/>
                <w:vertAlign w:val="superscript"/>
              </w:rPr>
              <w:t>(1)(2)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338"/>
        </w:trPr>
        <w:tc>
          <w:tcPr>
            <w:tcW w:w="7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Technology Committee member (other than Chairperson)</w:t>
            </w:r>
            <w:r>
              <w:rPr>
                <w:rFonts w:ascii="Times New Roman" w:cs="Times New Roman" w:eastAsia="Times New Roman" w:hAnsi="Times New Roman"/>
                <w:sz w:val="29"/>
                <w:szCs w:val="29"/>
                <w:color w:val="auto"/>
                <w:vertAlign w:val="superscript"/>
              </w:rPr>
              <w:t>(1)(2)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338"/>
        </w:trPr>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Additional Annual Retainer for Chairperson of the Board (if a Non-Employee Director)</w:t>
            </w:r>
            <w:r>
              <w:rPr>
                <w:rFonts w:ascii="Times New Roman" w:cs="Times New Roman" w:eastAsia="Times New Roman" w:hAnsi="Times New Roman"/>
                <w:sz w:val="29"/>
                <w:szCs w:val="29"/>
                <w:color w:val="auto"/>
                <w:vertAlign w:val="superscript"/>
              </w:rPr>
              <w:t>(1)(2)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338"/>
        </w:trPr>
        <w:tc>
          <w:tcPr>
            <w:tcW w:w="7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Annual Retainer for Lead Independent Director</w:t>
            </w:r>
            <w:r>
              <w:rPr>
                <w:rFonts w:ascii="Times New Roman" w:cs="Times New Roman" w:eastAsia="Times New Roman" w:hAnsi="Times New Roman"/>
                <w:sz w:val="29"/>
                <w:szCs w:val="29"/>
                <w:color w:val="auto"/>
                <w:vertAlign w:val="superscript"/>
              </w:rPr>
              <w:t>(1)(2)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420"/>
        </w:trPr>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Additional Meeting Fees for each Director</w:t>
            </w:r>
            <w:r>
              <w:rPr>
                <w:rFonts w:ascii="Times New Roman" w:cs="Times New Roman" w:eastAsia="Times New Roman" w:hAnsi="Times New Roman"/>
                <w:sz w:val="29"/>
                <w:szCs w:val="29"/>
                <w:color w:val="auto"/>
                <w:vertAlign w:val="superscript"/>
              </w:rPr>
              <w:t>(7)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4986020</wp:posOffset>
            </wp:positionH>
            <wp:positionV relativeFrom="paragraph">
              <wp:posOffset>-3480435</wp:posOffset>
            </wp:positionV>
            <wp:extent cx="17145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76200</wp:posOffset>
            </wp:positionV>
            <wp:extent cx="82296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45" w:lineRule="exact"/>
        <w:rPr>
          <w:sz w:val="20"/>
          <w:szCs w:val="20"/>
          <w:color w:val="auto"/>
        </w:rPr>
      </w:pPr>
    </w:p>
    <w:p>
      <w:pPr>
        <w:ind w:left="640" w:right="299" w:hanging="348"/>
        <w:spacing w:after="0" w:line="250" w:lineRule="auto"/>
        <w:tabs>
          <w:tab w:leader="none" w:pos="6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Vested upon payment and paid in arrears on the last business day of each fiscal quarter in which the Non-Employee Director’s service occurred.</w:t>
      </w:r>
    </w:p>
    <w:p>
      <w:pPr>
        <w:spacing w:after="0" w:line="183"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Non-Employee Director joins the Board or a committee of the Board at a time other than effective as of the first day of a fiscal quarter, this annual retainer will be pro-rated based on days served in the applicable fiscal year, with the pro-rated amount paid for the first fiscal quarter in which the Non-Employee Director provides the service, and regular full quarterly payments thereafter.</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Non-Employee Director elected or appointed to be a Non-Employee Director for the first time will receive an initial one-time RSU grant (the “New Director Grant”) with an aggregate value of approximately (i) $200,000 multiplied by the ratio of (A) the number of calendar months between their commencement date and the first anniversary of the date of our most recent annual meeting of our stockholders, rounded up to the nearest whole number, and (B) 12, plus (ii) $200,000 multiplied by the number of whole calendar years remaining on their initial term. The portion of the grant described in clause (i) of the prior sentence will vest on the date of the next annual meeting of our stockholders (the “First Meeting Date”) and the portion of the grant described in clause (ii) of the prior sentence, if any, will vest in equal annual installments on the date of each annual meeting of our stockholders (an “Annual Meeting Date”) following the First Meeting Date that is part of their initial term.</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3" w:name="page114"/>
    <w:bookmarkEnd w:id="1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40" w:right="299" w:hanging="348"/>
        <w:spacing w:after="0" w:line="227" w:lineRule="auto"/>
        <w:tabs>
          <w:tab w:leader="none" w:pos="6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vesting is subject to the Non-Employee Director’s Continuous Service (as defined in the 2021 Equity Plan) through the applicable vesting date. In the event of a change of control (as defined in the 2021 Equity Plan), any unvested portion of an equity award granted to our Non-Employee Directors pursuant to the Non-Employee Director Compensation Policy shall vest as follows: (i) the portion of each New Director Grant held by such Non-Employee Director that, if the change in control had not occurred, would have vested at each of the next two Annual Meeting Dates following the closing date will, immediately prior to the closing, accelerate and become vested; (ii) the portion of each Initial Term Grant held by such Non-Employee Director that, if the change in control had not occurred, would have vested at the next Annual Meeting Date following the closing date will, immediately prior to the closing, accelerate and become vested; and (iii) the portion of each Renewal Term Grant held by such Non-Employee Director that, if the change in control had not occurred, would have vested at the next Annual Meeting Date following the closing date will, immediately prior to the closing, accelerate and become vested.</w:t>
      </w:r>
    </w:p>
    <w:p>
      <w:pPr>
        <w:spacing w:after="0" w:line="20"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1, 2023, each Non-Employee Director who was then in office automatically received a one-time grant of restricted stock units (each, an “Initial Term Grant”) with an aggregate value of approximately $200,000 multiplied by the number of whole calendar years remaining on the Non-Employee Director’s term. Each Initial Term Grant will vest in equal annual installments on the date of each remaining Annual Meeting Date following the First Meeting Date subsequent to the effectiveness of the Initial Term Grant that is part of the Non-Employee Directors current term. The Initial Term Grant may only be granted once to any Non-Employee Director.</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close of business on the date of each annual meeting of our stockholders, each Non-Employee Director who will continue as a member of the Board following the date of such annual meeting of our stockholders will receive an RSU grant (the “Renewal Term Grant”) with an aggregate value of approximately $600,000, that vests in three equal annual installments over the next three Annual Meeting Dates.</w:t>
      </w:r>
    </w:p>
    <w:p>
      <w:pPr>
        <w:spacing w:after="0" w:line="14" w:lineRule="exact"/>
        <w:rPr>
          <w:rFonts w:ascii="Times New Roman" w:cs="Times New Roman" w:eastAsia="Times New Roman" w:hAnsi="Times New Roman"/>
          <w:sz w:val="14"/>
          <w:szCs w:val="14"/>
          <w:color w:val="auto"/>
        </w:rPr>
      </w:pPr>
    </w:p>
    <w:p>
      <w:pPr>
        <w:jc w:val="both"/>
        <w:ind w:left="640" w:right="319" w:hanging="348"/>
        <w:spacing w:after="0"/>
        <w:tabs>
          <w:tab w:leader="none" w:pos="6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Outside Director who attends more than eight (8) meetings of (i) the Board plus (ii) any ad hoc or special committee meetings not named in I.(b) above during any calendar year will receive an additional $1,000 for each meeting attended in the calendar year in excess of eight (8). Any Outside Director who attends more than eight (8) meetings of any Committee named in I.(b) above on which that Outside Director serves during any calendar year will receive $1,000 for each meeting of that Committee attended in the calendar year in excess of eight (8).</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4" w:name="page115"/>
    <w:bookmarkEnd w:id="1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following table shows certain information with respect to the compensation of all non-employee directors of the Company in 2023. These amounts reflect our accounting expense for these RSUs, as further described in the footnotes to the table, and do not represent the actual economic value that was realized in 2023 or may be realized upon vesting by the non-employee director.</w:t>
      </w: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Earned or</w:t>
            </w:r>
          </w:p>
        </w:tc>
        <w:tc>
          <w:tcPr>
            <w:tcW w:w="140" w:type="dxa"/>
            <w:vAlign w:val="bottom"/>
          </w:tcPr>
          <w:p>
            <w:pPr>
              <w:spacing w:after="0"/>
              <w:rPr>
                <w:sz w:val="12"/>
                <w:szCs w:val="12"/>
                <w:color w:val="auto"/>
              </w:rPr>
            </w:pPr>
          </w:p>
        </w:tc>
        <w:tc>
          <w:tcPr>
            <w:tcW w:w="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9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9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96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w w:val="98"/>
              </w:rPr>
              <w:t>plan</w:t>
            </w:r>
          </w:p>
        </w:tc>
        <w:tc>
          <w:tcPr>
            <w:tcW w:w="9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60" w:type="dxa"/>
            <w:vAlign w:val="bottom"/>
            <w:gridSpan w:val="2"/>
            <w:vMerge w:val="continue"/>
          </w:tcPr>
          <w:p>
            <w:pPr>
              <w:spacing w:after="0"/>
              <w:rPr>
                <w:sz w:val="12"/>
                <w:szCs w:val="12"/>
                <w:color w:val="auto"/>
              </w:rPr>
            </w:pPr>
          </w:p>
        </w:tc>
        <w:tc>
          <w:tcPr>
            <w:tcW w:w="60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vMerge w:val="restart"/>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14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6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68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vMerge w:val="continue"/>
          </w:tcPr>
          <w:p>
            <w:pPr>
              <w:spacing w:after="0"/>
              <w:rPr>
                <w:sz w:val="21"/>
                <w:szCs w:val="2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8"/>
                <w:szCs w:val="28"/>
                <w:b w:val="1"/>
                <w:bCs w:val="1"/>
                <w:color w:val="auto"/>
                <w:w w:val="88"/>
                <w:vertAlign w:val="subscript"/>
              </w:rPr>
              <w:t>($)</w:t>
            </w:r>
            <w:r>
              <w:rPr>
                <w:rFonts w:ascii="Times New Roman" w:cs="Times New Roman" w:eastAsia="Times New Roman" w:hAnsi="Times New Roman"/>
                <w:sz w:val="12"/>
                <w:szCs w:val="12"/>
                <w:b w:val="1"/>
                <w:bCs w:val="1"/>
                <w:color w:val="auto"/>
                <w:w w:val="88"/>
              </w:rPr>
              <w:t>(1)(2)</w:t>
            </w:r>
          </w:p>
        </w:tc>
        <w:tc>
          <w:tcPr>
            <w:tcW w:w="14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(4)</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11"/>
        </w:trPr>
        <w:tc>
          <w:tcPr>
            <w:tcW w:w="2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Tony Aquila</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600,364</w:t>
            </w: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35,297</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700,661</w:t>
            </w:r>
          </w:p>
        </w:tc>
        <w:tc>
          <w:tcPr>
            <w:tcW w:w="0" w:type="dxa"/>
            <w:vAlign w:val="bottom"/>
          </w:tcPr>
          <w:p>
            <w:pPr>
              <w:spacing w:after="0"/>
              <w:rPr>
                <w:sz w:val="1"/>
                <w:szCs w:val="1"/>
                <w:color w:val="auto"/>
              </w:rPr>
            </w:pPr>
          </w:p>
        </w:tc>
      </w:tr>
      <w:tr>
        <w:trPr>
          <w:trHeight w:val="270"/>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Bay</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122,500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394,114</w:t>
            </w:r>
          </w:p>
        </w:tc>
        <w:tc>
          <w:tcPr>
            <w:tcW w:w="140" w:type="dxa"/>
            <w:vAlign w:val="bottom"/>
          </w:tcPr>
          <w:p>
            <w:pPr>
              <w:spacing w:after="0"/>
              <w:rPr>
                <w:sz w:val="23"/>
                <w:szCs w:val="23"/>
                <w:color w:val="auto"/>
              </w:rPr>
            </w:pP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516,614</w:t>
            </w:r>
          </w:p>
        </w:tc>
        <w:tc>
          <w:tcPr>
            <w:tcW w:w="0" w:type="dxa"/>
            <w:vAlign w:val="bottom"/>
          </w:tcPr>
          <w:p>
            <w:pPr>
              <w:spacing w:after="0"/>
              <w:rPr>
                <w:sz w:val="1"/>
                <w:szCs w:val="1"/>
                <w:color w:val="auto"/>
              </w:rPr>
            </w:pPr>
          </w:p>
        </w:tc>
      </w:tr>
      <w:tr>
        <w:trPr>
          <w:trHeight w:val="54"/>
        </w:trPr>
        <w:tc>
          <w:tcPr>
            <w:tcW w:w="2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Francis</w:t>
            </w:r>
            <w:r>
              <w:rPr>
                <w:rFonts w:ascii="Times New Roman" w:cs="Times New Roman" w:eastAsia="Times New Roman" w:hAnsi="Times New Roman"/>
                <w:sz w:val="29"/>
                <w:szCs w:val="29"/>
                <w:color w:val="auto"/>
                <w:vertAlign w:val="superscript"/>
              </w:rPr>
              <w:t>(5)</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37,768</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30,905</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68,673</w:t>
            </w:r>
          </w:p>
        </w:tc>
        <w:tc>
          <w:tcPr>
            <w:tcW w:w="0" w:type="dxa"/>
            <w:vAlign w:val="bottom"/>
          </w:tcPr>
          <w:p>
            <w:pPr>
              <w:spacing w:after="0"/>
              <w:rPr>
                <w:sz w:val="1"/>
                <w:szCs w:val="1"/>
                <w:color w:val="auto"/>
              </w:rPr>
            </w:pPr>
          </w:p>
        </w:tc>
      </w:tr>
      <w:tr>
        <w:trPr>
          <w:trHeight w:val="270"/>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Brenda Freeman</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183,000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500,363</w:t>
            </w:r>
          </w:p>
        </w:tc>
        <w:tc>
          <w:tcPr>
            <w:tcW w:w="140" w:type="dxa"/>
            <w:vAlign w:val="bottom"/>
          </w:tcPr>
          <w:p>
            <w:pPr>
              <w:spacing w:after="0"/>
              <w:rPr>
                <w:sz w:val="23"/>
                <w:szCs w:val="23"/>
                <w:color w:val="auto"/>
              </w:rPr>
            </w:pP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26,775</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710,138</w:t>
            </w:r>
          </w:p>
        </w:tc>
        <w:tc>
          <w:tcPr>
            <w:tcW w:w="0" w:type="dxa"/>
            <w:vAlign w:val="bottom"/>
          </w:tcPr>
          <w:p>
            <w:pPr>
              <w:spacing w:after="0"/>
              <w:rPr>
                <w:sz w:val="1"/>
                <w:szCs w:val="1"/>
                <w:color w:val="auto"/>
              </w:rPr>
            </w:pPr>
          </w:p>
        </w:tc>
      </w:tr>
      <w:tr>
        <w:trPr>
          <w:trHeight w:val="54"/>
        </w:trPr>
        <w:tc>
          <w:tcPr>
            <w:tcW w:w="2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Olga Gonzalez</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120,000</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500,363</w:t>
            </w: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27,073</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647,436</w:t>
            </w:r>
          </w:p>
        </w:tc>
        <w:tc>
          <w:tcPr>
            <w:tcW w:w="0" w:type="dxa"/>
            <w:vAlign w:val="bottom"/>
          </w:tcPr>
          <w:p>
            <w:pPr>
              <w:spacing w:after="0"/>
              <w:rPr>
                <w:sz w:val="1"/>
                <w:szCs w:val="1"/>
                <w:color w:val="auto"/>
              </w:rPr>
            </w:pPr>
          </w:p>
        </w:tc>
      </w:tr>
      <w:tr>
        <w:trPr>
          <w:trHeight w:val="270"/>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Gordon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187,864</w:t>
            </w:r>
          </w:p>
        </w:tc>
        <w:tc>
          <w:tcPr>
            <w:tcW w:w="140" w:type="dxa"/>
            <w:vAlign w:val="bottom"/>
          </w:tcPr>
          <w:p>
            <w:pPr>
              <w:spacing w:after="0"/>
              <w:rPr>
                <w:sz w:val="23"/>
                <w:szCs w:val="23"/>
                <w:color w:val="auto"/>
              </w:rPr>
            </w:pP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37,964</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323,328</w:t>
            </w:r>
          </w:p>
        </w:tc>
        <w:tc>
          <w:tcPr>
            <w:tcW w:w="0" w:type="dxa"/>
            <w:vAlign w:val="bottom"/>
          </w:tcPr>
          <w:p>
            <w:pPr>
              <w:spacing w:after="0"/>
              <w:rPr>
                <w:sz w:val="1"/>
                <w:szCs w:val="1"/>
                <w:color w:val="auto"/>
              </w:rPr>
            </w:pPr>
          </w:p>
        </w:tc>
      </w:tr>
      <w:tr>
        <w:trPr>
          <w:trHeight w:val="54"/>
        </w:trPr>
        <w:tc>
          <w:tcPr>
            <w:tcW w:w="2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4"/>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Justin Hartfield</w:t>
            </w:r>
            <w:r>
              <w:rPr>
                <w:rFonts w:ascii="Times New Roman" w:cs="Times New Roman" w:eastAsia="Times New Roman" w:hAnsi="Times New Roman"/>
                <w:sz w:val="29"/>
                <w:szCs w:val="29"/>
                <w:color w:val="auto"/>
                <w:vertAlign w:val="superscript"/>
              </w:rPr>
              <w:t>(3)</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33,684</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68,684</w:t>
            </w:r>
          </w:p>
        </w:tc>
        <w:tc>
          <w:tcPr>
            <w:tcW w:w="0" w:type="dxa"/>
            <w:vAlign w:val="bottom"/>
          </w:tcPr>
          <w:p>
            <w:pPr>
              <w:spacing w:after="0"/>
              <w:rPr>
                <w:sz w:val="1"/>
                <w:szCs w:val="1"/>
                <w:color w:val="auto"/>
              </w:rPr>
            </w:pPr>
          </w:p>
        </w:tc>
      </w:tr>
      <w:tr>
        <w:trPr>
          <w:trHeight w:val="433"/>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Fiona Tan</w:t>
            </w:r>
            <w:r>
              <w:rPr>
                <w:rFonts w:ascii="Times New Roman" w:cs="Times New Roman" w:eastAsia="Times New Roman" w:hAnsi="Times New Roman"/>
                <w:sz w:val="29"/>
                <w:szCs w:val="29"/>
                <w:color w:val="auto"/>
                <w:vertAlign w:val="superscript"/>
              </w:rPr>
              <w:t>(6)</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122,000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394,114</w:t>
            </w:r>
          </w:p>
        </w:tc>
        <w:tc>
          <w:tcPr>
            <w:tcW w:w="140" w:type="dxa"/>
            <w:vAlign w:val="bottom"/>
          </w:tcPr>
          <w:p>
            <w:pPr>
              <w:spacing w:after="0"/>
              <w:rPr>
                <w:sz w:val="24"/>
                <w:szCs w:val="24"/>
                <w:color w:val="auto"/>
              </w:rPr>
            </w:pP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36,550</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552,664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5088890</wp:posOffset>
            </wp:positionH>
            <wp:positionV relativeFrom="paragraph">
              <wp:posOffset>-1783080</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-1783080</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-1783080</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-1783080</wp:posOffset>
            </wp:positionV>
            <wp:extent cx="8572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-1783080</wp:posOffset>
            </wp:positionV>
            <wp:extent cx="8572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-1783080</wp:posOffset>
            </wp:positionV>
            <wp:extent cx="8572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-1783080</wp:posOffset>
            </wp:positionV>
            <wp:extent cx="8572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110490</wp:posOffset>
            </wp:positionV>
            <wp:extent cx="82296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99" w:lineRule="exact"/>
        <w:rPr>
          <w:sz w:val="20"/>
          <w:szCs w:val="20"/>
          <w:color w:val="auto"/>
        </w:rPr>
      </w:pPr>
    </w:p>
    <w:p>
      <w:pPr>
        <w:ind w:left="640" w:right="299" w:hanging="348"/>
        <w:spacing w:after="0" w:line="261" w:lineRule="auto"/>
        <w:tabs>
          <w:tab w:leader="none" w:pos="6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shows, for each named individual, the aggregate shares under stock awards and the aggregate shares underlying option awards held by that individual as of December 31, 2023.</w:t>
      </w:r>
    </w:p>
    <w:p>
      <w:pPr>
        <w:jc w:val="both"/>
        <w:ind w:left="640" w:right="299" w:hanging="348"/>
        <w:spacing w:after="0" w:line="233" w:lineRule="auto"/>
        <w:tabs>
          <w:tab w:leader="none" w:pos="6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grant date fair value of all service-vesting RSU awards in accordance with ASC 718, rather than amounts paid to or realized by the named individual. The grant date fair value of each RSU award was measured based on the closing price of our shares of our Class A Common Stock on the date of grant. The amounts reported do not correspond to the economic value received by each non-employee director from the equity award. For information regarding assumptions underlying the value of equity awards, see Note 14 to our audited consolidated financial statements included in this prospectus.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Hartfield resigned as a member of the Board and forfeited $187,864 of stock awards on August 9, 2023.</w:t>
      </w:r>
    </w:p>
    <w:p>
      <w:pPr>
        <w:spacing w:after="0" w:line="41" w:lineRule="exact"/>
        <w:rPr>
          <w:rFonts w:ascii="Times New Roman" w:cs="Times New Roman" w:eastAsia="Times New Roman" w:hAnsi="Times New Roman"/>
          <w:sz w:val="14"/>
          <w:szCs w:val="14"/>
          <w:color w:val="auto"/>
        </w:rPr>
      </w:pPr>
    </w:p>
    <w:p>
      <w:pPr>
        <w:ind w:left="640" w:right="319" w:hanging="348"/>
        <w:spacing w:after="0" w:line="250" w:lineRule="auto"/>
        <w:tabs>
          <w:tab w:leader="none" w:pos="6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payments made to non-employee directors due to unanticipated tax obligations owed in connection with their 2022 service.</w:t>
      </w:r>
    </w:p>
    <w:p>
      <w:pPr>
        <w:spacing w:after="0" w:line="183"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Francis was a Non-Employee Director until he was named an executive officer on April 26, 2023.</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2, 2024, Fiona Tan notified the Company of her decision to resign as a member of the Board, the Nominating and Corporate Governance Committee of the Board, of which she was the Chairperson, effective September 30, 2024.</w:t>
      </w:r>
    </w:p>
    <w:p>
      <w:pPr>
        <w:spacing w:after="0" w:line="16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Stock</w:t>
            </w:r>
          </w:p>
        </w:tc>
        <w:tc>
          <w:tcPr>
            <w:tcW w:w="0" w:type="dxa"/>
            <w:vAlign w:val="bottom"/>
          </w:tcPr>
          <w:p>
            <w:pPr>
              <w:spacing w:after="0"/>
              <w:rPr>
                <w:sz w:val="1"/>
                <w:szCs w:val="1"/>
                <w:color w:val="auto"/>
              </w:rPr>
            </w:pPr>
          </w:p>
        </w:tc>
      </w:tr>
      <w:tr>
        <w:trPr>
          <w:trHeight w:val="149"/>
        </w:trPr>
        <w:tc>
          <w:tcPr>
            <w:tcW w:w="6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Outstanding as</w:t>
            </w:r>
          </w:p>
        </w:tc>
        <w:tc>
          <w:tcPr>
            <w:tcW w:w="0" w:type="dxa"/>
            <w:vAlign w:val="bottom"/>
          </w:tcPr>
          <w:p>
            <w:pPr>
              <w:spacing w:after="0"/>
              <w:rPr>
                <w:sz w:val="1"/>
                <w:szCs w:val="1"/>
                <w:color w:val="auto"/>
              </w:rPr>
            </w:pPr>
          </w:p>
        </w:tc>
      </w:tr>
      <w:tr>
        <w:trPr>
          <w:trHeight w:val="190"/>
        </w:trPr>
        <w:tc>
          <w:tcPr>
            <w:tcW w:w="6960" w:type="dxa"/>
            <w:vAlign w:val="bottom"/>
            <w:gridSpan w:val="2"/>
            <w:vMerge w:val="continue"/>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December 31, 2023</w:t>
            </w:r>
          </w:p>
        </w:tc>
        <w:tc>
          <w:tcPr>
            <w:tcW w:w="0" w:type="dxa"/>
            <w:vAlign w:val="bottom"/>
          </w:tcPr>
          <w:p>
            <w:pPr>
              <w:spacing w:after="0"/>
              <w:rPr>
                <w:sz w:val="1"/>
                <w:szCs w:val="1"/>
                <w:color w:val="auto"/>
              </w:rPr>
            </w:pPr>
          </w:p>
        </w:tc>
      </w:tr>
      <w:tr>
        <w:trPr>
          <w:trHeight w:val="50"/>
        </w:trPr>
        <w:tc>
          <w:tcPr>
            <w:tcW w:w="670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6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Tony Aquila</w:t>
            </w:r>
          </w:p>
        </w:tc>
        <w:tc>
          <w:tcPr>
            <w:tcW w:w="1460" w:type="dxa"/>
            <w:vAlign w:val="bottom"/>
            <w:tcBorders>
              <w:bottom w:val="single" w:sz="8" w:color="CCEEFF"/>
            </w:tcBorders>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548,582</w:t>
            </w:r>
          </w:p>
        </w:tc>
        <w:tc>
          <w:tcPr>
            <w:tcW w:w="0" w:type="dxa"/>
            <w:vAlign w:val="bottom"/>
          </w:tcPr>
          <w:p>
            <w:pPr>
              <w:spacing w:after="0"/>
              <w:rPr>
                <w:sz w:val="1"/>
                <w:szCs w:val="1"/>
                <w:color w:val="auto"/>
              </w:rPr>
            </w:pPr>
          </w:p>
        </w:tc>
      </w:tr>
      <w:tr>
        <w:trPr>
          <w:trHeight w:val="270"/>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Bay</w:t>
            </w:r>
          </w:p>
        </w:tc>
        <w:tc>
          <w:tcPr>
            <w:tcW w:w="146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432,743</w:t>
            </w:r>
          </w:p>
        </w:tc>
        <w:tc>
          <w:tcPr>
            <w:tcW w:w="0" w:type="dxa"/>
            <w:vAlign w:val="bottom"/>
          </w:tcPr>
          <w:p>
            <w:pPr>
              <w:spacing w:after="0"/>
              <w:rPr>
                <w:sz w:val="1"/>
                <w:szCs w:val="1"/>
                <w:color w:val="auto"/>
              </w:rPr>
            </w:pPr>
          </w:p>
        </w:tc>
      </w:tr>
      <w:tr>
        <w:trPr>
          <w:trHeight w:val="54"/>
        </w:trPr>
        <w:tc>
          <w:tcPr>
            <w:tcW w:w="6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Francis</w:t>
            </w:r>
            <w:r>
              <w:rPr>
                <w:rFonts w:ascii="Times New Roman" w:cs="Times New Roman" w:eastAsia="Times New Roman" w:hAnsi="Times New Roman"/>
                <w:sz w:val="29"/>
                <w:szCs w:val="29"/>
                <w:color w:val="auto"/>
                <w:vertAlign w:val="superscript"/>
              </w:rPr>
              <w:t>(2)</w:t>
            </w:r>
          </w:p>
        </w:tc>
        <w:tc>
          <w:tcPr>
            <w:tcW w:w="146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10,094</w:t>
            </w:r>
          </w:p>
        </w:tc>
        <w:tc>
          <w:tcPr>
            <w:tcW w:w="0" w:type="dxa"/>
            <w:vAlign w:val="bottom"/>
          </w:tcPr>
          <w:p>
            <w:pPr>
              <w:spacing w:after="0"/>
              <w:rPr>
                <w:sz w:val="1"/>
                <w:szCs w:val="1"/>
                <w:color w:val="auto"/>
              </w:rPr>
            </w:pPr>
          </w:p>
        </w:tc>
      </w:tr>
      <w:tr>
        <w:trPr>
          <w:trHeight w:val="270"/>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Brenda Freeman</w:t>
            </w:r>
          </w:p>
        </w:tc>
        <w:tc>
          <w:tcPr>
            <w:tcW w:w="146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472,824</w:t>
            </w:r>
          </w:p>
        </w:tc>
        <w:tc>
          <w:tcPr>
            <w:tcW w:w="0" w:type="dxa"/>
            <w:vAlign w:val="bottom"/>
          </w:tcPr>
          <w:p>
            <w:pPr>
              <w:spacing w:after="0"/>
              <w:rPr>
                <w:sz w:val="1"/>
                <w:szCs w:val="1"/>
                <w:color w:val="auto"/>
              </w:rPr>
            </w:pPr>
          </w:p>
        </w:tc>
      </w:tr>
      <w:tr>
        <w:trPr>
          <w:trHeight w:val="54"/>
        </w:trPr>
        <w:tc>
          <w:tcPr>
            <w:tcW w:w="6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Olga Gonzalez</w:t>
            </w:r>
          </w:p>
        </w:tc>
        <w:tc>
          <w:tcPr>
            <w:tcW w:w="1460" w:type="dxa"/>
            <w:vAlign w:val="bottom"/>
            <w:tcBorders>
              <w:bottom w:val="single" w:sz="8" w:color="CCEEFF"/>
            </w:tcBorders>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472,824</w:t>
            </w:r>
          </w:p>
        </w:tc>
        <w:tc>
          <w:tcPr>
            <w:tcW w:w="0" w:type="dxa"/>
            <w:vAlign w:val="bottom"/>
          </w:tcPr>
          <w:p>
            <w:pPr>
              <w:spacing w:after="0"/>
              <w:rPr>
                <w:sz w:val="1"/>
                <w:szCs w:val="1"/>
                <w:color w:val="auto"/>
              </w:rPr>
            </w:pPr>
          </w:p>
        </w:tc>
      </w:tr>
      <w:tr>
        <w:trPr>
          <w:trHeight w:val="270"/>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Gordon</w:t>
            </w:r>
          </w:p>
        </w:tc>
        <w:tc>
          <w:tcPr>
            <w:tcW w:w="146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236,082</w:t>
            </w:r>
          </w:p>
        </w:tc>
        <w:tc>
          <w:tcPr>
            <w:tcW w:w="0" w:type="dxa"/>
            <w:vAlign w:val="bottom"/>
          </w:tcPr>
          <w:p>
            <w:pPr>
              <w:spacing w:after="0"/>
              <w:rPr>
                <w:sz w:val="1"/>
                <w:szCs w:val="1"/>
                <w:color w:val="auto"/>
              </w:rPr>
            </w:pPr>
          </w:p>
        </w:tc>
      </w:tr>
      <w:tr>
        <w:trPr>
          <w:trHeight w:val="54"/>
        </w:trPr>
        <w:tc>
          <w:tcPr>
            <w:tcW w:w="6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4"/>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Justin Hartfield</w:t>
            </w:r>
            <w:r>
              <w:rPr>
                <w:rFonts w:ascii="Times New Roman" w:cs="Times New Roman" w:eastAsia="Times New Roman" w:hAnsi="Times New Roman"/>
                <w:sz w:val="29"/>
                <w:szCs w:val="29"/>
                <w:color w:val="auto"/>
                <w:vertAlign w:val="superscript"/>
              </w:rPr>
              <w:t>(1)</w:t>
            </w:r>
          </w:p>
        </w:tc>
        <w:tc>
          <w:tcPr>
            <w:tcW w:w="146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3"/>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Fiona Tan</w:t>
            </w:r>
            <w:r>
              <w:rPr>
                <w:rFonts w:ascii="Times New Roman" w:cs="Times New Roman" w:eastAsia="Times New Roman" w:hAnsi="Times New Roman"/>
                <w:sz w:val="29"/>
                <w:szCs w:val="29"/>
                <w:color w:val="auto"/>
                <w:vertAlign w:val="superscript"/>
              </w:rPr>
              <w:t>(3)</w:t>
            </w:r>
          </w:p>
        </w:tc>
        <w:tc>
          <w:tcPr>
            <w:tcW w:w="146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392,332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-1783080</wp:posOffset>
            </wp:positionV>
            <wp:extent cx="16319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110490</wp:posOffset>
            </wp:positionV>
            <wp:extent cx="82296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99" w:lineRule="exact"/>
        <w:rPr>
          <w:sz w:val="20"/>
          <w:szCs w:val="20"/>
          <w:color w:val="auto"/>
        </w:rPr>
      </w:pPr>
    </w:p>
    <w:p>
      <w:pPr>
        <w:ind w:left="640" w:hanging="348"/>
        <w:spacing w:after="0"/>
        <w:tabs>
          <w:tab w:leader="none" w:pos="6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Hartfield resigned as a member of the Board on August 9, 2023.</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Francis was a Non-Employee Director until he was named an executive officer on April 26, 2023.</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2, 2024, Fiona Tan notified the Company of her decision to resign as a member of the Board, the Nominating and Corporate Governance Committee of the Board, of which she was the Chairperson, effective September 30, 2024.</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5" w:name="page116"/>
    <w:bookmarkEnd w:id="1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following is a summary of transactions since January 1, 2023, to which we have been a party in which the amount involved exceeded $120,000 and in which any of our executive officers, directors, managers, promoters, beneficial holders of more than 5% of our membership interests, or any associates or affiliates thereof had or will have a direct or indirect material interest, other than compensation arrangements which are described in the section entitled “Executive Compensation.”</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Amended Operating Company Agreement</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Concurrently with the Closing, the WMH LLC operating agreement was further amended and restated in its entirety to become the Fourth Amended and Restated Operating Agreement (the “Amended Operating Agreement”). Messrs. Camire, Grazier, Francis and Hartfield and Ghost Media Group, LLC all own Paired Interests and Class P Units as described in the section entitled “Security Ownership of Certain Beneficial Owners and Management.”</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Rights of the Units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Pursuant to the Amended Operating Agreement, the Units are entitled to share in the profits and losses of WMH LLC and to receive distributions as and if declared by the managing member of WMH LLC and have no voting rights. The Amended Operating Agreement generally establishes the rights and vesting conditions of the LTIP Units and the Class P Units, which are treated as profits interests in WMH LLC, and may be offered to directors, employees, officers, consultants or other service providers. LTIP Units and Class P Units have all the rights, privileges, preferences, and obligations as are specifically provided for in the Amended Operating Agreement, and as may otherwise be generally applicable to all classes of Units, however, LTIP Units and Class P Units are not entitled to vote on any matter subject to a vote of the members, except as otherwise required by law.</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as the managing member of WMH LLC, have the sole vote on all matters that require a vote of members under the Amended Operating Agreement or applicable law. The business, property and affairs of WMH LLC are managed solely by the managing member, and the managing member cannot be removed or replaced except by the incumbent managing member.</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as managing member of WMH LLC may, in our sole discretion, authorize distributions to the WMH LLC members (to the extent of available cash, as defined in the amended operating agreement). Subject to provisions in the Amended Operating Agreement governing tax distributions and the treatment of Class P Units and LTIP Units (as defined in the Amended Operating Agreement), all such distributions will be made pro rata in accordance each member’s number of Class P Units.</w:t>
      </w:r>
    </w:p>
    <w:p>
      <w:pPr>
        <w:spacing w:after="0" w:line="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holders of Class P Units will generally incur U.S. federal, state and local income taxes on their proportionate share of any net taxable income of WMH LLC. Net profits and net losses of WMH LLC will generally be allocated to its members pro rata in accordance with the percentages of their respective ownership of Units. The Amended Operating Agreement provides for pro rata cash distributions to the holders of Units for purposes of funding their tax obligations in respect of the taxable income of WMH LLC that is allocated to them. Generally, these tax distributions will be computed based on WMH LLC’s estimate of the net taxable income of WMH LLC allocable to each holder of Units multiplied by an assumed tax rate equal to the highest effective marginal combined U.S. federal, state and local income tax rate prescribed for an individual or corporate resident of California or New York, New York (taking into account the non-deductibility of certain expenses, the character of our income, and the deductibility of state and local income taxes, to the extent applicable, but not taking into account any deduction under Section 199A of the Code). As a result of (i) potential differences in the amount of net taxable income allocable to us and the other Unit holders, (ii) the lower tax rate applicable to corporations than individuals and (iii) the use of an assumed tax rate in calculating WMH LLC’s distribution obligations, we may receive tax distributions significantly in excess of its tax liabilities and obligations to make payments under the Tax Receivable Agreement.</w:t>
      </w:r>
    </w:p>
    <w:p>
      <w:pPr>
        <w:spacing w:after="0" w:line="8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Upon the liquidation or winding up of WMH LLC, subject to the treatment of Class P Units and LTIP Units (as defined in the Amended Operating Agreement) and tax distributions, all net proceeds thereof will be distributed in accordance with each member’s number of Units.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6" w:name="page117"/>
    <w:bookmarkEnd w:id="1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Restrictions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Amended Operating Agreement contains restrictions on transfers of units and requires the prior consent of the managing member for such transfers, except in specified cases, including (i) certain transfers to permitted transferees under certain conditions and (ii) exchanges of Units for shares of Class A Common Stock or cash pursuant to the exchange agreement.</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Exchange Agreement</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Concurrently with the Closing, we, WMH LLC and the Unit holders, including Messrs. Camire, Grazier, Francis, Hartfield and Ghost Media Group, LLC, as described in the section entitled “Security Ownership of Certain Beneficial Owners and Management,” entered into an exchange agreement (the “Exchange Agreement”). The terms of the Exchange Agreement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and to exchange their vested Class P Units for shares of Class A Common Stock with a value equal to the value of such Class P Units less their participation threshold, or, in each case, at the Company’s election, the cash equivalent of such shares of Class A Common Stock. By default, each exchange will take the form of a redemption by us of the WMH Units in exchange for Class A Common Stock or cash, as applicable, unless we elect to effect such exchange directly with the applicable Unit holder. The shares of Class V Common Stock surrendered in any exchange will be immediately cancelled.</w:t>
      </w:r>
    </w:p>
    <w:p>
      <w:pPr>
        <w:spacing w:after="0" w:line="8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Exchange Agreement provides that, as a general matter, a Unit holder does not have the right to exchange Units if we determine that such exchange would be prohibited by law or regulation or would violate other agreements with us and our subsidiaries to which the Unit holder may be subject, including the Amended Operating Agreement and the Exchange Agreement. Additionally, the Exchange Agreement contains restrictions on redemptions and exchanges intended to prevent WMH LLC from being treated as a “publicly traded partnership” for U.S. federal income tax purposes. These restrictions are modeled on certain safe harbors provided for under applicable U.S. federal income tax law. We may impose additional restrictions on exchanges that it determines to be necessary or advisable so that WMH LLC is not treated as a “publicly traded partnership” for U.S. federal income tax purposes.</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Receivable Agreement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Concurrently with the Closing, we, the Holder Representative and the Class A Unit holders, including Mr. Francis, Mr. Hartfield and Ghost Media Group, LLC, as described in the section entitled “Security Ownership of Certain Beneficial Owners and Management,” entered into the tax receivable agreement, (the “Tax Receivable Agreement”), pursuant to which we are required to pay to holders of Class A Units, in the aggregate, 85% of the amount of cash savings, if any, in U.S. federal, state and local income tax or franchise tax that we actually realize as a result of</w:t>
      </w:r>
    </w:p>
    <w:p>
      <w:pPr>
        <w:spacing w:after="0" w:line="3" w:lineRule="exact"/>
        <w:rPr>
          <w:sz w:val="20"/>
          <w:szCs w:val="20"/>
          <w:color w:val="auto"/>
        </w:rPr>
      </w:pPr>
    </w:p>
    <w:p>
      <w:pPr>
        <w:jc w:val="both"/>
        <w:ind w:left="300" w:right="299" w:hanging="8"/>
        <w:spacing w:after="0" w:line="253" w:lineRule="auto"/>
        <w:tabs>
          <w:tab w:leader="none" w:pos="52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to the tax basis of WMH LLC’s assets resulting from our acquisition of common units for cash in the Business Combination and taxable redemptions or exchanges of Class A Units for shares of Class A Common Stock or cash pursuant to the Exchange Agreement, (ii) tax benefits related to imputed interest or (iii) tax attributes resulting from payments made under Tax Receivable Agreement. The payment obligations under Tax Receivable Agreement are our obligations and not obligations of WMH LLC.</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payments we will be required to make under the Tax Receivable Agreement may be substantial. Assuming no material changes in relevant tax law, that there are no future redemptions or exchanges of Class A Units and that we earn sufficient taxable income to realize all tax benefits that are subject to the tax receivable agreement, the tax savings associated with acquisitions of common units in the Business Combination would aggregate to approximately $151.3 million over 15 years from the Closing Date. Under this scenario, we would be required to pay to the Class A Unit holders approximately 85% of such amount, or $128.6 million, over the 15-year period from the Closing Date. The actual amounts we will be required to pay may materially differ from these hypothetical amounts, because potential future tax savings that we will be deemed to realize, and the Tax Receivable Agreement payments made by us, will be calculated based in part on the market value of the Class A Common Stock at the time of each redemption or exchange under the exchange agreement and the prevailing applicable tax rates applicable to us over the life of the Tax Receivable Agreement and will depend on us generating sufficient taxable income to realize the tax benefits that are subject to the Tax Receivable Agreement. Payments under the Tax Receivable Agreement are not conditioned on the Class A Unit holders’ continued ownership of WMH LLC.</w:t>
      </w:r>
    </w:p>
    <w:p>
      <w:pPr>
        <w:spacing w:after="0" w:line="7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we determine, and the IRS or another tax authority may challenge all or a part of the existing tax basis, tax basis increases, or other tax</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7" w:name="page118"/>
    <w:bookmarkEnd w:id="1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attributes subject to the Tax Receivable Agreement, and a court could sustain such challenge. The parties to the Tax Receivable Agreement will not reimburse us for any payments previously made if such tax basis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addition, the Tax Receivable Agreement provides that if (1) we breach any of our material obligations under the Tax Receivable Agreement (including in the event that we are more than three months late making a payment that is due under the Tax Receivable Agreement, except in the case of certain liquidity exceptions), (2) we are subject to certain bankruptcy, insolvency or similar proceedings, or (3) at any time, we elect an early termination of the Tax Receivable Agreement, our obligations under the Tax Receivable Agreement (with respect to all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Tax Receivable Agreement. The Tax Receivable Agreement also provides that, upon certain mergers, asset sales or other forms of business combination, or certain other changes of control, (A) our obligations under the Tax Receivable Agreement with respect to Class A Units that have been exchanged or redeemed prior to or in connection with such change of control transaction would accelerate and become payable in a lump sum as described above and (B) with respect to Class A Units that have not been exchanged as of such change of control transaction, our or our successor’s obligations under the Tax Receivable Agreement would be based on certain assumptions, including that our or our successor would have sufficient taxable income to fully utilize the increased tax deductions and tax basis and other benefits covered by the Tax Receivable Agreement. As a result, upon any acceleration of our obligations under the Tax Receivable Agreement (including upon a change of control), we could be required to make payments under the Tax Receivable Agreement that are greater than 85% of our actual cash tax savings, which could negatively impact its liquidity. The change of control provisions in the Tax Receivable Agreement may also result in situations where the Class A Unit holders have interests that differ from or are in addition to those of the Class A stockholders.</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Finally, because we are a holding company with no operations of our own, our ability to make payments under the Tax Receivable Agreement depends on our ability to make distributions to us.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Amended and Restated Registration Rights Agreement</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Concurrently with the Closing, Silver Spike Sponsor, LLC (“Silver Spike Sponsor”) and certain Unit holders, including Messrs. Camire, Grazier, Francis, Silver Spike Sponsor, LLC and Ghost Media Group, LLC, as described in the section entitled “Security Ownership of Certain Beneficial Owners and Management,” entered into the Amended and Restated Registration Rights Agreement, dated June 16, 2021, among us and certain of our stockholders (the “Amended and Restated Registration Rights Agreement”). As a result, Silver Spike Sponsor, LLC and such certain Unit holders are able to make a written demand for registration under the Securities Act of all or a portion of their registrable securities, subject to a maximum of three such demand registrations for Silver Spike Sponsor, LLC and three such demand registrations for such certain Unit holders thereto, in each case so long as such demand includes a number of registrable securities with a total offering price in excess of $10.0 million. Any such demand may be in the form of an underwritten offering, it being understood that we will not be able to conduct more than two underwritten offerings where the expected aggregate proceeds are less than $25.0 million but in excess of $10.0 million in any 12-month period. In addition, the holders of registrable securities will have “piggy-back” registration rights to include their securities in other registration statements filed by us. We have filed a resale shelf registration statement covering the resale of all registrable securities within 45 days of the Closing.</w:t>
      </w:r>
    </w:p>
    <w:p>
      <w:pPr>
        <w:spacing w:after="0" w:line="1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Silver Spike Related Transactions and Agreements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Silver Spike’s Initial Public Offering (“IPO”), Silver Spike Sponsor granted sponsor LLC equity interests to Silver Spike’s independent directors that collectively comprised approximately 1% of the outstanding equity interests in Silver Spike Sponsor.</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Silver Spike Sponsor purchased an aggregate of 7,000,000 Private Placement Warrants for a purchase price of $1.00 per warrant in a private placement simultaneously with the closing of Silver Spike’s IPO. Each Private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8" w:name="page119"/>
    <w:bookmarkEnd w:id="1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Placement Warrant may be exercised for one share of Class A Common Stock at a price of $11.50 per share, subject to adjustment as provided herein. The Private Placement Warrants (including the Class A Common Stock issuable upon exercise of the Private Placement Warrants) may not, subject to certain limited exceptions, be transferred, assigned or sold by it until 30 days after the completion of the Business Combination.</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we paid $1.1 million in certain transaction costs reimbursable by Silver Spike Sponsor, an affiliate to a member of the Board. On March 16, 2023, Silver Spike Holdings, an affiliate of Silver Spike Sponsor, entered into a promissory note with us and agreed to pay the principal amount in 12 equal quarterly installments commencing on March 31, 2023. The promissory note will bear interest at a rate of 5% per annum commencing on March 31, 2023. In an event of default, the outstanding principal amount shall bear interest for the entire period during which the principal balance is unpaid at a rate which is equal to 10% per annum. As of December 31, 2023, the remaining balance of the promissory note receivable was $0.7 million. We received a total of $383,724 in 2023 for principal and interest related to the promissory note receivable.</w:t>
      </w:r>
    </w:p>
    <w:p>
      <w:pPr>
        <w:spacing w:after="0" w:line="8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During the fourth quarter of 2023, we reimbursed $0.4 million to Silver Spike Holdings, an affiliate to a member of the board of directors in connection with responding to a subpoena received from the SEC’s Division of Enforcement in connection the SEC investigation described in the section entitled “Business—Legal Proceedings.”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Legacy WMH Transactions and Agreements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Other Enterprises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Shield Management Group, LLC is a business in which currently Mr. Francis indirectly owns a majority interest, and Mr. Hartfield indirectly owns a minority interest. In 2023, Shield Management Group, LLC used our listing products and participated in other brand promotion opportunities. Shield Management Group, LLC paid us a total of $427,797 in 2023 for such products and services. Glasir Group, LLC is a business owned by Mr. Francis and his spouse. During the second quarter of 2022, we entered into a sublease agreement with Glasir Group, LLC of our offices located at 43 Discovery, Irvine, California 92618. The sublease commenced on June 1, 2022, and the term is for the remainder of the original lease and will expire on February 28, 2025, or sooner in the event that the original lease is cancelled prior to the expiration date. The monthly base rent, after the rent abatement period for the first four months, is $69,000. Glasir Group, LLC paid us a total of $169,095 in 2023 for rent under the sublease.</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Transactions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We have entered into employment and other agreements with certain of our executive officers. For a description of agreements with our Named Executive Officers, see the sections entitled “Executive Compensation - Executive Employment Arrangements” and “-Outstanding Equity Awards at December 31, 2023.”</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have granted equity awards to certain of our executive officers. For a description of equity awards granted to our Named Executive Officers, see the section entitled “Executive Compensation.”</w:t>
      </w:r>
    </w:p>
    <w:p>
      <w:pPr>
        <w:spacing w:after="0" w:line="5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entered into indemnification agreements with substantially all of our directors and executive officers, other than our Interim Chief Financial Officer, Susan Echard, who is not an employee.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Related Person Transactions Policy</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Board has adopted a written Related Person Transactions Policy that sets forth our policies and procedures regarding the identification, review, consideration and oversight of related-person transactions. For purposes of our policy, a related-person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consultant or director will not be considered related-person transactions under this policy.</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Under the policy, a related person is any executive officer, director, nominee to become a director or a security holder known by us to beneficially own more than 5% of any class of our voting securities (a “significant stockholder”), including any of their immediate family members and affiliates, including entities controlled by such persons or such person has a 5% or greater beneficial ownership interest.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9" w:name="page120"/>
    <w:bookmarkEnd w:id="1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Each director and executive officer shall identify, and we shall request each significant stockholder to identify, any related-person transaction involving such director, executive officer or significant stockholder or his, her or its immediate family members and inform our Audit Committee pursuant to this policy before such related person may engage in the transaction.</w:t>
      </w:r>
    </w:p>
    <w:p>
      <w:pPr>
        <w:spacing w:after="0" w:line="7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In considering related-person transactions, our Audit Committee takes into account the relevant available facts and circumstances, which may include, but are not limited to:</w:t>
      </w:r>
    </w:p>
    <w:p>
      <w:pPr>
        <w:spacing w:after="0" w:line="54" w:lineRule="exact"/>
        <w:rPr>
          <w:sz w:val="20"/>
          <w:szCs w:val="20"/>
          <w:color w:val="auto"/>
        </w:rPr>
      </w:pPr>
    </w:p>
    <w:p>
      <w:pPr>
        <w:ind w:left="1000" w:hanging="348"/>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cost and benefits to us: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the related person is a director, immediate family member of a director or an entity with which a director is affiliated: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Our Audit Committee shall approve only those related-party transactions that, in light of known circumstances, are in, or are not inconsistent with, our best interests and our stockholders, as our Audit Committee determines in the good faith exercise of its discretion.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0" w:name="page121"/>
    <w:bookmarkEnd w:id="1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known to us regarding the beneficial ownership of our Common Stock as of November 29, 2024, by</w:t>
      </w:r>
    </w:p>
    <w:p>
      <w:pPr>
        <w:spacing w:after="0" w:line="54" w:lineRule="exact"/>
        <w:rPr>
          <w:sz w:val="20"/>
          <w:szCs w:val="20"/>
          <w:color w:val="auto"/>
        </w:rPr>
      </w:pPr>
    </w:p>
    <w:p>
      <w:pPr>
        <w:ind w:left="1000" w:right="319" w:hanging="348"/>
        <w:spacing w:after="0" w:line="282"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known by us to be the beneficial owner of more than 5% of the outstanding shares of our Class A Common Stock and Class V Common Stock;</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Named Executive Officers and directors;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executive officers and directors, as a group.</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provides that a person has beneficial ownership of a security if he, she or it possesses sole or shared voting or investment power over that security, including options and warrants that are currently exercisable or exercisable within 60 days.</w:t>
      </w:r>
    </w:p>
    <w:p>
      <w:pPr>
        <w:spacing w:after="0" w:line="6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beneficial ownership percentages set forth in the table below are based on 153,216,538 shares of our Class A Common Stock and Class V Common Stock issued and outstanding as of November 29, 2024 and do not take into account the issuance of any shares of Class A Common Stock upon (i) the exercise of 19,499,973 Warrants to purchase an aggregate of 19,499,973 shares of Class A Common Stock or (ii) the exchange of 14,678,732 Class P Units for up to 14,678,732 shares of Class A Common Stock.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8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Unless otherwise noted in the footnotes to the following table, and subject to applicable community property laws, the persons and entities named in the table have sole voting and investment power with respect to their beneficially owned shares of our Common Stock.</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Class V</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Combined %</w:t>
            </w:r>
          </w:p>
        </w:tc>
        <w:tc>
          <w:tcPr>
            <w:tcW w:w="0" w:type="dxa"/>
            <w:vAlign w:val="bottom"/>
          </w:tcPr>
          <w:p>
            <w:pPr>
              <w:spacing w:after="0"/>
              <w:rPr>
                <w:sz w:val="1"/>
                <w:szCs w:val="1"/>
                <w:color w:val="auto"/>
              </w:rPr>
            </w:pPr>
          </w:p>
        </w:tc>
      </w:tr>
      <w:tr>
        <w:trPr>
          <w:trHeight w:val="128"/>
        </w:trPr>
        <w:tc>
          <w:tcPr>
            <w:tcW w:w="3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of Class A</w:t>
            </w:r>
          </w:p>
        </w:tc>
        <w:tc>
          <w:tcPr>
            <w:tcW w:w="10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 of Class V</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Total</w:t>
            </w:r>
          </w:p>
        </w:tc>
        <w:tc>
          <w:tcPr>
            <w:tcW w:w="0" w:type="dxa"/>
            <w:vAlign w:val="bottom"/>
          </w:tcPr>
          <w:p>
            <w:pPr>
              <w:spacing w:after="0"/>
              <w:rPr>
                <w:sz w:val="1"/>
                <w:szCs w:val="1"/>
                <w:color w:val="auto"/>
              </w:rPr>
            </w:pPr>
          </w:p>
        </w:tc>
      </w:tr>
      <w:tr>
        <w:trPr>
          <w:trHeight w:val="148"/>
        </w:trPr>
        <w:tc>
          <w:tcPr>
            <w:tcW w:w="3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r>
              <w:rPr>
                <w:rFonts w:ascii="Times New Roman" w:cs="Times New Roman" w:eastAsia="Times New Roman" w:hAnsi="Times New Roman"/>
                <w:sz w:val="23"/>
                <w:szCs w:val="23"/>
                <w:b w:val="1"/>
                <w:bCs w:val="1"/>
                <w:color w:val="auto"/>
                <w:vertAlign w:val="superscript"/>
              </w:rPr>
              <w:t>(1)</w:t>
            </w:r>
          </w:p>
        </w:tc>
        <w:tc>
          <w:tcPr>
            <w:tcW w:w="120" w:type="dxa"/>
            <w:vAlign w:val="bottom"/>
            <w:vMerge w:val="restart"/>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9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243"/>
        </w:trPr>
        <w:tc>
          <w:tcPr>
            <w:tcW w:w="37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vMerge w:val="continue"/>
          </w:tcPr>
          <w:p>
            <w:pPr>
              <w:spacing w:after="0"/>
              <w:rPr>
                <w:sz w:val="21"/>
                <w:szCs w:val="21"/>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2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5"/>
              </w:rPr>
              <w:t>Owned</w:t>
            </w:r>
            <w:r>
              <w:rPr>
                <w:rFonts w:ascii="Times New Roman" w:cs="Times New Roman" w:eastAsia="Times New Roman" w:hAnsi="Times New Roman"/>
                <w:sz w:val="23"/>
                <w:szCs w:val="23"/>
                <w:b w:val="1"/>
                <w:bCs w:val="1"/>
                <w:color w:val="auto"/>
                <w:w w:val="95"/>
                <w:vertAlign w:val="superscript"/>
              </w:rPr>
              <w:t>(2)</w:t>
            </w:r>
          </w:p>
        </w:tc>
        <w:tc>
          <w:tcPr>
            <w:tcW w:w="1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2"/>
              </w:rPr>
              <w:t>Power</w:t>
            </w:r>
            <w:r>
              <w:rPr>
                <w:rFonts w:ascii="Times New Roman" w:cs="Times New Roman" w:eastAsia="Times New Roman" w:hAnsi="Times New Roman"/>
                <w:sz w:val="23"/>
                <w:szCs w:val="23"/>
                <w:b w:val="1"/>
                <w:bCs w:val="1"/>
                <w:color w:val="auto"/>
                <w:w w:val="92"/>
                <w:vertAlign w:val="superscript"/>
              </w:rPr>
              <w:t>(3)</w:t>
            </w:r>
          </w:p>
        </w:tc>
        <w:tc>
          <w:tcPr>
            <w:tcW w:w="0" w:type="dxa"/>
            <w:vAlign w:val="bottom"/>
          </w:tcPr>
          <w:p>
            <w:pPr>
              <w:spacing w:after="0"/>
              <w:rPr>
                <w:sz w:val="1"/>
                <w:szCs w:val="1"/>
                <w:color w:val="auto"/>
              </w:rPr>
            </w:pPr>
          </w:p>
        </w:tc>
      </w:tr>
      <w:tr>
        <w:trPr>
          <w:trHeight w:val="311"/>
        </w:trPr>
        <w:tc>
          <w:tcPr>
            <w:tcW w:w="3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8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Tony Aquila</w:t>
            </w:r>
            <w:r>
              <w:rPr>
                <w:rFonts w:ascii="Times New Roman" w:cs="Times New Roman" w:eastAsia="Times New Roman" w:hAnsi="Times New Roman"/>
                <w:sz w:val="29"/>
                <w:szCs w:val="29"/>
                <w:color w:val="auto"/>
                <w:vertAlign w:val="superscript"/>
              </w:rPr>
              <w:t>(4)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5,297,761</w:t>
            </w:r>
          </w:p>
        </w:tc>
        <w:tc>
          <w:tcPr>
            <w:tcW w:w="120" w:type="dxa"/>
            <w:vAlign w:val="bottom"/>
          </w:tcPr>
          <w:p>
            <w:pPr>
              <w:spacing w:after="0"/>
              <w:rPr>
                <w:sz w:val="24"/>
                <w:szCs w:val="24"/>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65"/>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Francis</w:t>
            </w:r>
            <w:r>
              <w:rPr>
                <w:rFonts w:ascii="Times New Roman" w:cs="Times New Roman" w:eastAsia="Times New Roman" w:hAnsi="Times New Roman"/>
                <w:sz w:val="29"/>
                <w:szCs w:val="29"/>
                <w:color w:val="auto"/>
                <w:vertAlign w:val="superscript"/>
              </w:rPr>
              <w:t>(5)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4,792,347</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w:t>
            </w:r>
          </w:p>
        </w:tc>
        <w:tc>
          <w:tcPr>
            <w:tcW w:w="9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22,970,182</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70"/>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Gordon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258,221</w:t>
            </w:r>
          </w:p>
        </w:tc>
        <w:tc>
          <w:tcPr>
            <w:tcW w:w="120" w:type="dxa"/>
            <w:vAlign w:val="bottom"/>
          </w:tcPr>
          <w:p>
            <w:pPr>
              <w:spacing w:after="0"/>
              <w:rPr>
                <w:sz w:val="23"/>
                <w:szCs w:val="23"/>
                <w:color w:val="auto"/>
              </w:rPr>
            </w:pPr>
          </w:p>
        </w:tc>
        <w:tc>
          <w:tcPr>
            <w:tcW w:w="8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Olga Gonzalez</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182,691</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Brenda Freeman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182,693</w:t>
            </w:r>
          </w:p>
        </w:tc>
        <w:tc>
          <w:tcPr>
            <w:tcW w:w="120" w:type="dxa"/>
            <w:vAlign w:val="bottom"/>
          </w:tcPr>
          <w:p>
            <w:pPr>
              <w:spacing w:after="0"/>
              <w:rPr>
                <w:sz w:val="23"/>
                <w:szCs w:val="23"/>
                <w:color w:val="auto"/>
              </w:rPr>
            </w:pPr>
          </w:p>
        </w:tc>
        <w:tc>
          <w:tcPr>
            <w:tcW w:w="8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Anthony Bay</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223,528</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Glen Ibbott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246,800</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Susan Echard</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of the</w:t>
            </w: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9"/>
        </w:trPr>
        <w:tc>
          <w:tcPr>
            <w:tcW w:w="3880" w:type="dxa"/>
            <w:vAlign w:val="bottom"/>
            <w:gridSpan w:val="2"/>
            <w:shd w:val="clear" w:color="auto" w:fill="CCEEFF"/>
          </w:tcPr>
          <w:p>
            <w:pPr>
              <w:ind w:left="180"/>
              <w:spacing w:after="0" w:line="328" w:lineRule="exact"/>
              <w:rPr>
                <w:sz w:val="20"/>
                <w:szCs w:val="20"/>
                <w:color w:val="auto"/>
              </w:rPr>
            </w:pPr>
            <w:r>
              <w:rPr>
                <w:rFonts w:ascii="Times New Roman" w:cs="Times New Roman" w:eastAsia="Times New Roman" w:hAnsi="Times New Roman"/>
                <w:sz w:val="18"/>
                <w:szCs w:val="18"/>
                <w:b w:val="1"/>
                <w:bCs w:val="1"/>
                <w:color w:val="auto"/>
              </w:rPr>
              <w:t>Company as a Group (9 Individuals)</w:t>
            </w:r>
            <w:r>
              <w:rPr>
                <w:rFonts w:ascii="Times New Roman" w:cs="Times New Roman" w:eastAsia="Times New Roman" w:hAnsi="Times New Roman"/>
                <w:sz w:val="29"/>
                <w:szCs w:val="29"/>
                <w:b w:val="1"/>
                <w:bCs w:val="1"/>
                <w:color w:val="auto"/>
                <w:vertAlign w:val="superscript"/>
              </w:rPr>
              <w:t>(6)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11,184,041</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11.4%</w:t>
            </w:r>
          </w:p>
        </w:tc>
        <w:tc>
          <w:tcPr>
            <w:tcW w:w="9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22,970,182</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70"/>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Five Percent Holders:</w:t>
            </w: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3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4"/>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Ghost Media Group, LLC</w:t>
            </w:r>
            <w:r>
              <w:rPr>
                <w:rFonts w:ascii="Times New Roman" w:cs="Times New Roman" w:eastAsia="Times New Roman" w:hAnsi="Times New Roman"/>
                <w:sz w:val="29"/>
                <w:szCs w:val="29"/>
                <w:color w:val="auto"/>
                <w:vertAlign w:val="superscript"/>
              </w:rPr>
              <w:t>(5)(7)</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8,469,191</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365"/>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Morgan Stanley</w:t>
            </w:r>
            <w:r>
              <w:rPr>
                <w:rFonts w:ascii="Times New Roman" w:cs="Times New Roman" w:eastAsia="Times New Roman" w:hAnsi="Times New Roman"/>
                <w:sz w:val="29"/>
                <w:szCs w:val="29"/>
                <w:color w:val="auto"/>
                <w:vertAlign w:val="superscript"/>
              </w:rPr>
              <w:t>(8)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6,016,658</w:t>
            </w:r>
          </w:p>
        </w:tc>
        <w:tc>
          <w:tcPr>
            <w:tcW w:w="120" w:type="dxa"/>
            <w:vAlign w:val="bottom"/>
          </w:tcPr>
          <w:p>
            <w:pPr>
              <w:spacing w:after="0"/>
              <w:rPr>
                <w:sz w:val="24"/>
                <w:szCs w:val="24"/>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364"/>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Vanguard Group</w:t>
            </w:r>
            <w:r>
              <w:rPr>
                <w:rFonts w:ascii="Times New Roman" w:cs="Times New Roman" w:eastAsia="Times New Roman" w:hAnsi="Times New Roman"/>
                <w:sz w:val="29"/>
                <w:szCs w:val="29"/>
                <w:color w:val="auto"/>
                <w:vertAlign w:val="superscript"/>
              </w:rPr>
              <w:t>(9)</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5,066,855</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65"/>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9"/>
                <w:szCs w:val="29"/>
                <w:color w:val="auto"/>
                <w:vertAlign w:val="superscript"/>
              </w:rPr>
              <w:t>(10)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5,134,088</w:t>
            </w:r>
          </w:p>
        </w:tc>
        <w:tc>
          <w:tcPr>
            <w:tcW w:w="120" w:type="dxa"/>
            <w:vAlign w:val="bottom"/>
          </w:tcPr>
          <w:p>
            <w:pPr>
              <w:spacing w:after="0"/>
              <w:rPr>
                <w:sz w:val="24"/>
                <w:szCs w:val="24"/>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64"/>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Beals</w:t>
            </w:r>
            <w:r>
              <w:rPr>
                <w:rFonts w:ascii="Times New Roman" w:cs="Times New Roman" w:eastAsia="Times New Roman" w:hAnsi="Times New Roman"/>
                <w:sz w:val="29"/>
                <w:szCs w:val="29"/>
                <w:color w:val="auto"/>
                <w:vertAlign w:val="superscript"/>
              </w:rPr>
              <w:t>(11)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428,773</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6,166,819</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433"/>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Justin Hartfield</w:t>
            </w:r>
            <w:r>
              <w:rPr>
                <w:rFonts w:ascii="Times New Roman" w:cs="Times New Roman" w:eastAsia="Times New Roman" w:hAnsi="Times New Roman"/>
                <w:sz w:val="29"/>
                <w:szCs w:val="29"/>
                <w:color w:val="auto"/>
                <w:vertAlign w:val="superscript"/>
              </w:rPr>
              <w:t>(7)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61,679</w:t>
            </w:r>
          </w:p>
        </w:tc>
        <w:tc>
          <w:tcPr>
            <w:tcW w:w="120" w:type="dxa"/>
            <w:vAlign w:val="bottom"/>
          </w:tcPr>
          <w:p>
            <w:pPr>
              <w:spacing w:after="0"/>
              <w:rPr>
                <w:sz w:val="24"/>
                <w:szCs w:val="24"/>
                <w:color w:val="auto"/>
              </w:rPr>
            </w:pPr>
          </w:p>
        </w:tc>
        <w:tc>
          <w:tcPr>
            <w:tcW w:w="8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29,318,217</w:t>
            </w:r>
          </w:p>
        </w:tc>
        <w:tc>
          <w:tcPr>
            <w:tcW w:w="100" w:type="dxa"/>
            <w:vAlign w:val="bottom"/>
          </w:tcPr>
          <w:p>
            <w:pPr>
              <w:spacing w:after="0"/>
              <w:rPr>
                <w:sz w:val="24"/>
                <w:szCs w:val="24"/>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Pr>
          <w:p>
            <w:pPr>
              <w:spacing w:after="0"/>
              <w:rPr>
                <w:sz w:val="24"/>
                <w:szCs w:val="24"/>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-4131945</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-4131945</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-4131945</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-4131945</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-4131945</wp:posOffset>
            </wp:positionV>
            <wp:extent cx="7747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110490</wp:posOffset>
            </wp:positionV>
            <wp:extent cx="82296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99" w:lineRule="exact"/>
        <w:rPr>
          <w:sz w:val="20"/>
          <w:szCs w:val="20"/>
          <w:color w:val="auto"/>
        </w:rPr>
      </w:pPr>
    </w:p>
    <w:p>
      <w:pPr>
        <w:ind w:left="640" w:hanging="348"/>
        <w:spacing w:after="0"/>
        <w:tabs>
          <w:tab w:leader="none" w:pos="6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w:t>
      </w:r>
    </w:p>
    <w:p>
      <w:pPr>
        <w:spacing w:after="0" w:line="42" w:lineRule="exact"/>
        <w:rPr>
          <w:sz w:val="20"/>
          <w:szCs w:val="20"/>
          <w:color w:val="auto"/>
        </w:rPr>
      </w:pPr>
    </w:p>
    <w:p>
      <w:pPr>
        <w:ind w:left="640" w:hanging="348"/>
        <w:spacing w:after="0"/>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noted, the business address of each of the following entities or individuals is 41 Discovery, Irvine, California 92618.</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1" w:name="page122"/>
    <w:bookmarkEnd w:id="1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40" w:right="299" w:hanging="348"/>
        <w:spacing w:after="0" w:line="236" w:lineRule="auto"/>
        <w:tabs>
          <w:tab w:leader="none" w:pos="6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of Class A Common Stock and Class V Common Stock are entitled to one vote for each share of Class A Common Stock or Class V Common Stock, as the case may be, held by them. Each share of Class V Common Stock, together with a corresponding limited liability company interest in WMH LLC (as defined below) (together, a “Paired Interest”) is exchangeable for shares of Class A Common Stock on a one-for-one basis from time to time, unless we determine to pay cash consideration for such Paired Interests.</w:t>
      </w:r>
    </w:p>
    <w:p>
      <w:pPr>
        <w:spacing w:after="0" w:line="14" w:lineRule="exact"/>
        <w:rPr>
          <w:rFonts w:ascii="Times New Roman" w:cs="Times New Roman" w:eastAsia="Times New Roman" w:hAnsi="Times New Roman"/>
          <w:sz w:val="14"/>
          <w:szCs w:val="14"/>
          <w:color w:val="auto"/>
        </w:rPr>
      </w:pPr>
    </w:p>
    <w:p>
      <w:pPr>
        <w:ind w:left="640" w:right="299" w:hanging="348"/>
        <w:spacing w:after="0" w:line="250" w:lineRule="auto"/>
        <w:tabs>
          <w:tab w:leader="none" w:pos="6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percentage of voting power of the holders of Class A Common Stock and Class V Common Stock voting together as a single class.</w:t>
      </w:r>
    </w:p>
    <w:p>
      <w:pPr>
        <w:spacing w:after="0" w:line="183"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3,750,000 shares in the aggregate of shares of Class A Common Stock held by AFV Partners SPV-5 (WM) LLC (“AFV 5”), AFV Partners SPV-6 (WM) LLC (“AFV 6”) and three family trusts (the “Trusts”) upon the completion of the business combination pursuant to the PIPE subscription financing. Mr. Aquila is the Chairman and CEO of AFV Management Advisors LLC, which exercises ultimate voting and investment power with respect to the shares held by AFV 5and AFV 6 and a co-trustee of each of the Trusts and as such may be deemed to hold voting and dispositive power with respect to the shares held in the aggregate by such Trusts. It includes 1.547.761 shares of Class A Common Stock that Mr. Aquila personally holds. The business address of the reporting person is 2126 Hamilton Road Suite 260, Argyle, TX 76226.</w:t>
      </w:r>
    </w:p>
    <w:p>
      <w:pPr>
        <w:spacing w:after="0" w:line="127" w:lineRule="exact"/>
        <w:rPr>
          <w:rFonts w:ascii="Times New Roman" w:cs="Times New Roman" w:eastAsia="Times New Roman" w:hAnsi="Times New Roman"/>
          <w:sz w:val="14"/>
          <w:szCs w:val="14"/>
          <w:color w:val="auto"/>
        </w:rPr>
      </w:pPr>
    </w:p>
    <w:p>
      <w:pPr>
        <w:jc w:val="both"/>
        <w:ind w:left="640" w:right="299" w:hanging="348"/>
        <w:spacing w:after="0" w:line="231" w:lineRule="auto"/>
        <w:tabs>
          <w:tab w:leader="none" w:pos="6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Class V Common Stock beneficially owned includes 12,431,818 shares of Class V Common Stock held by Mr. Francis, 8,469,191 shares of Class V Common Stock held by Ghost Media Group, LLC, 600,618 shares of Class V Common Stock held by Genco Incentives, LLC and 1,468,555 shares of Class V Common Stock held by WM Founders Legacy I, LLC. Ghost Media Group, LLC is controlled by Messrs. Francis and Hartfield and WM Founders Legacy I, LLC and Genco Incentives, LLC are controlled by Mr. Francis. Accordingly, Mr. Francis may be deemed to be a beneficial owner of the Class A Units held by Ghost Media Group, LLC, Genco Incentives, LLC and WM Founders Legacy I, LLC.</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Common shares consist of 11,184,041 shares held of record by our current executive officers and directors.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19,278,067 shares of Class V Common Stock held by Mr. Hartfield, 8,469,191 shares of Class V Common Stock held by Ghost Media Group, LLC and 1,570,959 shares of Class V Common Stock held by WM Founders Legacy II, LLC. Ghost Media Group, LLC is controlled by Messrs. Hartfield and Francis and WM Founders Legacy II, LLC is controlled by Mr. Hartfield. Accordingly, Mr. Hartfield may be deemed to be a beneficial owner of the shares held by Ghost Media Group, LLC and WM Founders Legacy II, LLC.</w:t>
      </w:r>
    </w:p>
    <w:p>
      <w:pPr>
        <w:spacing w:after="0" w:line="14"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information obtained from a Schedule 13G filed by Morgan Stanley on February 9, 2024, includes 6,016,658 shares of Class A Common stock. The business address of the reporting person is 1585 Broadway, New York, NY 10036.</w:t>
      </w:r>
    </w:p>
    <w:p>
      <w:pPr>
        <w:ind w:left="640" w:right="319" w:hanging="348"/>
        <w:spacing w:after="0" w:line="261" w:lineRule="auto"/>
        <w:tabs>
          <w:tab w:leader="none" w:pos="6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information obtained from a Schedule 13G/A filed by The Vanguard Group on November 12, 2024, includes 5,066,855 shares of Class A Common stock. The business address of the reporting person is 100 Vanguard Blvd, Malvern, PA 19355.</w:t>
      </w:r>
    </w:p>
    <w:p>
      <w:pPr>
        <w:ind w:left="640" w:right="299" w:hanging="348"/>
        <w:spacing w:after="0" w:line="261" w:lineRule="auto"/>
        <w:tabs>
          <w:tab w:leader="none" w:pos="6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information obtained from a Schedule 13G filed by BlackRock, Inc. on November 8, 2024, includes 5,134,088 shares of Class A Common stock. The business address of the reporting person is 50 Hudson Yards, New York, NY 10001.</w:t>
      </w:r>
    </w:p>
    <w:p>
      <w:pPr>
        <w:ind w:left="640" w:right="299" w:hanging="348"/>
        <w:spacing w:after="0" w:line="261" w:lineRule="auto"/>
        <w:tabs>
          <w:tab w:leader="none" w:pos="6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information for the Company’s former executive officer, Mr. Beals is as of November 7, 2022, which is the date on which he ceased to be an employee of the Company and is the most recent date for which information is available.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2" w:name="page123"/>
    <w:bookmarkEnd w:id="1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Selling Securityholders acquired 1,938,798 shares of Class A Common Stock (the “Shares”), consisting of</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  1,244,258  shares  of  Class A  Common  Stock  issued  pursuant  to  the  Asset  Purchase  Agreement  and</w:t>
      </w:r>
    </w:p>
    <w:p>
      <w:pPr>
        <w:spacing w:after="0" w:line="9" w:lineRule="exact"/>
        <w:rPr>
          <w:sz w:val="20"/>
          <w:szCs w:val="20"/>
          <w:color w:val="auto"/>
        </w:rPr>
      </w:pPr>
    </w:p>
    <w:p>
      <w:pPr>
        <w:jc w:val="both"/>
        <w:ind w:left="300" w:right="299" w:hanging="8"/>
        <w:spacing w:after="0" w:line="253" w:lineRule="auto"/>
        <w:tabs>
          <w:tab w:leader="none" w:pos="56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694,540 shares of Class A Common Stock issued pursuant to the Equity Interest Purchase Agreement. We agreed to file a registration statement with the SEC for the purposes of registering for resale such shares of Class A Common Stock. The shares of Class A Common Stock were issued to the Selling Securityholders in reliance on the exemption from registration in Section 4(a)(2) under the Securities Act.</w:t>
      </w:r>
    </w:p>
    <w:p>
      <w:pPr>
        <w:spacing w:after="0" w:line="8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shares of Class A Common Stock to be offered by the Selling Securityholders are “restricted” securities under applicable federal and state securities laws and are being registered under the Securities Act to give the Selling Securityholders the opportunity to sell these shares publicly. The registration of the Shares does not require that any of the shares be offered or sold by the Selling Securityholders. Subject to these resale restrictions, the Selling Securityholders may from time to time offer and sell all or a portion of their shares indicated below in privately negotiated transactions or on the Nasdaq Global Select Market or any other market on which our common stock may subsequently be listed.</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Shares may be sold directly or through brokers or dealers, or in a distribution by one or more underwriters on a firm commitment or best effort basis. To the extent required, the names of any agent or broker-dealer and applicable commissions or discounts and any other required information with respect to any particular offering will be set forth in a prospectus supplement. See the section of this prospectus entitled “Plan of Distribution”. The Selling Securityholders and any agents or broker-dealers that participate with the Selling Securityholders in the distribution of registered shares may be deemed to be “underwriters” within the meaning of the Securities Act, and any commissions received by them and any profit on the resale of the registered shares may be deemed to be underwriting commissions or discounts under the Securities Act.</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No estimate can be given as to the amount or percentage of Class A Common Stock that will be held by the Selling Securityholders after any sales made pursuant to this prospectus because the Selling Securityholders are not required to sell any of the Shares being registered under this prospectus. The following table assumes that the Selling Securityholders will sell all of the Shares listed in this prospectus.</w:t>
      </w:r>
    </w:p>
    <w:p>
      <w:pPr>
        <w:spacing w:after="0" w:line="7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footnotes below, no Selling Stockholder has had any material relationship with us or any of our affiliates within the past three years other than as a security holder.</w:t>
      </w:r>
    </w:p>
    <w:p>
      <w:pPr>
        <w:spacing w:after="0" w:line="5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Except as set forth in the footnotes below, the following table sets forth, based on written representations from the Selling Securityholders, certain information as of November 24, 2021 regarding the beneficial ownership of our Class A Common Stock by the Selling Securityholders and the shares of Class A Common Stock being offered by the Selling Securityholders (“Registrable Securities”). The applicable percentage ownership of Class A Common Stock is based on 88,836,328 shares of our Class A Common Stock issued and outstanding as of June 30, 2022.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8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Information with respect to shares of Class A Common Stock owned beneficially after the offering assumes the sale of all of the Shares offered and no other purchases or sales of our Class A Common Stock. The Selling Securityholders may offer and sell some, all or none of their shares of Class A Common Stock, as applicable.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3" w:name="page124"/>
    <w:bookmarkEnd w:id="1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77" w:lineRule="auto"/>
        <w:rPr>
          <w:sz w:val="20"/>
          <w:szCs w:val="20"/>
          <w:color w:val="auto"/>
        </w:rPr>
      </w:pPr>
      <w:r>
        <w:rPr>
          <w:rFonts w:ascii="Times New Roman" w:cs="Times New Roman" w:eastAsia="Times New Roman" w:hAnsi="Times New Roman"/>
          <w:sz w:val="17"/>
          <w:szCs w:val="17"/>
          <w:color w:val="auto"/>
        </w:rPr>
        <w:t>We have determined beneficial ownership in accordance with the rules of the SEC. Except as indicated by the footnotes below, we believe, based on the information furnished to us, that the Selling Securityholders have sole voting and investment power with respect to all shares of Class A Common Stock that they beneficially own, subject to applicable community property laws. Except as otherwise described below, based on the information provided to us by the Selling Securityholders, no Selling Securityholder is a broker-dealer or an affiliate of a broker-dealer.</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ClassA</w:t>
            </w:r>
          </w:p>
        </w:tc>
        <w:tc>
          <w:tcPr>
            <w:tcW w:w="120" w:type="dxa"/>
            <w:vAlign w:val="bottom"/>
          </w:tcPr>
          <w:p>
            <w:pPr>
              <w:spacing w:after="0"/>
              <w:rPr>
                <w:sz w:val="13"/>
                <w:szCs w:val="13"/>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2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12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to the Offering</w:t>
            </w:r>
          </w:p>
        </w:tc>
        <w:tc>
          <w:tcPr>
            <w:tcW w:w="12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After the Offering</w:t>
            </w:r>
          </w:p>
        </w:tc>
        <w:tc>
          <w:tcPr>
            <w:tcW w:w="0" w:type="dxa"/>
            <w:vAlign w:val="bottom"/>
          </w:tcPr>
          <w:p>
            <w:pPr>
              <w:spacing w:after="0"/>
              <w:rPr>
                <w:sz w:val="1"/>
                <w:szCs w:val="1"/>
                <w:color w:val="auto"/>
              </w:rPr>
            </w:pPr>
          </w:p>
        </w:tc>
      </w:tr>
      <w:tr>
        <w:trPr>
          <w:trHeight w:val="92"/>
        </w:trPr>
        <w:tc>
          <w:tcPr>
            <w:tcW w:w="4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vMerge w:val="restart"/>
          </w:tcPr>
          <w:p>
            <w:pPr>
              <w:spacing w:after="0"/>
              <w:rPr>
                <w:sz w:val="8"/>
                <w:szCs w:val="8"/>
                <w:color w:val="auto"/>
              </w:rPr>
            </w:pPr>
          </w:p>
        </w:tc>
        <w:tc>
          <w:tcPr>
            <w:tcW w:w="84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4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20" w:type="dxa"/>
            <w:vAlign w:val="bottom"/>
            <w:vMerge w:val="continue"/>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line="20" w:lineRule="exact"/>
              <w:rPr>
                <w:sz w:val="1"/>
                <w:szCs w:val="1"/>
                <w:color w:val="auto"/>
              </w:rPr>
            </w:pPr>
          </w:p>
        </w:tc>
      </w:tr>
      <w:tr>
        <w:trPr>
          <w:trHeight w:val="190"/>
        </w:trPr>
        <w:tc>
          <w:tcPr>
            <w:tcW w:w="488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68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4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72"/>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&amp; Ellen Astrove</w:t>
            </w:r>
            <w:r>
              <w:rPr>
                <w:rFonts w:ascii="Times New Roman" w:cs="Times New Roman" w:eastAsia="Times New Roman" w:hAnsi="Times New Roman"/>
                <w:sz w:val="29"/>
                <w:szCs w:val="29"/>
                <w:color w:val="auto"/>
                <w:vertAlign w:val="superscript"/>
              </w:rPr>
              <w:t>(1)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10,423</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10,423</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64"/>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Ashwin Surajbali</w:t>
            </w:r>
            <w:r>
              <w:rPr>
                <w:rFonts w:ascii="Times New Roman" w:cs="Times New Roman" w:eastAsia="Times New Roman" w:hAnsi="Times New Roman"/>
                <w:sz w:val="29"/>
                <w:szCs w:val="29"/>
                <w:color w:val="auto"/>
                <w:vertAlign w:val="superscript"/>
              </w:rPr>
              <w:t>(2)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197,843</w:t>
            </w: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197,843</w:t>
            </w: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65"/>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Bradley Nathan Albert</w:t>
            </w:r>
            <w:r>
              <w:rPr>
                <w:rFonts w:ascii="Times New Roman" w:cs="Times New Roman" w:eastAsia="Times New Roman" w:hAnsi="Times New Roman"/>
                <w:sz w:val="29"/>
                <w:szCs w:val="29"/>
                <w:color w:val="auto"/>
                <w:vertAlign w:val="superscript"/>
              </w:rPr>
              <w:t>(3)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32,974</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32,974</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64"/>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Diane Roskind</w:t>
            </w:r>
            <w:r>
              <w:rPr>
                <w:rFonts w:ascii="Times New Roman" w:cs="Times New Roman" w:eastAsia="Times New Roman" w:hAnsi="Times New Roman"/>
                <w:sz w:val="29"/>
                <w:szCs w:val="29"/>
                <w:color w:val="auto"/>
                <w:vertAlign w:val="superscript"/>
              </w:rPr>
              <w:t>(4)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64"/>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DJK Morris Investments, LLC</w:t>
            </w:r>
            <w:r>
              <w:rPr>
                <w:rFonts w:ascii="Times New Roman" w:cs="Times New Roman" w:eastAsia="Times New Roman" w:hAnsi="Times New Roman"/>
                <w:sz w:val="29"/>
                <w:szCs w:val="29"/>
                <w:color w:val="auto"/>
                <w:vertAlign w:val="superscript"/>
              </w:rPr>
              <w:t>(5)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395,760</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395,760</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65"/>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Farzin Arsanjani</w:t>
            </w:r>
            <w:r>
              <w:rPr>
                <w:rFonts w:ascii="Times New Roman" w:cs="Times New Roman" w:eastAsia="Times New Roman" w:hAnsi="Times New Roman"/>
                <w:sz w:val="29"/>
                <w:szCs w:val="29"/>
                <w:color w:val="auto"/>
                <w:vertAlign w:val="superscript"/>
              </w:rPr>
              <w:t>(6)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64"/>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Ian Cohen</w:t>
            </w:r>
            <w:r>
              <w:rPr>
                <w:rFonts w:ascii="Times New Roman" w:cs="Times New Roman" w:eastAsia="Times New Roman" w:hAnsi="Times New Roman"/>
                <w:sz w:val="29"/>
                <w:szCs w:val="29"/>
                <w:color w:val="auto"/>
                <w:vertAlign w:val="superscript"/>
              </w:rPr>
              <w:t>(7)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64"/>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Goldman-Brisman</w:t>
            </w:r>
            <w:r>
              <w:rPr>
                <w:rFonts w:ascii="Times New Roman" w:cs="Times New Roman" w:eastAsia="Times New Roman" w:hAnsi="Times New Roman"/>
                <w:sz w:val="29"/>
                <w:szCs w:val="29"/>
                <w:color w:val="auto"/>
                <w:vertAlign w:val="superscript"/>
              </w:rPr>
              <w:t>(8)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65"/>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LCP Group, L.P.</w:t>
            </w:r>
            <w:r>
              <w:rPr>
                <w:rFonts w:ascii="Times New Roman" w:cs="Times New Roman" w:eastAsia="Times New Roman" w:hAnsi="Times New Roman"/>
                <w:sz w:val="29"/>
                <w:szCs w:val="29"/>
                <w:color w:val="auto"/>
                <w:vertAlign w:val="superscript"/>
              </w:rPr>
              <w:t>(9)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64"/>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LeRoy Robinson</w:t>
            </w:r>
            <w:r>
              <w:rPr>
                <w:rFonts w:ascii="Times New Roman" w:cs="Times New Roman" w:eastAsia="Times New Roman" w:hAnsi="Times New Roman"/>
                <w:sz w:val="29"/>
                <w:szCs w:val="29"/>
                <w:color w:val="auto"/>
                <w:vertAlign w:val="superscript"/>
              </w:rPr>
              <w:t>(10)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tcPr>
          <w:p>
            <w:pPr>
              <w:spacing w:after="0"/>
              <w:rPr>
                <w:sz w:val="24"/>
                <w:szCs w:val="24"/>
                <w:color w:val="auto"/>
              </w:rPr>
            </w:pPr>
          </w:p>
        </w:tc>
        <w:tc>
          <w:tcPr>
            <w:tcW w:w="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M&amp;S Investment Group, LLC</w:t>
            </w:r>
            <w:r>
              <w:rPr>
                <w:rFonts w:ascii="Times New Roman" w:cs="Times New Roman" w:eastAsia="Times New Roman" w:hAnsi="Times New Roman"/>
                <w:sz w:val="29"/>
                <w:szCs w:val="29"/>
                <w:color w:val="auto"/>
                <w:vertAlign w:val="superscript"/>
              </w:rPr>
              <w:t>(11)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65"/>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MembersRSVP, LLC</w:t>
            </w:r>
            <w:r>
              <w:rPr>
                <w:rFonts w:ascii="Times New Roman" w:cs="Times New Roman" w:eastAsia="Times New Roman" w:hAnsi="Times New Roman"/>
                <w:sz w:val="29"/>
                <w:szCs w:val="29"/>
                <w:color w:val="auto"/>
                <w:vertAlign w:val="superscript"/>
              </w:rPr>
              <w:t>(12)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1,244,258</w:t>
            </w: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1,244,258</w:t>
            </w: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65"/>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Schlaefer</w:t>
            </w:r>
            <w:r>
              <w:rPr>
                <w:rFonts w:ascii="Times New Roman" w:cs="Times New Roman" w:eastAsia="Times New Roman" w:hAnsi="Times New Roman"/>
                <w:sz w:val="29"/>
                <w:szCs w:val="29"/>
                <w:color w:val="auto"/>
                <w:vertAlign w:val="superscript"/>
              </w:rPr>
              <w:t>(13)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433"/>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Yael Morris</w:t>
            </w:r>
            <w:r>
              <w:rPr>
                <w:rFonts w:ascii="Times New Roman" w:cs="Times New Roman" w:eastAsia="Times New Roman" w:hAnsi="Times New Roman"/>
                <w:sz w:val="29"/>
                <w:szCs w:val="29"/>
                <w:color w:val="auto"/>
                <w:vertAlign w:val="superscript"/>
              </w:rPr>
              <w:t>(14)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-3300730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-3300730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-3300730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-3300730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-3300730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110490</wp:posOffset>
            </wp:positionV>
            <wp:extent cx="82296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99" w:lineRule="exact"/>
        <w:rPr>
          <w:sz w:val="20"/>
          <w:szCs w:val="20"/>
          <w:color w:val="auto"/>
        </w:rPr>
      </w:pPr>
    </w:p>
    <w:p>
      <w:pPr>
        <w:ind w:left="640" w:hanging="348"/>
        <w:spacing w:after="0"/>
        <w:tabs>
          <w:tab w:leader="none" w:pos="6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Denotes less than one percent.</w:t>
      </w:r>
    </w:p>
    <w:p>
      <w:pPr>
        <w:spacing w:after="0" w:line="42" w:lineRule="exact"/>
        <w:rPr>
          <w:sz w:val="20"/>
          <w:szCs w:val="20"/>
          <w:color w:val="auto"/>
        </w:rPr>
      </w:pPr>
    </w:p>
    <w:p>
      <w:pPr>
        <w:ind w:left="640" w:hanging="348"/>
        <w:spacing w:after="0"/>
        <w:tabs>
          <w:tab w:leader="none" w:pos="6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Andrew Astrove and Ellen Astrove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Ashwin Surajbali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Bradley Nathan Albert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Diane Roskind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Keith E. Morris is deemed to have power to vote or dispose of the Registrable Securities. Keith E. Morris is our Vice President.</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Farzin Arsanjani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Ian Cohen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Jennifer Goldman-Brisman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 Robert Roskind, in his capacity as Founder and Chairman of LCP Group, L.P., is deemed to have investment discretion and voting power over the Registrable Securities held by LCP Group, L.P.</w:t>
      </w:r>
    </w:p>
    <w:p>
      <w:pPr>
        <w:ind w:left="640" w:hanging="348"/>
        <w:spacing w:after="0"/>
        <w:tabs>
          <w:tab w:leader="none" w:pos="6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LeRoy Robinson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Mehran Aliakbar serves as the managing member of M&amp;S Investment Group, LLC. By virtue of this relationship, Mehran Aliakbar may be deemed to have voting and dispositive power with respect to the Registrable Securities held by M&amp;S Investment Group, LLC.</w:t>
      </w:r>
    </w:p>
    <w:p>
      <w:pPr>
        <w:jc w:val="both"/>
        <w:ind w:left="640" w:right="299" w:hanging="348"/>
        <w:spacing w:after="0" w:line="241" w:lineRule="auto"/>
        <w:tabs>
          <w:tab w:leader="none" w:pos="6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Jaret Christopher serves as the Chief Executive Officer of MembersRSVP, LLC. By virtue of this relationship, Jaret Christopher may be deemed to have voting and dispositive power with respect to the Registrable Securities held by MembersRSVP, LLC. Jaret Christopher is our Vice President and General Manager of Customer Relationship Management.</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Michael Schlaefer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Yael Morris is deemed to have power to vote or dispose of the Registrable Securities.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4" w:name="page125"/>
    <w:bookmarkEnd w:id="1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following summary of the material terms of our securities is not intended to be a complete summary of the rights and preferences of such securities, and is qualified by reference to our Certificate of Incorporation, our Bylaws and the Warrant-related documents described herein, which are exhibits to the registration statement of which this prospectus is a part. We urge you to read each of our Certificate of Incorporation, our Bylaws and the Warrant-related documents described herein in their entirety for a complete description of the rights and preferences of our securities.</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Certificate of Incorporation authorizes the issuance of 2,075,000,000 shares of capital stock, consisting of</w:t>
      </w:r>
    </w:p>
    <w:p>
      <w:pPr>
        <w:spacing w:after="0" w:line="27" w:lineRule="exact"/>
        <w:rPr>
          <w:sz w:val="20"/>
          <w:szCs w:val="20"/>
          <w:color w:val="auto"/>
        </w:rPr>
      </w:pPr>
    </w:p>
    <w:p>
      <w:pPr>
        <w:jc w:val="both"/>
        <w:ind w:left="300" w:right="299" w:hanging="8"/>
        <w:spacing w:after="0" w:line="250" w:lineRule="auto"/>
        <w:tabs>
          <w:tab w:leader="none" w:pos="59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1,500,000,000 shares of Class A Common Stock, par value $0.0001 per share, (y) 500,000,000 shares of Class V Common Stock, par value $0.0001 per share and 75,000,000 shares of preferred stock, par value $0.0001 per share. All of our issued and outstanding shares of capital stock are duly authorized, validly issued, fully paid and non-assessable. As of November 29, 2024, there were (1) 97,730,177 shares of Class A Common Stock,</w:t>
      </w:r>
    </w:p>
    <w:p>
      <w:pPr>
        <w:spacing w:after="0" w:line="1" w:lineRule="exact"/>
        <w:rPr>
          <w:rFonts w:ascii="Times New Roman" w:cs="Times New Roman" w:eastAsia="Times New Roman" w:hAnsi="Times New Roman"/>
          <w:sz w:val="18"/>
          <w:szCs w:val="18"/>
          <w:color w:val="auto"/>
        </w:rPr>
      </w:pPr>
    </w:p>
    <w:p>
      <w:pPr>
        <w:ind w:left="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55,486,361 shares of Class V Common Stock and no shares of preferred stock outstanding.</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shares of Class A Common Stock are entitled to receive ratably such dividends, if any, as may be declared from time to time by our board of directors out of funds legally available therefor.</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the shares of Class A Common Stock are entitled to share ratably in all assets remaining after payment of our debts and other liabilities, subject to prior distribution rights of preferred stock or any class or series of stock having a preference over the shares of Class A Common Stock, then outstanding, if any.</w:t>
      </w: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we may issue in the future.</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V Common Stock</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5" w:name="page126"/>
    <w:bookmarkEnd w:id="1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together as a single class. Notwithstanding the foregoing, the holders of the outstanding shares of Class V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2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holders of the Class V Common Stock will not participate in any dividends declared by our board of directors.</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V Common Stock are not entitled to receive any of our assets.</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holders of shares of Class V Common Stock do not have preemptive, subscription, redemption or conversion rights. There will be no redemption or sinking fund provisions applicable to the Class V Common Stock.</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Issuance and Retirement of Class V Common Stock</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the event that any outstanding share of Class V Common Stock ceases to be held directly or indirectly by a holder of Class A Units, such share will automatically be transferred to us for no consideration and thereupon will be retired. We will not issue additional shares of Class V Common Stock other than in connection with the valid issuance or transfer of Class P Units or Class A Units in accordance with the governing documents of WMH LLC.</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There are no shares of preferred stock outstanding. Our Certificate of Incorporation authorizes our board of directors to establish one or more series of preferred stock. Unless required by law or any stock exchange, the authorized shares of preferred stock will be available for issuance without further action by the holders of the common stock. Shares of preferred stock may be issued from time to time in one or more series of any number of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number of shares issued and not retired of any and all such series shall not exceed the total number of shares of preferred stock authorized, and with such powers, including voting powers, if any, and the designations, preferences and relative, participating, optional or other special rights, if any, and any qualifications, limitations or restrictions thereof, all as shall be stated and expressed in the resolution or resolutions providing for the designation and issue of such shares of preferred stock from time to time adopted by our board of directors pursuant to authority so to do which is expressly vested in the board of directors. The powers, including voting powers, if any,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issuance of preferred stock may have the effect of delaying, deferring or preventing a change in control of the Company without further action by our stockholders. Additionally, the issuance of preferred stock may adversely affect the holders of our common stock by restricting dividends on the shares of Class A Common Stock, diluting the voting power of the shares of Class A Common Stock and the shares of Class V Common Stock or subordinating the liquidation rights of the shares of Class A Common Stock. As a result of these or other factors, the issuance of preferred stock could have an adverse impact on the market price of the shares of Class A Common Stock. At present, we have no plans to issue any preferred stock.</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Each whole Public Warrant entitles the registered holder to purchase one share of Class A Common Stock at a price of $11.50 per share, subject to adjustment as discussed below, at any time commencing 30 days after the Closing, provided that we have an effective registration statement under the Securities Act covering the issuance of the shares of Class A Common Stock issuable upon exercise of the Public Warrants and a current prospectus relating to them is available and such shares are registered, qualified or exempt from registration under the securities, or blue sky laws of the state of residence of the holder (or we permits holders to exercise their Public Warrants on a cashless basis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6" w:name="page127"/>
    <w:bookmarkEnd w:id="1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under the circumstances specified in the Warrant Agreement). A holder of Public Warrants may exercise its Public Warrants only for a whole number of shares of Class A Common Stock. This means only a whole Public Warrant may be exercised at a given time by a holder of Public Warrants. The Public Warrants will expire five years after the Closing, at 5:00 p.m., New York City time, or earlier upon redemption or liquidation.</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will not be obligated to deliver any shares of Class A Common Stock pursuant to the exercise of a Public Warrant and will have no obligation to settle such Public Warrant exercise unless a registration statement under the Securities Act covering the issuance of the shares of Class A Common Stock issuable upon exercise is then effective and a prospectus relating thereto is current, subject to us satisfying our obligations described below with respect to registration. No Public Warrant will be exercisable for cash or on a cashless basis, and we will not be obligated to issue any shares of Class A Common Stock to holders of Public Warrants seeking to exercise their Public Warrants, unless the issuance of the shares of Class A Common Stock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shares of Class A Common Stock underlying such unit.</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filed with the SEC and have an effective registration statement for covering the issuance, under the Securities Act, of the shares of Class A Common Stock issuable upon exercise of the Public Warrants, until the expiration of the Public Warrants in accordance with the provisions of the Warrant Agreement. Notwithstanding the above, if the shares of Class A Common Stock are, at the time of any exercise of a Public Warrant, not listed on a national securities exchange such that it satisfies the definition of a “covered security” under Section 18(b)(1) of the Securities Act, we may, at our option, require holders of Public Warrants who exercise their Public Warrants to do so on a “cashless basis” in accordance with Section 3(a)(9) of the Securities Act and, in the event we so elects, we will not be required to file or maintain in effect a registration statement, but will use our reasonable best efforts to qualify the shares under applicable blue sky laws to the extent an exemption is not available.</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may redeem the Public Warrants for redemption:</w:t>
      </w:r>
    </w:p>
    <w:p>
      <w:pPr>
        <w:spacing w:after="0" w:line="117" w:lineRule="exact"/>
        <w:rPr>
          <w:sz w:val="20"/>
          <w:szCs w:val="20"/>
          <w:color w:val="auto"/>
        </w:rPr>
      </w:pPr>
    </w:p>
    <w:p>
      <w:pPr>
        <w:ind w:left="1000" w:hanging="348"/>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holder of Public Warrants;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sales price of the shares of Class A Common Stock equals or exceeds $18.00 per share (as adjusted for share splits, share dividends, rights issuances, subdivisions, reorganizations, recapitalizations and the like) for any 20 trading days within a 30-trading day period ending on the third trading day prior to the date we send the notice of redemption to the holders of Public Warrants.</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If and when the Public Warrants become redeemable by us, we may exercise our redemption right even if we are unable to register or qualify the underlying securities for sale under all applicable state securities laws.</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If the foregoing conditions are satisfied and we issue a notice of redemption of the Public Warrants, each holder of Public Warrants will be entitled to exercise his, her or its Public Warrant prior to the scheduled redemption date. However, the price of the shares of Class A Common Stock may fall below the $18.00 redemption trigger price as well as the $11.50 Public Warrant exercise price after the redemption notice is issued.</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If we call the Public Warrants for redemption as described above, our management will have the option to require any holder that wishes to exercise his, her or its Public Warrant to do so on a “cashless basis.” In determining whether to require any holders to exercise their Public Warrants on a “cashless basis,” our management will consider, among other factors, our cash position, the number of Public Warrants that are outstanding and the dilutive effect on our stockholders of issuing the maximum number of shares of Class A Common Stock issuable upon exercise of the Public Warrants. If our management takes advantage of this option, all holders of Public Warrants would pay the exercise price by surrendering their Public Warrants for that number of shares of Class A Common Stock equal to the quotient obtained by dividing (x) the product of the number of shares of Class A Common Stock underlying the Public Warrants, multiplied by the excess of the “fair market value” (defined below) over the exercise price of the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7" w:name="page128"/>
    <w:bookmarkEnd w:id="1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Public Warrants by (y) the fair market value. The “fair market value” will mean the average last reported sale price of the shares of Class A Common Stock for the 10 trading days ending on the third trading day prior to the date on which the notice of redemption is sent to the holders of Public Warrant. If our management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will reduce the number of shares to be issued and thereby lessen the dilutive effect of a Public Warrant redemption. If we calls the Public Warrants for redemption and our management does not take advantage of this option, Silver Spike Sponsor and its permitted transferees would still be entitled to exercise their warrants originally issued in a private placement (the “Private Placement Warrants” and together with the Public Warrants, the “Warrants”) for cash or on a cashless basis using the same formula described above that other holders of Public Warrants would have been required to use had all warrant holders been required to exercise their warrants on a cashless basis, as described in more detail below.</w:t>
      </w:r>
    </w:p>
    <w:p>
      <w:pPr>
        <w:spacing w:after="0" w:line="8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 holder of Public Warrants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Class A Common Stock issued and outstanding immediately after giving effect to such exercise.</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If the number of issued and outstanding shares of Class A Common Stock is increased by a capitalization or share dividend payable in shares of Class A Common Stock, or by a split-up of shares of Class A Common Stock or other similar event, then, on the effective date of such share dividend, split-up or similar event, the number of shares of Class A Common Stock issuable on exercise of each Public Warrant will be increased in proportion to such increase in the issued and outstanding shares of Class A Common Stock. A rights offering to holders of shares of Class A Common Stock entitling holders to purchase shares of Class A Common Stock at a price less than the fair market value will be deemed a share dividend of a number of shares of Class A Common Stock equal to the product of</w:t>
      </w:r>
    </w:p>
    <w:p>
      <w:pPr>
        <w:spacing w:after="0" w:line="3" w:lineRule="exact"/>
        <w:rPr>
          <w:sz w:val="20"/>
          <w:szCs w:val="20"/>
          <w:color w:val="auto"/>
        </w:rPr>
      </w:pPr>
    </w:p>
    <w:p>
      <w:pPr>
        <w:jc w:val="both"/>
        <w:ind w:left="300" w:right="319" w:hanging="8"/>
        <w:spacing w:after="0" w:line="250" w:lineRule="auto"/>
        <w:tabs>
          <w:tab w:leader="none" w:pos="55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actually sold in such rights offering (or issuable under any other equity securities sold in such rights offering that are convertible into or exercisable for common stock) multiplied by</w:t>
      </w:r>
    </w:p>
    <w:p>
      <w:pPr>
        <w:jc w:val="both"/>
        <w:ind w:left="300" w:right="299" w:hanging="8"/>
        <w:spacing w:after="0" w:line="251" w:lineRule="auto"/>
        <w:tabs>
          <w:tab w:leader="none" w:pos="55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minus the quotient of (x) the price per shares of Class A Common Stock paid in such rights offering divided by (y) the fair market value. For these purposes, (1) if the rights offering is for securities convertible into or exercisable for shares of Class A Common Stock, in determining the price payable for shares of Class A Common Stock, there will be taken into account any consideration received for such rights, as well as any additional amount payable upon exercise or conversion and (2) fair market value means the volume weighted average price of shares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86"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addition, if we, at any time while the Public Warrants are outstanding and unexpired, pay a dividend or make a distribution in cash, securities or other assets to the holders of the shares of Class A Common Stock on account of such shares of Class A Common Stock (or other securities into which the Public Warrants are convertible), other than (a) as described above or (b) certain ordinary cash dividends, then the Public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If the number of issued and outstanding shares of Class A Common Stock is decreased by a consolidation, combination, reverse share split or reclassification of the shares of Class A Common Stock or other similar event, then, on the effective date of such consolidation, combination, reverse share split, reclassification or similar event, the number of shares of Class A Common Stock issuable on exercise of each Public Warrant will be decreased in proportion to such decrease in issued and outstanding shares of Class A Common Stock.</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Whenever the number of shares of Class A Common Stock purchasable upon exercise of the Public Warrants is adjusted, as described above, the Public Warrant exercise price will be adjusted by multiplying the Public Warrant exercise price immediately prior to such adjustment by a fraction (x) the numerator of which will be the number of shares of Class A Common Stock purchasable upon exercise of the Public Warrants immediately prior to such adjustment, and (y) the denominator of which will be the number of shares of Class A Common Stock so purchasable immediately thereafter.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8" w:name="page129"/>
    <w:bookmarkEnd w:id="1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issued and outstanding shares of Class A Common Stock), or in the case of any sale or conveyance to another corporation or entity of our assets or other property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Class A Common Stock immediately theretofore purchasable and receivable upon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If less than 70% of the consideration receivable by the holders of shares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warrant exercise price will be reduced as specified in the Warrant Agreement based on the per share consideration minus Black-Scholes Warrant Value (as defined in the Warrant Agreement) of the Public Warrant.</w:t>
      </w:r>
    </w:p>
    <w:p>
      <w:pPr>
        <w:spacing w:after="0" w:line="83"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Public Warrants are issued in registered form under the Warrant Agreement. You should review a copy of the Warrant Agreement, which is filed as an exhibit to the registration statement of which this prospectus is a part,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65% of then issued and outstanding Public Warrants to make any change that adversely affects the interests of the registered holders of Public Warrants.</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shares of Class A Common Stock and any voting rights until they exercise their Public Warrants and receive shares of Class A Common Stock. After the issuance of the shares of Class A Common Stock upon exercise of the Public Warrants, each holder will be entitled to one vote for each share held of record on all matters to be voted on by holders of shares of Class A Common Stock.</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of November 29, 2024, there were 12,499,973 Public Warrants outstanding.</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Private Placement Warrants (including the shares of Class A Common Stock issuable upon exercise of the Private Placement Warrants) will not be transferable, assignable or salable until 30 days after the Closing, subject to certain exceptions and they will not be redeemable by Silver Spike so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us and exercisable by the holders on the same basis as the Public Warrants.</w:t>
      </w:r>
    </w:p>
    <w:p>
      <w:pPr>
        <w:spacing w:after="0" w:line="8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If holders of the Private Placement Warrants elect to exercise them on a cashless basis, they would pay the exercise price by surrendering his, her or its warrants for that number of Class A Common Stock equal to the quotient obtained by dividing (x) the product of the number of Class A Common Stock underlying the warrants, multiplied by the excess of the “fair market value” (defined below) over the exercise price of the warrants by (y) the fair market value. The “fair market value” will mean the average last reported sale price of the shares of Class A Common Stock for the 10 trading days ending on the third trading day prior to the date on which the notice of warrant exercise is sent to the Warrant Agent.</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of November 29, 2024, there were 7,000,000 Private Placement Warrants outstanding.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9" w:name="page130"/>
    <w:bookmarkEnd w:id="1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have not paid any cash dividends on the Class A Ordinary Shares, Class A Common Stock or Class V Common Stock to date. The payment of cash dividends in the future will be dependent upon our revenues and 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that we or our subsidiaries incur. We do not anticipate declaring any cash dividends to holders of Common Stock in the foreseeable future.</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provides that special meetings of our stockholders may be called by such persons as provided in the Bylaws. The Bylaws provide that special meetings of our stockholders may be called only, for any purpose as is a proper matter for stockholder action under Delaware, by (i) our Chairperson of the Board of Directors, (ii) our Chief Executive Officer or the President if the Chairperson of the Board of Directors is unavailable,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121" w:lineRule="exact"/>
        <w:rPr>
          <w:sz w:val="20"/>
          <w:szCs w:val="20"/>
          <w:color w:val="auto"/>
        </w:rPr>
      </w:pPr>
    </w:p>
    <w:p>
      <w:pPr>
        <w:jc w:val="both"/>
        <w:ind w:left="300" w:right="299"/>
        <w:spacing w:after="0" w:line="232" w:lineRule="auto"/>
        <w:rPr>
          <w:sz w:val="20"/>
          <w:szCs w:val="20"/>
          <w:color w:val="auto"/>
        </w:rPr>
      </w:pPr>
      <w:r>
        <w:rPr>
          <w:rFonts w:ascii="Times New Roman" w:cs="Times New Roman" w:eastAsia="Times New Roman" w:hAnsi="Times New Roman"/>
          <w:sz w:val="18"/>
          <w:szCs w:val="18"/>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under the Bylaws, a stockholder’s notice will need to be received by the company secretary at our principal executive offices not later than the close of business on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nor earlier</w:t>
      </w:r>
    </w:p>
    <w:p>
      <w:pPr>
        <w:spacing w:after="0" w:line="2" w:lineRule="exact"/>
        <w:rPr>
          <w:sz w:val="20"/>
          <w:szCs w:val="20"/>
          <w:color w:val="auto"/>
        </w:rPr>
      </w:pPr>
    </w:p>
    <w:p>
      <w:pPr>
        <w:jc w:val="both"/>
        <w:ind w:left="300" w:right="299"/>
        <w:spacing w:after="0" w:line="205" w:lineRule="auto"/>
        <w:rPr>
          <w:sz w:val="20"/>
          <w:szCs w:val="20"/>
          <w:color w:val="auto"/>
        </w:rPr>
      </w:pPr>
      <w:r>
        <w:rPr>
          <w:rFonts w:ascii="Times New Roman" w:cs="Times New Roman" w:eastAsia="Times New Roman" w:hAnsi="Times New Roman"/>
          <w:sz w:val="17"/>
          <w:szCs w:val="17"/>
          <w:color w:val="auto"/>
        </w:rPr>
        <w:t>than the open of business on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the first anniversary of the preceding year’s annual meeting of stockholders; provided, however, that in the event that no annual meeting was held in the previous year or the annual meeting is called for a date that is more than 30 days before or after the anniversary date of the previous year’s annual meeting, notice by the stockholder must be received by the secretary no earlier than the close of business on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such annual meeting and no later than the close of business on the latter of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w:t>
      </w:r>
    </w:p>
    <w:p>
      <w:pPr>
        <w:spacing w:after="0" w:line="2" w:lineRule="exact"/>
        <w:rPr>
          <w:sz w:val="20"/>
          <w:szCs w:val="20"/>
          <w:color w:val="auto"/>
        </w:rPr>
      </w:pPr>
    </w:p>
    <w:p>
      <w:pPr>
        <w:jc w:val="both"/>
        <w:ind w:left="300" w:right="299"/>
        <w:spacing w:after="0" w:line="227" w:lineRule="auto"/>
        <w:rPr>
          <w:sz w:val="20"/>
          <w:szCs w:val="20"/>
          <w:color w:val="auto"/>
        </w:rPr>
      </w:pPr>
      <w:r>
        <w:rPr>
          <w:rFonts w:ascii="Times New Roman" w:cs="Times New Roman" w:eastAsia="Times New Roman" w:hAnsi="Times New Roman"/>
          <w:sz w:val="18"/>
          <w:szCs w:val="18"/>
          <w:color w:val="auto"/>
        </w:rPr>
        <w:t>to such annual meeting or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day on which public announcement of the date of such meeting is first made. Our Certificate of Incorporation and the Bylaws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authorized but unissued Class A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us by means of a proxy contest, tender offer, merger or otherwise.</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 Selection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requires, to the fullest extent permitted by law, that derivative actions brought in our name, actions against current or former directors, officers and employees for breach of fiduciary duty, other similar actions, any other action as to which the DGCL confers jurisdiction to the Court of Chancery of the State of Delaware and any action or proceeding concerning the validity of our Certificate of Incorporation or the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Although we believe this provision benefits us by providing increased consistency in the application of Delaware law in the types of lawsuits to which it applies, the provision may limit a stockholder’s ability to bring a claim in a judicial forum that it finds favorable for disputes with us and our directors, officers or other employees and may have the effect of discouraging lawsuits against our directors and officers. This provision would not apply to claims brought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0" w:name="page131"/>
    <w:bookmarkEnd w:id="1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to enforce a duty or liability created by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However, our Certificate of Incorporation provides that the federal district courts of the United States shall be the exclusive forum for the resolution of any complaint asserting a cause of action arising under the Securities Act. Stockholders may be subject to increased costs to bring these claims, and the exclusive forum provision could have the effect of discouraging claims or limiting investors’ ability to bring claims in a judicial forum that they find favorable. 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do not opt out of Section 203 of the DGCL under our Certificate of Incorporation.</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Liability and Indemnification of Directors and Officers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68" w:lineRule="exact"/>
        <w:rPr>
          <w:sz w:val="20"/>
          <w:szCs w:val="20"/>
          <w:color w:val="auto"/>
        </w:rPr>
      </w:pPr>
    </w:p>
    <w:p>
      <w:pPr>
        <w:ind w:left="1000" w:hanging="348"/>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its stockholders.</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our directors will be eliminated or limited to the fullest extent permitted by the DGCL, as so amended.</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Delaware law and our Certificate of Incorporation and Bylaws provide that we will, in certain situations, indemnify our directors and officers and may indemnify other employees and other agents, to the fullest extent permitted by law. Any indemnified person is also entitled, subject to certain limitations, to advancement of reasonable expenses (including attorneys’ fees and disbursements) in advance of the final disposition of the proceeding.</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75"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these provisions in our Certificate of Incorporation and the Bylaws and these indemnification agreements are necessary to attract and retain qualified persons as directors and officers.</w:t>
      </w:r>
    </w:p>
    <w:p>
      <w:pPr>
        <w:spacing w:after="0" w:line="72"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1" w:name="page132"/>
    <w:bookmarkEnd w:id="1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such as the Company. However, Rule 144 also includes an important exception to this prohibition if the following conditions are met:</w:t>
      </w:r>
    </w:p>
    <w:p>
      <w:pPr>
        <w:spacing w:after="0" w:line="72" w:lineRule="exact"/>
        <w:rPr>
          <w:sz w:val="20"/>
          <w:szCs w:val="20"/>
          <w:color w:val="auto"/>
        </w:rPr>
      </w:pPr>
    </w:p>
    <w:p>
      <w:pPr>
        <w:ind w:left="1000" w:hanging="348"/>
        <w:spacing w:after="0"/>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Upon the Closing, we ceased to be a shell company.</w:t>
      </w:r>
    </w:p>
    <w:p>
      <w:pPr>
        <w:spacing w:after="0" w:line="11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When, and if, Rule 144 becomes available for the resale of our securities, a person who has beneficially owned restricted shares of our Class A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Persons who have beneficially owned restricted shares of our Class A Common Stock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72" w:lineRule="exact"/>
        <w:rPr>
          <w:sz w:val="20"/>
          <w:szCs w:val="20"/>
          <w:color w:val="auto"/>
        </w:rPr>
      </w:pPr>
    </w:p>
    <w:p>
      <w:pPr>
        <w:ind w:left="1000" w:hanging="348"/>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(1%) of the total number of shares of Class A Common Stock then outstanding; or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the Class A Common Stock during the four calendar weeks preceding the filing of a notice on Form 144 with respect to the sale.</w:t>
      </w:r>
    </w:p>
    <w:p>
      <w:pPr>
        <w:spacing w:after="0" w:line="54"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Sales by our affiliates under Rule 144 will also be limited by manner of sale provisions and notice requirements and to the availability of current public information about us.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 Warrant Agent and Registrar</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transfer agent, warrant agent and registrar for our Class A Common Stock, Class V Common Stock and Warrants is Continental Stock Transfer &amp; Trust Company.</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Our Class A Common Stock and Public Warrants are listed on Nasdaq under the symbols “MAPS” and “MAPW,”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2" w:name="page133"/>
    <w:bookmarkEnd w:id="1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considerations generally applicable to the purchase, ownership and disposition of our Class A Common Stock. The Class A Common Stock is referred to herein as our securities. All prospective holders of our securities should consult their tax advisors with respect to the U.S. federal, state, local and non-U.S. tax consequences of the purchase, ownership and disposition of our securities.</w:t>
      </w:r>
    </w:p>
    <w:p>
      <w:pPr>
        <w:spacing w:after="0" w:line="72"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This discussion is not a complete analysis of all potential U.S. federal income tax consequences relating to the purchase, ownership and disposition of our securities. This summary is based upon current provisions of the U.S. Internal Revenue Code of 1986, as amended, which we refer to as the Code, existing U.S. Treasury Regulations promulgated thereunder, published administrative pronouncements and rulings of the U.S. Internal Revenue Service, which we refer to as the IRS, and judicial decisions, all as in effect as of the date of this prospectus. These authorities are subject to change and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we have not obtained, nor do we intend to obtain, a ruling with respect to the U.S. federal income tax consequences to a holder of the purchase, ownership or disposition of our securities. We assume in this discussion that a holder holds our securities as a “capital asset” within the meaning of Section 1221 of the Code (generally, property held for investment). This discussion does not address all aspects of U.S. federal income taxation that may be relevant to a particular holder in light of that holder’s individual circumstances, nor does it address the special tax accounting rules under Section 451(b) of the Code, any alternative minimum, Medicare contribution, estate or gift tax consequences, or any aspects of U.S. state, local or non-U.S. taxes or any other U.S. federal tax laws. This discussion also does not address consequences relevant to holders subject to special tax rules, such as holders that own, or are deemed to own, more than 5% of our capital stock (except to the extent specifically set forth below), corporations that accumulate earnings to avoid U.S. federal income tax, tax-exempt organizations, governmental organizations, banks, financial institutions, investment funds, insurance companies, brokers, dealers or traders in securities, commodities or currencies, regulated investment companies, real estate investment trusts, persons that have a “functional currency” other than the U.S. dollar, tax-qualified retirement plans, holders who hold or receive our securities pursuant to the exercise of employee stock options or otherwise as compensation, holders holding our securities as part of a hedge, straddle or other risk reduction strategy, conversion transaction or other integrated investment, holders deemed to sell our securities under the constructive sale provisions of the Code, passive foreign investment companies, controlled foreign corporations, and certain former U.S. citizens or long-term residents.</w:t>
      </w:r>
    </w:p>
    <w:p>
      <w:pPr>
        <w:spacing w:after="0" w:line="96"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addition, this discussion does not address the tax treatment of partnerships (or entities or arrangements that are treated as partnerships for U.S. federal income tax purposes) or persons that hold our securities through such partnerships. If a partnership, including any entity or arrangement treated as a partnership for U.S. federal income tax purposes, holds our securities, the U.S. federal income tax treatment of a partner in such partnership will generally depend upon the status of the partner and the activities of the partnership. Such partners and partnerships should consult their tax advisors regarding the tax consequences of the purchase, ownership and disposition of our securities.</w:t>
      </w:r>
    </w:p>
    <w:p>
      <w:pPr>
        <w:spacing w:after="0" w:line="8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“U.S. Holder” means a beneficial owner of our securities (other than a partnership or an entity or arrangement treated as a partnership for U.S. federal income tax purposes) that is, for U.S. federal income tax purposes:</w:t>
      </w:r>
    </w:p>
    <w:p>
      <w:pPr>
        <w:spacing w:after="0" w:line="68" w:lineRule="exact"/>
        <w:rPr>
          <w:sz w:val="20"/>
          <w:szCs w:val="20"/>
          <w:color w:val="auto"/>
        </w:rPr>
      </w:pPr>
    </w:p>
    <w:p>
      <w:pPr>
        <w:ind w:left="1000" w:hanging="348"/>
        <w:spacing w:after="0"/>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 entity treated as a corporation for U.S. federal income tax purposes, created or organized in the United States or under the laws of the United States or of any state thereof or the District of Columbia;</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U.S. court can exercise primary supervision over the trust’s administration and one or more U.S. persons have the authority to control all of the trust’s substantial decisions or (b) the trust has a valid election in effect under applicable U.S. Treasury Regulations to be treated as a U.S. person.</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purposes of this discussion, a “non-U.S. Holder” is a beneficial owner of our securities that is neither a U.S.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Holder nor a partnership or an entity or arrangement treated as a partnership for U.S. federal income tax purposes.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3" w:name="page134"/>
    <w:bookmarkEnd w:id="1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Considerations Applicable to U.S. Holders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If we pay distributions or make constructive distributions (other than certain distributions of our stock or rights to acquire our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Class A Common Stock. Any remaining excess will be treated as gain realized on the sale or other disposition of the Class A Common Stock and will be treated as described under “Tax Considerations Applicable to U.S. Holders—Gain or Loss on Sale, Taxable Exchange or Other Taxable Disposition of Class A Common Stock” below.</w:t>
      </w:r>
    </w:p>
    <w:p>
      <w:pPr>
        <w:spacing w:after="0" w:line="8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Dividends we pay to a U.S. Holder that is a taxable corporation will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we pay to a non-corporate U.S. Holder will generally constitute “qualified dividends” that will be subject to tax at the maximum tax rate accorded to long-term capital gains. If the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Gain or Loss on Sale, Taxable Exchange or Other Taxable Disposition of Class A Common Stock</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 U.S. Holder generally will recognize gain or loss on the sale, taxable exchange or other taxable disposition of our Class A Common Stock. Any such gain or loss will be capital gain or loss, and will be long-term capital gain or loss if the U.S. Holder’s holding period for the Class A Common Stock so disposed of exceeds one year. The amount of gain or loss recognized will generally be equal to the difference between (1) the sum of the amount of cash and the fair market value of any property received in such disposition and (2) the U.S. Holder’s adjusted tax basis in its Class A Common Stock so disposed of. A U.S. Holder’s adjusted tax basis in its Class A Common Stock will generally equal the U.S. Holder’s acquisition cost for such Class A Common Stock (or, in the case of Class A Common Stock received upon exercise of a Warrant, the U.S. Holder’s initial basis for such Class A Common Stock, as discussed below), less any prior distributions treated as a return of capital. Long-term capital gains recognized by non-corporate U.S. Holders are generally eligible for reduced rates of tax. If the U.S. Holder’s holding period for the Class A Common Stock so disposed of is one year or less, any gain on a sale or other taxable disposition of the shares would be subject to short-term capital gain treatment and would be subject to U.S. federal income tax at ordinary income tax rates. The deductibility of capital losses is subject to limitations.</w:t>
      </w:r>
    </w:p>
    <w:p>
      <w:pPr>
        <w:spacing w:after="0" w:line="2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general, information reporting requirements may apply to dividends paid to a U.S. Holder and to the proceeds of the sale or other disposition of our shares of Class A Common Stock, unless the U.S. Holder is an exempt recipient. Backup withholding may apply to such payments if the U.S. Holder fails to provide a taxpayer identification number (or furnishes an incorrect taxpayer identification number) or a certification of exempt status, or has been notified by the IRS that it is subject to backup withholding (and such notification has not been withdrawn).</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 U.S. Holders should consult their tax advisors regarding their qualification for an exemption from backup withholding and the procedures for obtaining such an exemption.</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Considerations Applicable to Non-U.S. Holders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general, any distributions (including constructive distributions) we make to a non-U.S. Holder of shares of our Class A Common Stock, to the extent paid out of our current or accumulated earnings and profits (as determined under U.S. federal income tax principles), will constitute dividends for U.S. federal income tax purposes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4" w:name="page135"/>
    <w:bookmarkEnd w:id="1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(as described below under “Tax Considerations Applicable to Non-U.S. Holders—Possible Constructive Distributions”), it is possible that this tax would be withheld from any amount owed to a non-U.S. Holder by the applicable withholding agent, including cash distributions on other property or sale proceeds from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“Tax Considerations Applicable to Non-U.S. Holders—Gain on Sale, Exchange or Other Taxable Disposition of Class A Common Stock” below. In addition, if we determine that we are likely to be classified as a “United States real property holding corporation” (see the section entitled “Tax Considerations Applicable to Non-U.S. Holders—Gain on Sale, Exchange or Other Taxable Disposition of Class A Common Stock” below), we will withhold 15% of any distribution that exceeds our current and accumulated earnings and profits.</w:t>
      </w:r>
    </w:p>
    <w:p>
      <w:pPr>
        <w:spacing w:after="0" w:line="8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Dividends we pay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(generally by providing an IRS Form W-8ECI). Instead, such dividends generally will be subject to U.S. federal income tax, net of certain deductions, at the same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Gain on Sale, Exchange or Other Taxable Disposition of Class A Common Stock</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or withholding tax in respect of gain recognized on a sale, taxable exchange or other taxable disposition of our Class A Common Stock, unless:</w:t>
      </w:r>
    </w:p>
    <w:p>
      <w:pPr>
        <w:spacing w:after="0" w:line="54" w:lineRule="exact"/>
        <w:rPr>
          <w:sz w:val="20"/>
          <w:szCs w:val="20"/>
          <w:color w:val="auto"/>
        </w:rPr>
      </w:pPr>
    </w:p>
    <w:p>
      <w:pPr>
        <w:jc w:val="both"/>
        <w:ind w:left="1000" w:right="319" w:hanging="348"/>
        <w:spacing w:after="0" w:line="266"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disposition and certain other conditions are met; or</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is disposing of our Class A Common Stock and has owned, directly or constructively, more than 5% of our Class A Common Stock at any time within the shorter of the five-year period preceding the disposition or such Non-U.S. Holder’s holding period for the shares of our Class A Common Stock. There can be no assurance that our Class A Common Stock will be treated as regularly traded or not regularly traded on an established securities market for this purpose.</w:t>
      </w:r>
    </w:p>
    <w:p>
      <w:pPr>
        <w:spacing w:after="0" w:line="8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79"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If the third bullet point above applies to a non-U.S. Holder and applicable exceptions are not available, gain recognized by such holder on the sale, exchange or other disposition of our Class A Common Stock, as applicable, will be subject to tax at generally applicable U.S. federal income tax rates. In addition, a buyer of our Class A Common Stock from such holder may be required to withhold U.S. income tax at a rate of 15% of the amount realized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5" w:name="page136"/>
    <w:bookmarkEnd w:id="1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21"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7"/>
          <w:szCs w:val="17"/>
          <w:color w:val="auto"/>
        </w:rPr>
        <w:t>Provisions of the Code and U.S. Treasury Regulations and administrative guidance promulgated thereunder commonly referred as the “Foreign Account Tax Compliance Act” (“FATCA”) generally impose withholding at a rate of 30% in certain circumstances on dividends (including constructive dividends) in respect of our securities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w:t>
      </w:r>
    </w:p>
    <w:p>
      <w:pPr>
        <w:spacing w:after="0" w:line="2" w:lineRule="exact"/>
        <w:rPr>
          <w:sz w:val="20"/>
          <w:szCs w:val="20"/>
          <w:color w:val="auto"/>
        </w:rPr>
      </w:pPr>
    </w:p>
    <w:p>
      <w:pPr>
        <w:jc w:val="both"/>
        <w:ind w:left="300" w:right="299" w:hanging="8"/>
        <w:spacing w:after="0" w:line="251" w:lineRule="auto"/>
        <w:tabs>
          <w:tab w:leader="none" w:pos="56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our securities are held will affect the determination of whether such withholding is required. Similarly, dividends in respect of our securities held by an investor that is a non-financial foreign entity that does 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Withholding under FATCA was scheduled to apply to payments of gross proceeds from the sale or other disposition of property that produces U.S.-source interest or dividends, however, proposed U.S. Treasury Regulations have been released that, if finalized in their proposed form, would eliminate the obligation under FATCA to withhold on such gross proceeds. Although these proposed Treasury Regulations are not final, the preamble states that taxpayers generally may rely on them until final U.S. Treasury Regulations are issued. Prospective investors should consult their tax advisors regarding the possible implications of FATCA on their investment in our securities.</w:t>
      </w:r>
    </w:p>
    <w:p>
      <w:pPr>
        <w:spacing w:after="0" w:line="3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Information returns will be filed with the IRS in connection with payments of dividends and the proceeds from a sale or other disposition of our Class A Common Stock.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6" w:name="page137"/>
    <w:bookmarkEnd w:id="1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are registering the resale by the Selling Securityholders or their permitted transferees from time to time of up to 1,938,798 shares of Class A Common Stock. We are required to pay all fees and expenses incident to the registration of the securities to be offered and sold pursuant to this prospectus. The Selling Securityholders will pay any underwriting discounts, selling commissions or transfer taxes incurred in disposing of the Shares and the expenses of any attorney or other advisor they decide to employ. We will bear all other costs, fees and expenses incurred in effecting the registration of the Shares covered by this prospectus. These may include, without limitation, all registration, filing, stock exchange fees, printing expenses, all fees and expenses of complying with applicable securities laws and the fees and disbursements of our counsel and of our independent accountants and reasonable fees.</w:t>
      </w:r>
    </w:p>
    <w:p>
      <w:pPr>
        <w:spacing w:after="0" w:line="80"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securities by the Selling Securityholders. The aggregate proceeds to the Selling Securityholders will be the purchase price of the securities less any discounts and commissions borne by the Selling Securityholders.</w:t>
      </w:r>
    </w:p>
    <w:p>
      <w:pPr>
        <w:spacing w:after="0" w:line="6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shares of Class A Common Stock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Selling Securityholders may sell their securities by one or more of, or a combination of, the following methods:</w:t>
      </w:r>
    </w:p>
    <w:p>
      <w:pPr>
        <w:spacing w:after="0" w:line="117" w:lineRule="exact"/>
        <w:rPr>
          <w:sz w:val="20"/>
          <w:szCs w:val="20"/>
          <w:color w:val="auto"/>
        </w:rPr>
      </w:pPr>
    </w:p>
    <w:p>
      <w:pPr>
        <w:ind w:left="1000" w:right="319" w:hanging="348"/>
        <w:spacing w:after="0" w:line="282"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shares as agent but may position and resell a portion of the block as principal to facilitate the transaction;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Nasdaq;</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to employees, members, limited partners or stockholders of the Selling Securityholders;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 whether through an options exchange or otherwise;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delivery arrangements;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broker-dealers;</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options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7" w:name="page138"/>
    <w:bookmarkEnd w:id="1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In addition, any securities that qualify for sale pursuant to Rule 144 or another exemption from registration under the Securities Act or other such exemption may be sold under Rule 144 rather than pursuant to this prospectus.</w:t>
      </w:r>
    </w:p>
    <w:p>
      <w:pPr>
        <w:spacing w:after="0" w:line="5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To the extent required, this prospectus may be amended or supplemented from time to time to describe a specific plan of distribution. 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8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offering the securities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have advised the Selling Securityholders that the anti-manipulation rules of Regulation M under the Exchange Act may apply to sales of securities in the market and to the activities of the Selling Securityholders and their affiliates. In addition, 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8" w:name="page139"/>
    <w:bookmarkEnd w:id="1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validity of any securities offered by this prospectus herein has been passed upon for us by Cooley LLP.</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WM Technology, Inc. as of and for the year ended December 31, 2023 included in this prospectus have been audited by Moss Adams LLP, an independent registered public accounting firm, as stated in their report (which report expresses an unqualified opinion and includes an explanatory paragraph relating to a restatement of previously reported 2023 quarterly revenue and credit losses), which is included herein. Such consolidated financial statements are included in reliance upon the report of such firm given their authority as experts in accounting and auditing.</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the Company as of December 31, 2022 and for the year ended December 31, 2022 have been audited by Baker Tilly US, LLP (“Baker Tilly US, LLP”), an independent registered public accounting firm, given on the authority of said firm as experts in auditing and accounting.</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 xml:space="preserve">We are required to file annual, quarterly and current reports, proxy statements and other information with the SEC as required by the Exchange Act. You can read our SEC filings, including this prospectus,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66"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www.weedmaps.com</w:t>
      </w:r>
      <w:r>
        <w:rPr>
          <w:rFonts w:ascii="Times New Roman" w:cs="Times New Roman" w:eastAsia="Times New Roman" w:hAnsi="Times New Roman"/>
          <w:sz w:val="18"/>
          <w:szCs w:val="18"/>
          <w:color w:val="auto"/>
        </w:rPr>
        <w:t>. Through our website, we make available, free of charge, the following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9" w:name="page140"/>
    <w:bookmarkEnd w:id="139"/>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60" w:type="dxa"/>
            <w:vAlign w:val="bottom"/>
            <w:gridSpan w:val="3"/>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51"/>
        </w:trPr>
        <w:tc>
          <w:tcPr>
            <w:tcW w:w="1300" w:type="dxa"/>
            <w:vAlign w:val="bottom"/>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1020" w:type="dxa"/>
            <w:vAlign w:val="bottom"/>
            <w:tcBorders>
              <w:bottom w:val="single" w:sz="8" w:color="CCEEFF"/>
            </w:tcBorders>
          </w:tcPr>
          <w:p>
            <w:pPr>
              <w:spacing w:after="0"/>
              <w:rPr>
                <w:sz w:val="4"/>
                <w:szCs w:val="4"/>
                <w:color w:val="auto"/>
              </w:rPr>
            </w:pPr>
          </w:p>
        </w:tc>
        <w:tc>
          <w:tcPr>
            <w:tcW w:w="1780" w:type="dxa"/>
            <w:vAlign w:val="bottom"/>
            <w:tcBorders>
              <w:bottom w:val="single" w:sz="8" w:color="CCEEFF"/>
            </w:tcBorders>
          </w:tcPr>
          <w:p>
            <w:pPr>
              <w:spacing w:after="0"/>
              <w:rPr>
                <w:sz w:val="4"/>
                <w:szCs w:val="4"/>
                <w:color w:val="auto"/>
              </w:rPr>
            </w:pPr>
          </w:p>
        </w:tc>
        <w:tc>
          <w:tcPr>
            <w:tcW w:w="9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8060" w:type="dxa"/>
            <w:vAlign w:val="bottom"/>
            <w:tcBorders>
              <w:bottom w:val="single" w:sz="8" w:color="CCEEFF"/>
            </w:tcBorders>
            <w:gridSpan w:val="1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Financial Statements</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Condensed Consolidated Balance Sheets as of September 30, 2024 and December 31, 2023</w:t>
            </w:r>
          </w:p>
        </w:tc>
        <w:tc>
          <w:tcPr>
            <w:tcW w:w="80" w:type="dxa"/>
            <w:vAlign w:val="bottom"/>
          </w:tcPr>
          <w:p>
            <w:pPr>
              <w:spacing w:after="0"/>
              <w:rPr>
                <w:sz w:val="19"/>
                <w:szCs w:val="19"/>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F-2</w:t>
            </w: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1780" w:type="dxa"/>
            <w:vAlign w:val="bottom"/>
            <w:tcBorders>
              <w:top w:val="single" w:sz="8" w:color="0000EE"/>
            </w:tcBorders>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7520" w:type="dxa"/>
            <w:vAlign w:val="bottom"/>
            <w:tcBorders>
              <w:bottom w:val="single" w:sz="8" w:color="0000EE"/>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for the Three and Nine Months Ended September 30,</w:t>
            </w:r>
          </w:p>
        </w:tc>
        <w:tc>
          <w:tcPr>
            <w:tcW w:w="540" w:type="dxa"/>
            <w:vAlign w:val="bottom"/>
            <w:tcBorders>
              <w:bottom w:val="single" w:sz="8" w:color="CCEEFF"/>
            </w:tcBorders>
            <w:gridSpan w:val="3"/>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right w:val="single" w:sz="8" w:color="CCEEFF"/>
            </w:tcBorders>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80" w:type="dxa"/>
            <w:vAlign w:val="bottom"/>
            <w:gridSpan w:val="1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2024 and 2023</w:t>
            </w:r>
          </w:p>
        </w:tc>
        <w:tc>
          <w:tcPr>
            <w:tcW w:w="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5"/>
              </w:rPr>
              <w:t>F-3</w:t>
            </w:r>
          </w:p>
        </w:tc>
        <w:tc>
          <w:tcPr>
            <w:tcW w:w="1300" w:type="dxa"/>
            <w:vAlign w:val="bottom"/>
          </w:tcPr>
          <w:p>
            <w:pPr>
              <w:spacing w:after="0"/>
              <w:rPr>
                <w:sz w:val="17"/>
                <w:szCs w:val="17"/>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762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Equity for the Three and Nine Months Ended September 30, 2024</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and 2023</w:t>
            </w:r>
          </w:p>
        </w:tc>
        <w:tc>
          <w:tcPr>
            <w:tcW w:w="80" w:type="dxa"/>
            <w:vAlign w:val="bottom"/>
          </w:tcPr>
          <w:p>
            <w:pPr>
              <w:spacing w:after="0"/>
              <w:rPr>
                <w:sz w:val="17"/>
                <w:szCs w:val="17"/>
                <w:color w:val="auto"/>
              </w:rPr>
            </w:pPr>
          </w:p>
        </w:tc>
        <w:tc>
          <w:tcPr>
            <w:tcW w:w="1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F-4</w:t>
            </w:r>
          </w:p>
        </w:tc>
      </w:tr>
      <w:tr>
        <w:trPr>
          <w:trHeight w:val="75"/>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for the Nine Months Ended September 30, 2024 and</w:t>
            </w:r>
          </w:p>
        </w:tc>
        <w:tc>
          <w:tcPr>
            <w:tcW w:w="8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840" w:type="dxa"/>
            <w:vAlign w:val="bottom"/>
            <w:tcBorders>
              <w:top w:val="single" w:sz="8" w:color="0000EE"/>
            </w:tcBorders>
            <w:gridSpan w:val="3"/>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0000EE"/>
              </w:rPr>
              <w:t>2023</w:t>
            </w:r>
          </w:p>
        </w:tc>
        <w:tc>
          <w:tcPr>
            <w:tcW w:w="400" w:type="dxa"/>
            <w:vAlign w:val="bottom"/>
            <w:tcBorders>
              <w:top w:val="single" w:sz="8" w:color="0000EE"/>
            </w:tcBorders>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300" w:type="dxa"/>
            <w:vAlign w:val="bottom"/>
            <w:tcBorders>
              <w:top w:val="single" w:sz="8" w:color="0000EE"/>
            </w:tcBorders>
            <w:shd w:val="clear" w:color="auto" w:fill="CCEEFF"/>
          </w:tcPr>
          <w:p>
            <w:pPr>
              <w:spacing w:after="0"/>
              <w:rPr>
                <w:sz w:val="17"/>
                <w:szCs w:val="17"/>
                <w:color w:val="auto"/>
              </w:rPr>
            </w:pPr>
          </w:p>
        </w:tc>
        <w:tc>
          <w:tcPr>
            <w:tcW w:w="4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300" w:type="dxa"/>
            <w:vAlign w:val="bottom"/>
            <w:tcBorders>
              <w:top w:val="single" w:sz="8" w:color="0000EE"/>
            </w:tcBorders>
            <w:shd w:val="clear" w:color="auto" w:fill="CCEEFF"/>
          </w:tcPr>
          <w:p>
            <w:pPr>
              <w:spacing w:after="0"/>
              <w:rPr>
                <w:sz w:val="17"/>
                <w:szCs w:val="17"/>
                <w:color w:val="auto"/>
              </w:rPr>
            </w:pPr>
          </w:p>
        </w:tc>
        <w:tc>
          <w:tcPr>
            <w:tcW w:w="900" w:type="dxa"/>
            <w:vAlign w:val="bottom"/>
            <w:tcBorders>
              <w:top w:val="single" w:sz="8" w:color="0000EE"/>
            </w:tcBorders>
            <w:shd w:val="clear" w:color="auto" w:fill="CCEEFF"/>
          </w:tcPr>
          <w:p>
            <w:pPr>
              <w:spacing w:after="0"/>
              <w:rPr>
                <w:sz w:val="17"/>
                <w:szCs w:val="17"/>
                <w:color w:val="auto"/>
              </w:rPr>
            </w:pPr>
          </w:p>
        </w:tc>
        <w:tc>
          <w:tcPr>
            <w:tcW w:w="1020" w:type="dxa"/>
            <w:vAlign w:val="bottom"/>
            <w:tcBorders>
              <w:top w:val="single" w:sz="8" w:color="0000EE"/>
            </w:tcBorders>
            <w:shd w:val="clear" w:color="auto" w:fill="CCEEFF"/>
          </w:tcPr>
          <w:p>
            <w:pPr>
              <w:spacing w:after="0"/>
              <w:rPr>
                <w:sz w:val="17"/>
                <w:szCs w:val="17"/>
                <w:color w:val="auto"/>
              </w:rPr>
            </w:pPr>
          </w:p>
        </w:tc>
        <w:tc>
          <w:tcPr>
            <w:tcW w:w="1780" w:type="dxa"/>
            <w:vAlign w:val="bottom"/>
            <w:tcBorders>
              <w:top w:val="single" w:sz="8" w:color="0000EE"/>
            </w:tcBorders>
            <w:shd w:val="clear" w:color="auto" w:fill="CCEEFF"/>
          </w:tcPr>
          <w:p>
            <w:pPr>
              <w:spacing w:after="0"/>
              <w:rPr>
                <w:sz w:val="17"/>
                <w:szCs w:val="17"/>
                <w:color w:val="auto"/>
              </w:rPr>
            </w:pPr>
          </w:p>
        </w:tc>
        <w:tc>
          <w:tcPr>
            <w:tcW w:w="9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right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5"/>
              </w:rPr>
              <w:t>F-6</w:t>
            </w:r>
          </w:p>
        </w:tc>
        <w:tc>
          <w:tcPr>
            <w:tcW w:w="1300" w:type="dxa"/>
            <w:vAlign w:val="bottom"/>
          </w:tcPr>
          <w:p>
            <w:pPr>
              <w:spacing w:after="0"/>
              <w:rPr>
                <w:sz w:val="17"/>
                <w:szCs w:val="17"/>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80" w:type="dxa"/>
            <w:vAlign w:val="bottom"/>
          </w:tcPr>
          <w:p>
            <w:pPr>
              <w:spacing w:after="0"/>
              <w:rPr>
                <w:sz w:val="19"/>
                <w:szCs w:val="19"/>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F-7</w:t>
            </w: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178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324"/>
        </w:trPr>
        <w:tc>
          <w:tcPr>
            <w:tcW w:w="1300" w:type="dxa"/>
            <w:vAlign w:val="bottom"/>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tcBorders>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806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29"/>
        </w:trPr>
        <w:tc>
          <w:tcPr>
            <w:tcW w:w="1300" w:type="dxa"/>
            <w:vAlign w:val="bottom"/>
          </w:tcPr>
          <w:p>
            <w:pPr>
              <w:spacing w:after="0"/>
              <w:rPr>
                <w:sz w:val="19"/>
                <w:szCs w:val="19"/>
                <w:color w:val="auto"/>
              </w:rPr>
            </w:pPr>
          </w:p>
        </w:tc>
        <w:tc>
          <w:tcPr>
            <w:tcW w:w="7600" w:type="dxa"/>
            <w:vAlign w:val="bottom"/>
            <w:tcBorders>
              <w:bottom w:val="single" w:sz="8" w:color="0000EE"/>
            </w:tcBorders>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 (Moss Adams LLP, Irvine, California, Auditor</w:t>
            </w:r>
          </w:p>
        </w:tc>
        <w:tc>
          <w:tcPr>
            <w:tcW w:w="460" w:type="dxa"/>
            <w:vAlign w:val="bottom"/>
            <w:tcBorders>
              <w:bottom w:val="single" w:sz="8" w:color="CCEEFF"/>
            </w:tcBorders>
            <w:gridSpan w:val="2"/>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right w:val="single" w:sz="8" w:color="CCEEFF"/>
            </w:tcBorders>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80" w:type="dxa"/>
            <w:vAlign w:val="bottom"/>
            <w:gridSpan w:val="1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ID: (PCAOB ID 659))</w:t>
            </w:r>
          </w:p>
        </w:tc>
        <w:tc>
          <w:tcPr>
            <w:tcW w:w="360" w:type="dxa"/>
            <w:vAlign w:val="bottom"/>
            <w:tcBorders>
              <w:right w:val="single" w:sz="8" w:color="CCEEFF"/>
            </w:tcBorders>
            <w:gridSpan w:val="2"/>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F-30</w:t>
            </w:r>
          </w:p>
        </w:tc>
        <w:tc>
          <w:tcPr>
            <w:tcW w:w="1300" w:type="dxa"/>
            <w:vAlign w:val="bottom"/>
          </w:tcPr>
          <w:p>
            <w:pPr>
              <w:spacing w:after="0"/>
              <w:rPr>
                <w:sz w:val="17"/>
                <w:szCs w:val="17"/>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75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 (Baker Tilly, LLP, Irvine, California, Auditor</w:t>
            </w:r>
          </w:p>
        </w:tc>
        <w:tc>
          <w:tcPr>
            <w:tcW w:w="560" w:type="dxa"/>
            <w:vAlign w:val="bottom"/>
            <w:gridSpan w:val="4"/>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ID: (PCAOB ID 23)</w:t>
            </w:r>
          </w:p>
        </w:tc>
        <w:tc>
          <w:tcPr>
            <w:tcW w:w="1660" w:type="dxa"/>
            <w:vAlign w:val="bottom"/>
            <w:gridSpan w:val="3"/>
          </w:tcPr>
          <w:p>
            <w:pPr>
              <w:jc w:val="center"/>
              <w:ind w:right="1320"/>
              <w:spacing w:after="0" w:line="196" w:lineRule="exact"/>
              <w:rPr>
                <w:sz w:val="20"/>
                <w:szCs w:val="20"/>
                <w:color w:val="auto"/>
              </w:rPr>
            </w:pPr>
            <w:r>
              <w:rPr>
                <w:rFonts w:ascii="Times New Roman" w:cs="Times New Roman" w:eastAsia="Times New Roman" w:hAnsi="Times New Roman"/>
                <w:sz w:val="18"/>
                <w:szCs w:val="18"/>
                <w:color w:val="0000EE"/>
                <w:w w:val="99"/>
              </w:rPr>
              <w:t>F-33</w:t>
            </w:r>
          </w:p>
        </w:tc>
      </w:tr>
      <w:tr>
        <w:trPr>
          <w:trHeight w:val="75"/>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Consolidated Balance Sheets</w:t>
            </w:r>
          </w:p>
        </w:tc>
        <w:tc>
          <w:tcPr>
            <w:tcW w:w="36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F-34</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Consolidated Statements of Income</w:t>
            </w:r>
          </w:p>
        </w:tc>
        <w:tc>
          <w:tcPr>
            <w:tcW w:w="1660" w:type="dxa"/>
            <w:vAlign w:val="bottom"/>
            <w:gridSpan w:val="3"/>
          </w:tcPr>
          <w:p>
            <w:pPr>
              <w:jc w:val="center"/>
              <w:ind w:right="1320"/>
              <w:spacing w:after="0"/>
              <w:rPr>
                <w:sz w:val="20"/>
                <w:szCs w:val="20"/>
                <w:color w:val="auto"/>
              </w:rPr>
            </w:pPr>
            <w:r>
              <w:rPr>
                <w:rFonts w:ascii="Times New Roman" w:cs="Times New Roman" w:eastAsia="Times New Roman" w:hAnsi="Times New Roman"/>
                <w:sz w:val="18"/>
                <w:szCs w:val="18"/>
                <w:color w:val="0000EE"/>
                <w:w w:val="99"/>
              </w:rPr>
              <w:t>F-35</w:t>
            </w: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6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Consolidated Statements of Equity</w:t>
            </w:r>
          </w:p>
        </w:tc>
        <w:tc>
          <w:tcPr>
            <w:tcW w:w="36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F-36</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Consolidated Statements of Cash Flows</w:t>
            </w:r>
          </w:p>
        </w:tc>
        <w:tc>
          <w:tcPr>
            <w:tcW w:w="1660" w:type="dxa"/>
            <w:vAlign w:val="bottom"/>
            <w:gridSpan w:val="3"/>
          </w:tcPr>
          <w:p>
            <w:pPr>
              <w:jc w:val="center"/>
              <w:ind w:right="1320"/>
              <w:spacing w:after="0"/>
              <w:rPr>
                <w:sz w:val="20"/>
                <w:szCs w:val="20"/>
                <w:color w:val="auto"/>
              </w:rPr>
            </w:pPr>
            <w:r>
              <w:rPr>
                <w:rFonts w:ascii="Times New Roman" w:cs="Times New Roman" w:eastAsia="Times New Roman" w:hAnsi="Times New Roman"/>
                <w:sz w:val="18"/>
                <w:szCs w:val="18"/>
                <w:color w:val="0000EE"/>
                <w:w w:val="99"/>
              </w:rPr>
              <w:t>F-37</w:t>
            </w: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9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6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EE"/>
              </w:rPr>
              <w:t>Notes to Audited Consolidated Financial Statements</w:t>
            </w:r>
          </w:p>
        </w:tc>
        <w:tc>
          <w:tcPr>
            <w:tcW w:w="36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F-39</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0000EE"/>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432"/>
        </w:trPr>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0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F-1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5852160</wp:posOffset>
            </wp:positionH>
            <wp:positionV relativeFrom="paragraph">
              <wp:posOffset>-4191000</wp:posOffset>
            </wp:positionV>
            <wp:extent cx="939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140" w:name="page141"/>
    <w:bookmarkEnd w:id="140"/>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35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545"/>
        </w:trPr>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5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WM TECHNOLOGY, INC. AND SUBSIDIARIES</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54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32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8"/>
        </w:trPr>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32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(In thousands, except for share data)</w:t>
            </w: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95"/>
        </w:trPr>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Pr>
          <w:p>
            <w:pPr>
              <w:spacing w:after="0"/>
              <w:rPr>
                <w:sz w:val="24"/>
                <w:szCs w:val="24"/>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50"/>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60" w:type="dxa"/>
            <w:vAlign w:val="bottom"/>
            <w:shd w:val="clear" w:color="auto" w:fill="CCEEFF"/>
          </w:tcPr>
          <w:p>
            <w:pPr>
              <w:spacing w:after="0"/>
              <w:rPr>
                <w:sz w:val="21"/>
                <w:szCs w:val="21"/>
                <w:color w:val="auto"/>
              </w:rPr>
            </w:pPr>
          </w:p>
        </w:tc>
        <w:tc>
          <w:tcPr>
            <w:tcW w:w="43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80" w:type="dxa"/>
            <w:vAlign w:val="bottom"/>
            <w:tcBorders>
              <w:lef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80" w:type="dxa"/>
            <w:vAlign w:val="bottom"/>
            <w:tcBorders>
              <w:left w:val="single" w:sz="8" w:color="CCEEFF"/>
            </w:tcBorders>
            <w:shd w:val="clear" w:color="auto" w:fill="CCEEFF"/>
          </w:tcPr>
          <w:p>
            <w:pPr>
              <w:spacing w:after="0"/>
              <w:rPr>
                <w:sz w:val="21"/>
                <w:szCs w:val="21"/>
                <w:color w:val="auto"/>
              </w:rPr>
            </w:pPr>
          </w:p>
        </w:tc>
      </w:tr>
      <w:tr>
        <w:trPr>
          <w:trHeight w:val="239"/>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7"/>
        </w:trPr>
        <w:tc>
          <w:tcPr>
            <w:tcW w:w="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660" w:type="dxa"/>
            <w:vAlign w:val="bottom"/>
            <w:shd w:val="clear" w:color="auto" w:fill="CCEEFF"/>
          </w:tcPr>
          <w:p>
            <w:pPr>
              <w:spacing w:after="0"/>
              <w:rPr>
                <w:sz w:val="21"/>
                <w:szCs w:val="21"/>
                <w:color w:val="auto"/>
              </w:rPr>
            </w:pPr>
          </w:p>
        </w:tc>
        <w:tc>
          <w:tcPr>
            <w:tcW w:w="43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$ 45,043</w:t>
            </w:r>
          </w:p>
        </w:tc>
        <w:tc>
          <w:tcPr>
            <w:tcW w:w="280" w:type="dxa"/>
            <w:vAlign w:val="bottom"/>
            <w:tcBorders>
              <w:left w:val="single" w:sz="8" w:color="CCEEFF"/>
            </w:tcBorders>
            <w:shd w:val="clear" w:color="auto" w:fill="CCEEFF"/>
          </w:tcPr>
          <w:p>
            <w:pPr>
              <w:spacing w:after="0"/>
              <w:rPr>
                <w:sz w:val="21"/>
                <w:szCs w:val="21"/>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$ 34,350</w:t>
            </w:r>
          </w:p>
        </w:tc>
        <w:tc>
          <w:tcPr>
            <w:tcW w:w="280" w:type="dxa"/>
            <w:vAlign w:val="bottom"/>
            <w:tcBorders>
              <w:left w:val="single" w:sz="8" w:color="CCEEFF"/>
            </w:tcBorders>
            <w:shd w:val="clear" w:color="auto" w:fill="CCEEFF"/>
          </w:tcPr>
          <w:p>
            <w:pPr>
              <w:spacing w:after="0"/>
              <w:rPr>
                <w:sz w:val="21"/>
                <w:szCs w:val="21"/>
                <w:color w:val="auto"/>
              </w:rPr>
            </w:pPr>
          </w:p>
        </w:tc>
      </w:tr>
      <w:tr>
        <w:trPr>
          <w:trHeight w:val="239"/>
        </w:trPr>
        <w:tc>
          <w:tcPr>
            <w:tcW w:w="5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7,907</w:t>
            </w:r>
          </w:p>
        </w:tc>
        <w:tc>
          <w:tcPr>
            <w:tcW w:w="28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11,158</w:t>
            </w:r>
          </w:p>
        </w:tc>
        <w:tc>
          <w:tcPr>
            <w:tcW w:w="280" w:type="dxa"/>
            <w:vAlign w:val="bottom"/>
          </w:tcPr>
          <w:p>
            <w:pPr>
              <w:spacing w:after="0"/>
              <w:rPr>
                <w:sz w:val="20"/>
                <w:szCs w:val="20"/>
                <w:color w:val="auto"/>
              </w:rPr>
            </w:pPr>
          </w:p>
        </w:tc>
      </w:tr>
      <w:tr>
        <w:trPr>
          <w:trHeight w:val="243"/>
        </w:trPr>
        <w:tc>
          <w:tcPr>
            <w:tcW w:w="5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280" w:type="dxa"/>
            <w:vAlign w:val="bottom"/>
            <w:tcBorders>
              <w:left w:val="single" w:sz="8" w:color="CCEEFF"/>
            </w:tcBorders>
            <w:shd w:val="clear" w:color="auto" w:fill="CCEEFF"/>
          </w:tcPr>
          <w:p>
            <w:pPr>
              <w:spacing w:after="0"/>
              <w:rPr>
                <w:sz w:val="21"/>
                <w:szCs w:val="21"/>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280" w:type="dxa"/>
            <w:vAlign w:val="bottom"/>
            <w:tcBorders>
              <w:left w:val="single" w:sz="8" w:color="CCEEFF"/>
            </w:tcBorders>
            <w:shd w:val="clear" w:color="auto" w:fill="CCEEFF"/>
          </w:tcPr>
          <w:p>
            <w:pPr>
              <w:spacing w:after="0"/>
              <w:rPr>
                <w:sz w:val="21"/>
                <w:szCs w:val="21"/>
                <w:color w:val="auto"/>
              </w:rPr>
            </w:pPr>
          </w:p>
        </w:tc>
      </w:tr>
      <w:tr>
        <w:trPr>
          <w:trHeight w:val="31"/>
        </w:trPr>
        <w:tc>
          <w:tcPr>
            <w:tcW w:w="8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Borders>
              <w:left w:val="single" w:sz="8" w:color="CCEEFF"/>
            </w:tcBorders>
            <w:shd w:val="clear" w:color="auto" w:fill="CCEEFF"/>
          </w:tcPr>
          <w:p>
            <w:pPr>
              <w:spacing w:after="0"/>
              <w:rPr>
                <w:sz w:val="2"/>
                <w:szCs w:val="2"/>
                <w:color w:val="auto"/>
              </w:rPr>
            </w:pPr>
          </w:p>
        </w:tc>
      </w:tr>
      <w:tr>
        <w:trPr>
          <w:trHeight w:val="263"/>
        </w:trPr>
        <w:tc>
          <w:tcPr>
            <w:tcW w:w="5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59,359</w:t>
            </w:r>
          </w:p>
        </w:tc>
        <w:tc>
          <w:tcPr>
            <w:tcW w:w="280" w:type="dxa"/>
            <w:vAlign w:val="bottom"/>
          </w:tcPr>
          <w:p>
            <w:pPr>
              <w:spacing w:after="0"/>
              <w:rPr>
                <w:sz w:val="22"/>
                <w:szCs w:val="22"/>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51,486</w:t>
            </w:r>
          </w:p>
        </w:tc>
        <w:tc>
          <w:tcPr>
            <w:tcW w:w="280" w:type="dxa"/>
            <w:vAlign w:val="bottom"/>
          </w:tcPr>
          <w:p>
            <w:pPr>
              <w:spacing w:after="0"/>
              <w:rPr>
                <w:sz w:val="22"/>
                <w:szCs w:val="22"/>
                <w:color w:val="auto"/>
              </w:rPr>
            </w:pPr>
          </w:p>
        </w:tc>
      </w:tr>
      <w:tr>
        <w:trPr>
          <w:trHeight w:val="250"/>
        </w:trPr>
        <w:tc>
          <w:tcPr>
            <w:tcW w:w="5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24,876</w:t>
            </w:r>
          </w:p>
        </w:tc>
        <w:tc>
          <w:tcPr>
            <w:tcW w:w="280" w:type="dxa"/>
            <w:vAlign w:val="bottom"/>
            <w:tcBorders>
              <w:left w:val="single" w:sz="8" w:color="CCEEFF"/>
            </w:tcBorders>
            <w:shd w:val="clear" w:color="auto" w:fill="CCEEFF"/>
          </w:tcPr>
          <w:p>
            <w:pPr>
              <w:spacing w:after="0"/>
              <w:rPr>
                <w:sz w:val="21"/>
                <w:szCs w:val="21"/>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24,255</w:t>
            </w:r>
          </w:p>
        </w:tc>
        <w:tc>
          <w:tcPr>
            <w:tcW w:w="280" w:type="dxa"/>
            <w:vAlign w:val="bottom"/>
            <w:tcBorders>
              <w:left w:val="single" w:sz="8" w:color="CCEEFF"/>
            </w:tcBorders>
            <w:shd w:val="clear" w:color="auto" w:fill="CCEEFF"/>
          </w:tcPr>
          <w:p>
            <w:pPr>
              <w:spacing w:after="0"/>
              <w:rPr>
                <w:sz w:val="21"/>
                <w:szCs w:val="21"/>
                <w:color w:val="auto"/>
              </w:rPr>
            </w:pPr>
          </w:p>
        </w:tc>
      </w:tr>
      <w:tr>
        <w:trPr>
          <w:trHeight w:val="23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66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68,368</w:t>
            </w:r>
          </w:p>
        </w:tc>
        <w:tc>
          <w:tcPr>
            <w:tcW w:w="28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68,368</w:t>
            </w:r>
          </w:p>
        </w:tc>
        <w:tc>
          <w:tcPr>
            <w:tcW w:w="280" w:type="dxa"/>
            <w:vAlign w:val="bottom"/>
          </w:tcPr>
          <w:p>
            <w:pPr>
              <w:spacing w:after="0"/>
              <w:rPr>
                <w:sz w:val="20"/>
                <w:szCs w:val="20"/>
                <w:color w:val="auto"/>
              </w:rPr>
            </w:pPr>
          </w:p>
        </w:tc>
      </w:tr>
      <w:tr>
        <w:trPr>
          <w:trHeight w:val="247"/>
        </w:trPr>
        <w:tc>
          <w:tcPr>
            <w:tcW w:w="5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280" w:type="dxa"/>
            <w:vAlign w:val="bottom"/>
            <w:tcBorders>
              <w:left w:val="single" w:sz="8" w:color="CCEEFF"/>
            </w:tcBorders>
            <w:shd w:val="clear" w:color="auto" w:fill="CCEEFF"/>
          </w:tcPr>
          <w:p>
            <w:pPr>
              <w:spacing w:after="0"/>
              <w:rPr>
                <w:sz w:val="21"/>
                <w:szCs w:val="21"/>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280" w:type="dxa"/>
            <w:vAlign w:val="bottom"/>
            <w:tcBorders>
              <w:left w:val="single" w:sz="8" w:color="CCEEFF"/>
            </w:tcBorders>
            <w:shd w:val="clear" w:color="auto" w:fill="CCEEFF"/>
          </w:tcPr>
          <w:p>
            <w:pPr>
              <w:spacing w:after="0"/>
              <w:rPr>
                <w:sz w:val="21"/>
                <w:szCs w:val="21"/>
                <w:color w:val="auto"/>
              </w:rPr>
            </w:pPr>
          </w:p>
        </w:tc>
      </w:tr>
      <w:tr>
        <w:trPr>
          <w:trHeight w:val="239"/>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15,513</w:t>
            </w:r>
          </w:p>
        </w:tc>
        <w:tc>
          <w:tcPr>
            <w:tcW w:w="28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15,629</w:t>
            </w:r>
          </w:p>
        </w:tc>
        <w:tc>
          <w:tcPr>
            <w:tcW w:w="280" w:type="dxa"/>
            <w:vAlign w:val="bottom"/>
          </w:tcPr>
          <w:p>
            <w:pPr>
              <w:spacing w:after="0"/>
              <w:rPr>
                <w:sz w:val="20"/>
                <w:szCs w:val="20"/>
                <w:color w:val="auto"/>
              </w:rPr>
            </w:pPr>
          </w:p>
        </w:tc>
      </w:tr>
      <w:tr>
        <w:trPr>
          <w:trHeight w:val="243"/>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Other assets</w:t>
            </w:r>
          </w:p>
        </w:tc>
        <w:tc>
          <w:tcPr>
            <w:tcW w:w="660" w:type="dxa"/>
            <w:vAlign w:val="bottom"/>
            <w:shd w:val="clear" w:color="auto" w:fill="CCEEFF"/>
          </w:tcPr>
          <w:p>
            <w:pPr>
              <w:spacing w:after="0"/>
              <w:rPr>
                <w:sz w:val="21"/>
                <w:szCs w:val="21"/>
                <w:color w:val="auto"/>
              </w:rPr>
            </w:pPr>
          </w:p>
        </w:tc>
        <w:tc>
          <w:tcPr>
            <w:tcW w:w="43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280" w:type="dxa"/>
            <w:vAlign w:val="bottom"/>
            <w:tcBorders>
              <w:left w:val="single" w:sz="8" w:color="CCEEFF"/>
            </w:tcBorders>
            <w:shd w:val="clear" w:color="auto" w:fill="CCEEFF"/>
          </w:tcPr>
          <w:p>
            <w:pPr>
              <w:spacing w:after="0"/>
              <w:rPr>
                <w:sz w:val="21"/>
                <w:szCs w:val="21"/>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280" w:type="dxa"/>
            <w:vAlign w:val="bottom"/>
            <w:tcBorders>
              <w:left w:val="single" w:sz="8" w:color="CCEEFF"/>
            </w:tcBorders>
            <w:shd w:val="clear" w:color="auto" w:fill="CCEEFF"/>
          </w:tcPr>
          <w:p>
            <w:pPr>
              <w:spacing w:after="0"/>
              <w:rPr>
                <w:sz w:val="21"/>
                <w:szCs w:val="21"/>
                <w:color w:val="auto"/>
              </w:rPr>
            </w:pPr>
          </w:p>
        </w:tc>
      </w:tr>
      <w:tr>
        <w:trPr>
          <w:trHeight w:val="31"/>
        </w:trPr>
        <w:tc>
          <w:tcPr>
            <w:tcW w:w="8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Borders>
              <w:left w:val="single" w:sz="8" w:color="CCEEFF"/>
            </w:tcBorders>
            <w:shd w:val="clear" w:color="auto" w:fill="CCEEFF"/>
          </w:tcPr>
          <w:p>
            <w:pPr>
              <w:spacing w:after="0"/>
              <w:rPr>
                <w:sz w:val="2"/>
                <w:szCs w:val="2"/>
                <w:color w:val="auto"/>
              </w:rPr>
            </w:pPr>
          </w:p>
        </w:tc>
      </w:tr>
      <w:tr>
        <w:trPr>
          <w:trHeight w:val="257"/>
        </w:trPr>
        <w:tc>
          <w:tcPr>
            <w:tcW w:w="5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173,568</w:t>
            </w:r>
          </w:p>
        </w:tc>
        <w:tc>
          <w:tcPr>
            <w:tcW w:w="280" w:type="dxa"/>
            <w:vAlign w:val="bottom"/>
          </w:tcPr>
          <w:p>
            <w:pPr>
              <w:spacing w:after="0"/>
              <w:rPr>
                <w:sz w:val="22"/>
                <w:szCs w:val="22"/>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167,021</w:t>
            </w:r>
          </w:p>
        </w:tc>
        <w:tc>
          <w:tcPr>
            <w:tcW w:w="280" w:type="dxa"/>
            <w:vAlign w:val="bottom"/>
          </w:tcPr>
          <w:p>
            <w:pPr>
              <w:spacing w:after="0"/>
              <w:rPr>
                <w:sz w:val="22"/>
                <w:szCs w:val="22"/>
                <w:color w:val="auto"/>
              </w:rPr>
            </w:pPr>
          </w:p>
        </w:tc>
      </w:tr>
      <w:tr>
        <w:trPr>
          <w:trHeight w:val="21"/>
        </w:trPr>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77"/>
        </w:trPr>
        <w:tc>
          <w:tcPr>
            <w:tcW w:w="5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80" w:type="dxa"/>
            <w:vAlign w:val="bottom"/>
            <w:tcBorders>
              <w:lef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80" w:type="dxa"/>
            <w:vAlign w:val="bottom"/>
            <w:tcBorders>
              <w:left w:val="single" w:sz="8" w:color="CCEEFF"/>
            </w:tcBorders>
            <w:shd w:val="clear" w:color="auto" w:fill="CCEEFF"/>
          </w:tcPr>
          <w:p>
            <w:pPr>
              <w:spacing w:after="0"/>
              <w:rPr>
                <w:sz w:val="24"/>
                <w:szCs w:val="24"/>
                <w:color w:val="auto"/>
              </w:rPr>
            </w:pPr>
          </w:p>
        </w:tc>
      </w:tr>
      <w:tr>
        <w:trPr>
          <w:trHeight w:val="239"/>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7"/>
        </w:trPr>
        <w:tc>
          <w:tcPr>
            <w:tcW w:w="5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$ 16,533</w:t>
            </w:r>
          </w:p>
        </w:tc>
        <w:tc>
          <w:tcPr>
            <w:tcW w:w="280" w:type="dxa"/>
            <w:vAlign w:val="bottom"/>
            <w:tcBorders>
              <w:left w:val="single" w:sz="8" w:color="CCEEFF"/>
            </w:tcBorders>
            <w:shd w:val="clear" w:color="auto" w:fill="CCEEFF"/>
          </w:tcPr>
          <w:p>
            <w:pPr>
              <w:spacing w:after="0"/>
              <w:rPr>
                <w:sz w:val="21"/>
                <w:szCs w:val="21"/>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$ 21,182</w:t>
            </w:r>
          </w:p>
        </w:tc>
        <w:tc>
          <w:tcPr>
            <w:tcW w:w="280" w:type="dxa"/>
            <w:vAlign w:val="bottom"/>
            <w:tcBorders>
              <w:left w:val="single" w:sz="8" w:color="CCEEFF"/>
            </w:tcBorders>
            <w:shd w:val="clear" w:color="auto" w:fill="CCEEFF"/>
          </w:tcPr>
          <w:p>
            <w:pPr>
              <w:spacing w:after="0"/>
              <w:rPr>
                <w:sz w:val="21"/>
                <w:szCs w:val="21"/>
                <w:color w:val="auto"/>
              </w:rPr>
            </w:pPr>
          </w:p>
        </w:tc>
      </w:tr>
      <w:tr>
        <w:trPr>
          <w:trHeight w:val="239"/>
        </w:trPr>
        <w:tc>
          <w:tcPr>
            <w:tcW w:w="5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5,765</w:t>
            </w:r>
          </w:p>
        </w:tc>
        <w:tc>
          <w:tcPr>
            <w:tcW w:w="28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280" w:type="dxa"/>
            <w:vAlign w:val="bottom"/>
          </w:tcPr>
          <w:p>
            <w:pPr>
              <w:spacing w:after="0"/>
              <w:rPr>
                <w:sz w:val="20"/>
                <w:szCs w:val="20"/>
                <w:color w:val="auto"/>
              </w:rPr>
            </w:pPr>
          </w:p>
        </w:tc>
      </w:tr>
      <w:tr>
        <w:trPr>
          <w:trHeight w:val="247"/>
        </w:trPr>
        <w:tc>
          <w:tcPr>
            <w:tcW w:w="5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280" w:type="dxa"/>
            <w:vAlign w:val="bottom"/>
            <w:tcBorders>
              <w:left w:val="single" w:sz="8" w:color="CCEEFF"/>
            </w:tcBorders>
            <w:shd w:val="clear" w:color="auto" w:fill="CCEEFF"/>
          </w:tcPr>
          <w:p>
            <w:pPr>
              <w:spacing w:after="0"/>
              <w:rPr>
                <w:sz w:val="21"/>
                <w:szCs w:val="21"/>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w:t>
            </w:r>
          </w:p>
        </w:tc>
        <w:tc>
          <w:tcPr>
            <w:tcW w:w="280" w:type="dxa"/>
            <w:vAlign w:val="bottom"/>
            <w:tcBorders>
              <w:left w:val="single" w:sz="8" w:color="CCEEFF"/>
            </w:tcBorders>
            <w:shd w:val="clear" w:color="auto" w:fill="CCEEFF"/>
          </w:tcPr>
          <w:p>
            <w:pPr>
              <w:spacing w:after="0"/>
              <w:rPr>
                <w:sz w:val="21"/>
                <w:szCs w:val="21"/>
                <w:color w:val="auto"/>
              </w:rPr>
            </w:pPr>
          </w:p>
        </w:tc>
      </w:tr>
      <w:tr>
        <w:trPr>
          <w:trHeight w:val="239"/>
        </w:trPr>
        <w:tc>
          <w:tcPr>
            <w:tcW w:w="5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Tax receivable agreement liability, current</w:t>
            </w: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28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80" w:type="dxa"/>
            <w:vAlign w:val="bottom"/>
          </w:tcPr>
          <w:p>
            <w:pPr>
              <w:spacing w:after="0"/>
              <w:rPr>
                <w:sz w:val="20"/>
                <w:szCs w:val="20"/>
                <w:color w:val="auto"/>
              </w:rPr>
            </w:pPr>
          </w:p>
        </w:tc>
      </w:tr>
      <w:tr>
        <w:trPr>
          <w:trHeight w:val="31"/>
        </w:trPr>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270"/>
        </w:trPr>
        <w:tc>
          <w:tcPr>
            <w:tcW w:w="58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27,782</w:t>
            </w:r>
          </w:p>
        </w:tc>
        <w:tc>
          <w:tcPr>
            <w:tcW w:w="280" w:type="dxa"/>
            <w:vAlign w:val="bottom"/>
            <w:tcBorders>
              <w:left w:val="single" w:sz="8" w:color="CCEEFF"/>
            </w:tcBorders>
            <w:shd w:val="clear" w:color="auto" w:fill="CCEEFF"/>
          </w:tcPr>
          <w:p>
            <w:pPr>
              <w:spacing w:after="0"/>
              <w:rPr>
                <w:sz w:val="23"/>
                <w:szCs w:val="23"/>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33,715</w:t>
            </w:r>
          </w:p>
        </w:tc>
        <w:tc>
          <w:tcPr>
            <w:tcW w:w="280" w:type="dxa"/>
            <w:vAlign w:val="bottom"/>
            <w:tcBorders>
              <w:left w:val="single" w:sz="8" w:color="CCEEFF"/>
            </w:tcBorders>
            <w:shd w:val="clear" w:color="auto" w:fill="CCEEFF"/>
          </w:tcPr>
          <w:p>
            <w:pPr>
              <w:spacing w:after="0"/>
              <w:rPr>
                <w:sz w:val="23"/>
                <w:szCs w:val="23"/>
                <w:color w:val="auto"/>
              </w:rPr>
            </w:pPr>
          </w:p>
        </w:tc>
      </w:tr>
      <w:tr>
        <w:trPr>
          <w:trHeight w:val="239"/>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26,912</w:t>
            </w:r>
          </w:p>
        </w:tc>
        <w:tc>
          <w:tcPr>
            <w:tcW w:w="28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26,550</w:t>
            </w:r>
          </w:p>
        </w:tc>
        <w:tc>
          <w:tcPr>
            <w:tcW w:w="280" w:type="dxa"/>
            <w:vAlign w:val="bottom"/>
          </w:tcPr>
          <w:p>
            <w:pPr>
              <w:spacing w:after="0"/>
              <w:rPr>
                <w:sz w:val="20"/>
                <w:szCs w:val="20"/>
                <w:color w:val="auto"/>
              </w:rPr>
            </w:pPr>
          </w:p>
        </w:tc>
      </w:tr>
      <w:tr>
        <w:trPr>
          <w:trHeight w:val="247"/>
        </w:trPr>
        <w:tc>
          <w:tcPr>
            <w:tcW w:w="5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receivable agreement liability, non-current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280" w:type="dxa"/>
            <w:vAlign w:val="bottom"/>
            <w:tcBorders>
              <w:left w:val="single" w:sz="8" w:color="CCEEFF"/>
            </w:tcBorders>
            <w:shd w:val="clear" w:color="auto" w:fill="CCEEFF"/>
          </w:tcPr>
          <w:p>
            <w:pPr>
              <w:spacing w:after="0"/>
              <w:rPr>
                <w:sz w:val="21"/>
                <w:szCs w:val="21"/>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280" w:type="dxa"/>
            <w:vAlign w:val="bottom"/>
            <w:tcBorders>
              <w:left w:val="single" w:sz="8" w:color="CCEEFF"/>
            </w:tcBorders>
            <w:shd w:val="clear" w:color="auto" w:fill="CCEEFF"/>
          </w:tcPr>
          <w:p>
            <w:pPr>
              <w:spacing w:after="0"/>
              <w:rPr>
                <w:sz w:val="21"/>
                <w:szCs w:val="21"/>
                <w:color w:val="auto"/>
              </w:rPr>
            </w:pPr>
          </w:p>
        </w:tc>
      </w:tr>
      <w:tr>
        <w:trPr>
          <w:trHeight w:val="239"/>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8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80" w:type="dxa"/>
            <w:vAlign w:val="bottom"/>
          </w:tcPr>
          <w:p>
            <w:pPr>
              <w:spacing w:after="0"/>
              <w:rPr>
                <w:sz w:val="20"/>
                <w:szCs w:val="20"/>
                <w:color w:val="auto"/>
              </w:rPr>
            </w:pPr>
          </w:p>
        </w:tc>
      </w:tr>
      <w:tr>
        <w:trPr>
          <w:trHeight w:val="243"/>
        </w:trPr>
        <w:tc>
          <w:tcPr>
            <w:tcW w:w="5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280" w:type="dxa"/>
            <w:vAlign w:val="bottom"/>
            <w:tcBorders>
              <w:left w:val="single" w:sz="8" w:color="CCEEFF"/>
            </w:tcBorders>
            <w:shd w:val="clear" w:color="auto" w:fill="CCEEFF"/>
          </w:tcPr>
          <w:p>
            <w:pPr>
              <w:spacing w:after="0"/>
              <w:rPr>
                <w:sz w:val="21"/>
                <w:szCs w:val="21"/>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280" w:type="dxa"/>
            <w:vAlign w:val="bottom"/>
            <w:tcBorders>
              <w:left w:val="single" w:sz="8" w:color="CCEEFF"/>
            </w:tcBorders>
            <w:shd w:val="clear" w:color="auto" w:fill="CCEEFF"/>
          </w:tcPr>
          <w:p>
            <w:pPr>
              <w:spacing w:after="0"/>
              <w:rPr>
                <w:sz w:val="21"/>
                <w:szCs w:val="21"/>
                <w:color w:val="auto"/>
              </w:rPr>
            </w:pPr>
          </w:p>
        </w:tc>
      </w:tr>
      <w:tr>
        <w:trPr>
          <w:trHeight w:val="31"/>
        </w:trPr>
        <w:tc>
          <w:tcPr>
            <w:tcW w:w="8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Borders>
              <w:left w:val="single" w:sz="8" w:color="CCEEFF"/>
            </w:tcBorders>
            <w:shd w:val="clear" w:color="auto" w:fill="CCEEFF"/>
          </w:tcPr>
          <w:p>
            <w:pPr>
              <w:spacing w:after="0"/>
              <w:rPr>
                <w:sz w:val="2"/>
                <w:szCs w:val="2"/>
                <w:color w:val="auto"/>
              </w:rPr>
            </w:pPr>
          </w:p>
        </w:tc>
      </w:tr>
      <w:tr>
        <w:trPr>
          <w:trHeight w:val="263"/>
        </w:trPr>
        <w:tc>
          <w:tcPr>
            <w:tcW w:w="5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58,578</w:t>
            </w:r>
          </w:p>
        </w:tc>
        <w:tc>
          <w:tcPr>
            <w:tcW w:w="280" w:type="dxa"/>
            <w:vAlign w:val="bottom"/>
          </w:tcPr>
          <w:p>
            <w:pPr>
              <w:spacing w:after="0"/>
              <w:rPr>
                <w:sz w:val="22"/>
                <w:szCs w:val="22"/>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63,870</w:t>
            </w:r>
          </w:p>
        </w:tc>
        <w:tc>
          <w:tcPr>
            <w:tcW w:w="280" w:type="dxa"/>
            <w:vAlign w:val="bottom"/>
          </w:tcPr>
          <w:p>
            <w:pPr>
              <w:spacing w:after="0"/>
              <w:rPr>
                <w:sz w:val="22"/>
                <w:szCs w:val="22"/>
                <w:color w:val="auto"/>
              </w:rPr>
            </w:pPr>
          </w:p>
        </w:tc>
      </w:tr>
      <w:tr>
        <w:trPr>
          <w:trHeight w:val="250"/>
        </w:trPr>
        <w:tc>
          <w:tcPr>
            <w:tcW w:w="5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80" w:type="dxa"/>
            <w:vAlign w:val="bottom"/>
            <w:tcBorders>
              <w:lef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80" w:type="dxa"/>
            <w:vAlign w:val="bottom"/>
            <w:tcBorders>
              <w:left w:val="single" w:sz="8" w:color="CCEEFF"/>
            </w:tcBorders>
            <w:shd w:val="clear" w:color="auto" w:fill="CCEEFF"/>
          </w:tcPr>
          <w:p>
            <w:pPr>
              <w:spacing w:after="0"/>
              <w:rPr>
                <w:sz w:val="21"/>
                <w:szCs w:val="21"/>
                <w:color w:val="auto"/>
              </w:rPr>
            </w:pPr>
          </w:p>
        </w:tc>
      </w:tr>
      <w:tr>
        <w:trPr>
          <w:trHeight w:val="239"/>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15"/>
        </w:trPr>
        <w:tc>
          <w:tcPr>
            <w:tcW w:w="5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 $0.0001 par value; 75,000,000 shares authorized; no shares</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r>
      <w:tr>
        <w:trPr>
          <w:trHeight w:val="248"/>
        </w:trPr>
        <w:tc>
          <w:tcPr>
            <w:tcW w:w="58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issued and outstanding at September 30, 2024 and December 31, 2023</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5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Class A Common Stock - $0.0001 par value; 1,500,000,000 shares</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5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authorized; 97,376,026 shares issued and outstanding at September 30,</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41"/>
        </w:trPr>
        <w:tc>
          <w:tcPr>
            <w:tcW w:w="5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2024 and 94,383,053 shares issued and outstanding at December 31, 2023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20"/>
                <w:szCs w:val="20"/>
                <w:color w:val="auto"/>
              </w:rPr>
            </w:pPr>
          </w:p>
        </w:tc>
      </w:tr>
      <w:tr>
        <w:trPr>
          <w:trHeight w:val="218"/>
        </w:trPr>
        <w:tc>
          <w:tcPr>
            <w:tcW w:w="5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V Common Stock - $0.0001 par value; 500,000,000 shares authorized,</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r>
      <w:tr>
        <w:trPr>
          <w:trHeight w:val="216"/>
        </w:trPr>
        <w:tc>
          <w:tcPr>
            <w:tcW w:w="58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55,486,361 shares issued and outstanding at September 30, 2024 and</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r>
      <w:tr>
        <w:trPr>
          <w:trHeight w:val="248"/>
        </w:trPr>
        <w:tc>
          <w:tcPr>
            <w:tcW w:w="58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left w:val="single" w:sz="8" w:color="CCEEFF"/>
            </w:tcBorders>
            <w:shd w:val="clear" w:color="auto" w:fill="CCEEFF"/>
          </w:tcPr>
          <w:p>
            <w:pPr>
              <w:spacing w:after="0"/>
              <w:rPr>
                <w:sz w:val="21"/>
                <w:szCs w:val="21"/>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left w:val="single" w:sz="8" w:color="CCEEFF"/>
            </w:tcBorders>
            <w:shd w:val="clear" w:color="auto" w:fill="CCEEFF"/>
          </w:tcPr>
          <w:p>
            <w:pPr>
              <w:spacing w:after="0"/>
              <w:rPr>
                <w:sz w:val="21"/>
                <w:szCs w:val="21"/>
                <w:color w:val="auto"/>
              </w:rPr>
            </w:pPr>
          </w:p>
        </w:tc>
      </w:tr>
      <w:tr>
        <w:trPr>
          <w:trHeight w:val="239"/>
        </w:trPr>
        <w:tc>
          <w:tcPr>
            <w:tcW w:w="5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88,762</w:t>
            </w:r>
          </w:p>
        </w:tc>
        <w:tc>
          <w:tcPr>
            <w:tcW w:w="28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80,884</w:t>
            </w:r>
          </w:p>
        </w:tc>
        <w:tc>
          <w:tcPr>
            <w:tcW w:w="280" w:type="dxa"/>
            <w:vAlign w:val="bottom"/>
          </w:tcPr>
          <w:p>
            <w:pPr>
              <w:spacing w:after="0"/>
              <w:rPr>
                <w:sz w:val="20"/>
                <w:szCs w:val="20"/>
                <w:color w:val="auto"/>
              </w:rPr>
            </w:pPr>
          </w:p>
        </w:tc>
      </w:tr>
      <w:tr>
        <w:trPr>
          <w:trHeight w:val="254"/>
        </w:trPr>
        <w:tc>
          <w:tcPr>
            <w:tcW w:w="5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(59,230)</w:t>
            </w:r>
          </w:p>
        </w:tc>
        <w:tc>
          <w:tcPr>
            <w:tcW w:w="280" w:type="dxa"/>
            <w:vAlign w:val="bottom"/>
            <w:tcBorders>
              <w:left w:val="single" w:sz="8" w:color="CCEEFF"/>
            </w:tcBorders>
            <w:shd w:val="clear" w:color="auto" w:fill="CCEEFF"/>
          </w:tcPr>
          <w:p>
            <w:pPr>
              <w:spacing w:after="0"/>
              <w:rPr>
                <w:sz w:val="22"/>
                <w:szCs w:val="22"/>
                <w:color w:val="auto"/>
              </w:rPr>
            </w:pPr>
          </w:p>
        </w:tc>
        <w:tc>
          <w:tcPr>
            <w:tcW w:w="400" w:type="dxa"/>
            <w:vAlign w:val="bottom"/>
            <w:gridSpan w:val="2"/>
            <w:shd w:val="clear" w:color="auto" w:fill="CCEEFF"/>
          </w:tcPr>
          <w:p>
            <w:pPr>
              <w:spacing w:after="0"/>
              <w:rPr>
                <w:sz w:val="22"/>
                <w:szCs w:val="22"/>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(64,518)</w:t>
            </w:r>
          </w:p>
        </w:tc>
      </w:tr>
      <w:tr>
        <w:trPr>
          <w:trHeight w:val="263"/>
        </w:trPr>
        <w:tc>
          <w:tcPr>
            <w:tcW w:w="5860" w:type="dxa"/>
            <w:vAlign w:val="bottom"/>
            <w:tcBorders>
              <w:top w:val="single" w:sz="8" w:color="CCEEFF"/>
            </w:tcBorders>
            <w:gridSpan w:val="3"/>
          </w:tcPr>
          <w:p>
            <w:pPr>
              <w:ind w:left="360"/>
              <w:spacing w:after="0"/>
              <w:rPr>
                <w:sz w:val="20"/>
                <w:szCs w:val="20"/>
                <w:color w:val="auto"/>
              </w:rPr>
            </w:pPr>
            <w:r>
              <w:rPr>
                <w:rFonts w:ascii="Times New Roman" w:cs="Times New Roman" w:eastAsia="Times New Roman" w:hAnsi="Times New Roman"/>
                <w:sz w:val="18"/>
                <w:szCs w:val="18"/>
                <w:color w:val="auto"/>
              </w:rPr>
              <w:t>Total WM Technology, Inc. stockholders’ equity</w:t>
            </w:r>
          </w:p>
        </w:tc>
        <w:tc>
          <w:tcPr>
            <w:tcW w:w="280" w:type="dxa"/>
            <w:vAlign w:val="bottom"/>
            <w:tcBorders>
              <w:top w:val="single" w:sz="8" w:color="CCEEFF"/>
            </w:tcBorders>
          </w:tcPr>
          <w:p>
            <w:pPr>
              <w:spacing w:after="0"/>
              <w:rPr>
                <w:sz w:val="22"/>
                <w:szCs w:val="22"/>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29,547</w:t>
            </w:r>
          </w:p>
        </w:tc>
        <w:tc>
          <w:tcPr>
            <w:tcW w:w="280" w:type="dxa"/>
            <w:vAlign w:val="bottom"/>
            <w:tcBorders>
              <w:top w:val="single" w:sz="8" w:color="CCEEFF"/>
            </w:tcBorders>
          </w:tcPr>
          <w:p>
            <w:pPr>
              <w:spacing w:after="0"/>
              <w:rPr>
                <w:sz w:val="22"/>
                <w:szCs w:val="22"/>
                <w:color w:val="auto"/>
              </w:rPr>
            </w:pPr>
          </w:p>
        </w:tc>
        <w:tc>
          <w:tcPr>
            <w:tcW w:w="400" w:type="dxa"/>
            <w:vAlign w:val="bottom"/>
            <w:tcBorders>
              <w:top w:val="single" w:sz="8" w:color="CCEEFF"/>
            </w:tcBorders>
            <w:gridSpan w:val="2"/>
          </w:tcPr>
          <w:p>
            <w:pPr>
              <w:spacing w:after="0"/>
              <w:rPr>
                <w:sz w:val="22"/>
                <w:szCs w:val="22"/>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16,380</w:t>
            </w:r>
          </w:p>
        </w:tc>
        <w:tc>
          <w:tcPr>
            <w:tcW w:w="280" w:type="dxa"/>
            <w:vAlign w:val="bottom"/>
            <w:tcBorders>
              <w:top w:val="single" w:sz="8" w:color="CCEEFF"/>
            </w:tcBorders>
          </w:tcPr>
          <w:p>
            <w:pPr>
              <w:spacing w:after="0"/>
              <w:rPr>
                <w:sz w:val="22"/>
                <w:szCs w:val="22"/>
                <w:color w:val="auto"/>
              </w:rPr>
            </w:pPr>
          </w:p>
        </w:tc>
      </w:tr>
      <w:tr>
        <w:trPr>
          <w:trHeight w:val="245"/>
        </w:trPr>
        <w:tc>
          <w:tcPr>
            <w:tcW w:w="5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85,443</w:t>
            </w:r>
          </w:p>
        </w:tc>
        <w:tc>
          <w:tcPr>
            <w:tcW w:w="280" w:type="dxa"/>
            <w:vAlign w:val="bottom"/>
            <w:tcBorders>
              <w:left w:val="single" w:sz="8" w:color="CCEEFF"/>
            </w:tcBorders>
            <w:shd w:val="clear" w:color="auto" w:fill="CCEEFF"/>
          </w:tcPr>
          <w:p>
            <w:pPr>
              <w:spacing w:after="0"/>
              <w:rPr>
                <w:sz w:val="21"/>
                <w:szCs w:val="21"/>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86,771</w:t>
            </w:r>
          </w:p>
        </w:tc>
        <w:tc>
          <w:tcPr>
            <w:tcW w:w="280" w:type="dxa"/>
            <w:vAlign w:val="bottom"/>
            <w:tcBorders>
              <w:left w:val="single" w:sz="8" w:color="CCEEFF"/>
            </w:tcBorders>
            <w:shd w:val="clear" w:color="auto" w:fill="CCEEFF"/>
          </w:tcPr>
          <w:p>
            <w:pPr>
              <w:spacing w:after="0"/>
              <w:rPr>
                <w:sz w:val="21"/>
                <w:szCs w:val="21"/>
                <w:color w:val="auto"/>
              </w:rPr>
            </w:pPr>
          </w:p>
        </w:tc>
      </w:tr>
      <w:tr>
        <w:trPr>
          <w:trHeight w:val="31"/>
        </w:trPr>
        <w:tc>
          <w:tcPr>
            <w:tcW w:w="8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Borders>
              <w:left w:val="single" w:sz="8" w:color="CCEEFF"/>
            </w:tcBorders>
            <w:shd w:val="clear" w:color="auto" w:fill="CCEEFF"/>
          </w:tcPr>
          <w:p>
            <w:pPr>
              <w:spacing w:after="0"/>
              <w:rPr>
                <w:sz w:val="2"/>
                <w:szCs w:val="2"/>
                <w:color w:val="auto"/>
              </w:rPr>
            </w:pPr>
          </w:p>
        </w:tc>
      </w:tr>
      <w:tr>
        <w:trPr>
          <w:trHeight w:val="263"/>
        </w:trPr>
        <w:tc>
          <w:tcPr>
            <w:tcW w:w="5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114,990</w:t>
            </w:r>
          </w:p>
        </w:tc>
        <w:tc>
          <w:tcPr>
            <w:tcW w:w="280" w:type="dxa"/>
            <w:vAlign w:val="bottom"/>
          </w:tcPr>
          <w:p>
            <w:pPr>
              <w:spacing w:after="0"/>
              <w:rPr>
                <w:sz w:val="22"/>
                <w:szCs w:val="22"/>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103,151</w:t>
            </w:r>
          </w:p>
        </w:tc>
        <w:tc>
          <w:tcPr>
            <w:tcW w:w="280" w:type="dxa"/>
            <w:vAlign w:val="bottom"/>
          </w:tcPr>
          <w:p>
            <w:pPr>
              <w:spacing w:after="0"/>
              <w:rPr>
                <w:sz w:val="22"/>
                <w:szCs w:val="22"/>
                <w:color w:val="auto"/>
              </w:rPr>
            </w:pPr>
          </w:p>
        </w:tc>
      </w:tr>
      <w:tr>
        <w:trPr>
          <w:trHeight w:val="27"/>
        </w:trPr>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284"/>
        </w:trPr>
        <w:tc>
          <w:tcPr>
            <w:tcW w:w="586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173,568</w:t>
            </w:r>
          </w:p>
        </w:tc>
        <w:tc>
          <w:tcPr>
            <w:tcW w:w="280" w:type="dxa"/>
            <w:vAlign w:val="bottom"/>
            <w:tcBorders>
              <w:left w:val="single" w:sz="8" w:color="CCEEFF"/>
            </w:tcBorders>
            <w:shd w:val="clear" w:color="auto" w:fill="CCEEFF"/>
          </w:tcPr>
          <w:p>
            <w:pPr>
              <w:spacing w:after="0"/>
              <w:rPr>
                <w:sz w:val="24"/>
                <w:szCs w:val="24"/>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167,021</w:t>
            </w:r>
          </w:p>
        </w:tc>
        <w:tc>
          <w:tcPr>
            <w:tcW w:w="280" w:type="dxa"/>
            <w:vAlign w:val="bottom"/>
            <w:tcBorders>
              <w:left w:val="single" w:sz="8" w:color="CCEEFF"/>
            </w:tcBorders>
            <w:shd w:val="clear" w:color="auto" w:fill="CCEEFF"/>
          </w:tcPr>
          <w:p>
            <w:pPr>
              <w:spacing w:after="0"/>
              <w:rPr>
                <w:sz w:val="24"/>
                <w:szCs w:val="24"/>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3" w:right="1440" w:bottom="1440" w:gutter="0" w:footer="0" w:header="0"/>
        </w:sectPr>
      </w:pPr>
    </w:p>
    <w:bookmarkStart w:id="141" w:name="page142"/>
    <w:bookmarkEnd w:id="1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800" w:type="dxa"/>
            <w:vAlign w:val="bottom"/>
          </w:tcPr>
          <w:p>
            <w:pPr>
              <w:spacing w:after="0"/>
              <w:rPr>
                <w:sz w:val="16"/>
                <w:szCs w:val="16"/>
                <w:color w:val="auto"/>
              </w:rPr>
            </w:pPr>
          </w:p>
        </w:tc>
        <w:tc>
          <w:tcPr>
            <w:tcW w:w="228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2240" w:type="dxa"/>
            <w:vAlign w:val="bottom"/>
            <w:gridSpan w:val="10"/>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3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54"/>
        </w:trPr>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11"/>
              <w:spacing w:after="0" w:line="154"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191"/>
              <w:spacing w:after="0" w:line="154"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44"/>
        </w:trPr>
        <w:tc>
          <w:tcPr>
            <w:tcW w:w="38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3"/>
          </w:tcPr>
          <w:p>
            <w:pPr>
              <w:ind w:left="60"/>
              <w:spacing w:after="0" w:line="244" w:lineRule="exact"/>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1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4"/>
          </w:tcPr>
          <w:p>
            <w:pPr>
              <w:jc w:val="center"/>
              <w:ind w:right="80"/>
              <w:spacing w:after="0" w:line="244" w:lineRule="exact"/>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r>
      <w:tr>
        <w:trPr>
          <w:trHeight w:val="25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46,552</w:t>
            </w:r>
          </w:p>
        </w:tc>
        <w:tc>
          <w:tcPr>
            <w:tcW w:w="40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46,687</w:t>
            </w:r>
          </w:p>
        </w:tc>
        <w:tc>
          <w:tcPr>
            <w:tcW w:w="100" w:type="dxa"/>
            <w:vAlign w:val="bottom"/>
            <w:tcBorders>
              <w:left w:val="single" w:sz="8" w:color="CCEEFF"/>
            </w:tcBorders>
            <w:shd w:val="clear" w:color="auto" w:fill="CCEEFF"/>
          </w:tcPr>
          <w:p>
            <w:pPr>
              <w:spacing w:after="0"/>
              <w:rPr>
                <w:sz w:val="21"/>
                <w:szCs w:val="21"/>
                <w:color w:val="auto"/>
              </w:rPr>
            </w:pPr>
          </w:p>
        </w:tc>
        <w:tc>
          <w:tcPr>
            <w:tcW w:w="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136,844</w:t>
            </w:r>
          </w:p>
        </w:tc>
        <w:tc>
          <w:tcPr>
            <w:tcW w:w="80" w:type="dxa"/>
            <w:vAlign w:val="bottom"/>
            <w:tcBorders>
              <w:left w:val="single" w:sz="8" w:color="CCEEFF"/>
            </w:tcBorders>
            <w:shd w:val="clear" w:color="auto" w:fill="CCEEFF"/>
          </w:tcPr>
          <w:p>
            <w:pPr>
              <w:spacing w:after="0"/>
              <w:rPr>
                <w:sz w:val="21"/>
                <w:szCs w:val="21"/>
                <w:color w:val="auto"/>
              </w:rPr>
            </w:pPr>
          </w:p>
        </w:tc>
        <w:tc>
          <w:tcPr>
            <w:tcW w:w="38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141,526</w:t>
            </w:r>
          </w:p>
        </w:tc>
        <w:tc>
          <w:tcPr>
            <w:tcW w:w="80" w:type="dxa"/>
            <w:vAlign w:val="bottom"/>
            <w:tcBorders>
              <w:lef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3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5"/>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 (exclusive of depreciation and</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48"/>
        </w:trPr>
        <w:tc>
          <w:tcPr>
            <w:tcW w:w="3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shown separately below)</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0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w:t>
            </w:r>
          </w:p>
        </w:tc>
        <w:tc>
          <w:tcPr>
            <w:tcW w:w="8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9,748</w:t>
            </w:r>
          </w:p>
        </w:tc>
        <w:tc>
          <w:tcPr>
            <w:tcW w:w="80" w:type="dxa"/>
            <w:vAlign w:val="bottom"/>
            <w:tcBorders>
              <w:lef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39"/>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7"/>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10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28,355</w:t>
            </w:r>
          </w:p>
        </w:tc>
        <w:tc>
          <w:tcPr>
            <w:tcW w:w="8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27,882</w:t>
            </w:r>
          </w:p>
        </w:tc>
        <w:tc>
          <w:tcPr>
            <w:tcW w:w="80" w:type="dxa"/>
            <w:vAlign w:val="bottom"/>
            <w:tcBorders>
              <w:lef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39"/>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16,494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55,839</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7"/>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0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9,641</w:t>
            </w:r>
          </w:p>
        </w:tc>
        <w:tc>
          <w:tcPr>
            <w:tcW w:w="8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9,417</w:t>
            </w:r>
          </w:p>
        </w:tc>
        <w:tc>
          <w:tcPr>
            <w:tcW w:w="80" w:type="dxa"/>
            <w:vAlign w:val="bottom"/>
            <w:tcBorders>
              <w:lef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39"/>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1"/>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63"/>
        </w:trPr>
        <w:tc>
          <w:tcPr>
            <w:tcW w:w="3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41,348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52,235</w:t>
            </w:r>
          </w:p>
        </w:tc>
        <w:tc>
          <w:tcPr>
            <w:tcW w:w="100" w:type="dxa"/>
            <w:vAlign w:val="bottom"/>
            <w:tcBorders>
              <w:lef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126,648</w:t>
            </w:r>
          </w:p>
        </w:tc>
        <w:tc>
          <w:tcPr>
            <w:tcW w:w="80" w:type="dxa"/>
            <w:vAlign w:val="bottom"/>
            <w:tcBorders>
              <w:lef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147,439</w:t>
            </w:r>
          </w:p>
        </w:tc>
        <w:tc>
          <w:tcPr>
            <w:tcW w:w="80" w:type="dxa"/>
            <w:vAlign w:val="bottom"/>
            <w:tcBorders>
              <w:left w:val="single" w:sz="8" w:color="CCEEFF"/>
            </w:tcBorders>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r>
      <w:tr>
        <w:trPr>
          <w:trHeight w:val="34"/>
        </w:trPr>
        <w:tc>
          <w:tcPr>
            <w:tcW w:w="3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Borders>
              <w:left w:val="single" w:sz="8" w:color="auto"/>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r>
      <w:tr>
        <w:trPr>
          <w:trHeight w:val="26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(5,913)</w:t>
            </w:r>
          </w:p>
        </w:tc>
      </w:tr>
      <w:tr>
        <w:trPr>
          <w:trHeight w:val="25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(expenses), net</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39"/>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(780)</w:t>
            </w:r>
          </w:p>
        </w:tc>
      </w:tr>
      <w:tr>
        <w:trPr>
          <w:trHeight w:val="247"/>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(689)</w:t>
            </w:r>
          </w:p>
        </w:tc>
      </w:tr>
      <w:tr>
        <w:trPr>
          <w:trHeight w:val="239"/>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1"/>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3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100" w:type="dxa"/>
            <w:vAlign w:val="bottom"/>
            <w:tcBorders>
              <w:lef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8,543</w:t>
            </w:r>
          </w:p>
        </w:tc>
        <w:tc>
          <w:tcPr>
            <w:tcW w:w="80" w:type="dxa"/>
            <w:vAlign w:val="bottom"/>
            <w:tcBorders>
              <w:lef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(4,498)</w:t>
            </w:r>
          </w:p>
        </w:tc>
      </w:tr>
      <w:tr>
        <w:trPr>
          <w:trHeight w:val="239"/>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31"/>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3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100" w:type="dxa"/>
            <w:vAlign w:val="bottom"/>
            <w:tcBorders>
              <w:lef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w:t>
            </w:r>
          </w:p>
        </w:tc>
        <w:tc>
          <w:tcPr>
            <w:tcW w:w="80" w:type="dxa"/>
            <w:vAlign w:val="bottom"/>
            <w:tcBorders>
              <w:lef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(4,498)</w:t>
            </w:r>
          </w:p>
        </w:tc>
      </w:tr>
      <w:tr>
        <w:trPr>
          <w:trHeight w:val="211"/>
        </w:trPr>
        <w:tc>
          <w:tcPr>
            <w:tcW w:w="3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 attributable to</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8"/>
        </w:trPr>
        <w:tc>
          <w:tcPr>
            <w:tcW w:w="3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40" w:type="dxa"/>
            <w:vAlign w:val="bottom"/>
          </w:tcPr>
          <w:p>
            <w:pPr>
              <w:spacing w:after="0"/>
              <w:rPr>
                <w:sz w:val="21"/>
                <w:szCs w:val="21"/>
                <w:color w:val="auto"/>
              </w:rPr>
            </w:pPr>
          </w:p>
        </w:tc>
      </w:tr>
      <w:tr>
        <w:trPr>
          <w:trHeight w:val="245"/>
        </w:trPr>
        <w:tc>
          <w:tcPr>
            <w:tcW w:w="3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 attributable to WM</w:t>
            </w:r>
          </w:p>
        </w:tc>
        <w:tc>
          <w:tcPr>
            <w:tcW w:w="100" w:type="dxa"/>
            <w:vAlign w:val="bottom"/>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right w:val="single" w:sz="8" w:color="CCEEFF"/>
            </w:tcBorders>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lef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75"/>
        </w:trPr>
        <w:tc>
          <w:tcPr>
            <w:tcW w:w="3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Technology, Inc.</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3,332</w:t>
            </w:r>
          </w:p>
        </w:tc>
        <w:tc>
          <w:tcPr>
            <w:tcW w:w="40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Borders>
              <w:left w:val="single" w:sz="8" w:color="CCEEFF"/>
            </w:tcBorders>
            <w:shd w:val="clear" w:color="auto" w:fill="CCEEFF"/>
          </w:tcPr>
          <w:p>
            <w:pPr>
              <w:spacing w:after="0"/>
              <w:rPr>
                <w:sz w:val="23"/>
                <w:szCs w:val="23"/>
                <w:color w:val="auto"/>
              </w:rPr>
            </w:pPr>
          </w:p>
        </w:tc>
        <w:tc>
          <w:tcPr>
            <w:tcW w:w="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80" w:type="dxa"/>
            <w:vAlign w:val="bottom"/>
            <w:tcBorders>
              <w:left w:val="single" w:sz="8" w:color="CCEEFF"/>
            </w:tcBorders>
            <w:shd w:val="clear" w:color="auto" w:fill="CCEEFF"/>
          </w:tcPr>
          <w:p>
            <w:pPr>
              <w:spacing w:after="0"/>
              <w:rPr>
                <w:sz w:val="23"/>
                <w:szCs w:val="23"/>
                <w:color w:val="auto"/>
              </w:rPr>
            </w:pPr>
          </w:p>
        </w:tc>
        <w:tc>
          <w:tcPr>
            <w:tcW w:w="38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40" w:type="dxa"/>
            <w:vAlign w:val="bottom"/>
            <w:shd w:val="clear" w:color="auto" w:fill="CCEEFF"/>
          </w:tcPr>
          <w:p>
            <w:pPr>
              <w:spacing w:after="0"/>
              <w:rPr>
                <w:sz w:val="23"/>
                <w:szCs w:val="23"/>
                <w:color w:val="auto"/>
              </w:rPr>
            </w:pPr>
          </w:p>
        </w:tc>
      </w:tr>
      <w:tr>
        <w:trPr>
          <w:trHeight w:val="270"/>
        </w:trPr>
        <w:tc>
          <w:tcPr>
            <w:tcW w:w="38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left w:val="single" w:sz="8" w:color="CCEEFF"/>
            </w:tcBorders>
            <w:shd w:val="clear" w:color="auto" w:fill="CCEEFF"/>
          </w:tcPr>
          <w:p>
            <w:pPr>
              <w:spacing w:after="0"/>
              <w:rPr>
                <w:sz w:val="21"/>
                <w:szCs w:val="21"/>
                <w:color w:val="auto"/>
              </w:rPr>
            </w:pPr>
          </w:p>
        </w:tc>
        <w:tc>
          <w:tcPr>
            <w:tcW w:w="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Borders>
              <w:left w:val="single" w:sz="8" w:color="CCEEFF"/>
            </w:tcBorders>
            <w:shd w:val="clear" w:color="auto" w:fill="CCEEFF"/>
          </w:tcPr>
          <w:p>
            <w:pPr>
              <w:spacing w:after="0"/>
              <w:rPr>
                <w:sz w:val="21"/>
                <w:szCs w:val="21"/>
                <w:color w:val="auto"/>
              </w:rPr>
            </w:pPr>
          </w:p>
        </w:tc>
        <w:tc>
          <w:tcPr>
            <w:tcW w:w="38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r>
      <w:tr>
        <w:trPr>
          <w:trHeight w:val="239"/>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0"/>
                <w:szCs w:val="20"/>
                <w:color w:val="auto"/>
              </w:rPr>
            </w:pPr>
          </w:p>
        </w:tc>
        <w:tc>
          <w:tcPr>
            <w:tcW w:w="40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0"/>
                <w:szCs w:val="20"/>
                <w:color w:val="auto"/>
              </w:rPr>
            </w:pP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20"/>
                <w:szCs w:val="20"/>
                <w:color w:val="auto"/>
              </w:rPr>
            </w:pPr>
          </w:p>
        </w:tc>
        <w:tc>
          <w:tcPr>
            <w:tcW w:w="38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r>
      <w:tr>
        <w:trPr>
          <w:trHeight w:val="247"/>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39"/>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97,166,788</w:t>
            </w:r>
          </w:p>
        </w:tc>
        <w:tc>
          <w:tcPr>
            <w:tcW w:w="100" w:type="dxa"/>
            <w:vAlign w:val="bottom"/>
          </w:tcPr>
          <w:p>
            <w:pPr>
              <w:spacing w:after="0"/>
              <w:rPr>
                <w:sz w:val="20"/>
                <w:szCs w:val="20"/>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93,651,871</w:t>
            </w:r>
          </w:p>
        </w:tc>
        <w:tc>
          <w:tcPr>
            <w:tcW w:w="100" w:type="dxa"/>
            <w:vAlign w:val="bottom"/>
          </w:tcPr>
          <w:p>
            <w:pPr>
              <w:spacing w:after="0"/>
              <w:rPr>
                <w:sz w:val="20"/>
                <w:szCs w:val="20"/>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95,743,064</w:t>
            </w:r>
          </w:p>
        </w:tc>
        <w:tc>
          <w:tcPr>
            <w:tcW w:w="80" w:type="dxa"/>
            <w:vAlign w:val="bottom"/>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92,947,191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4"/>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97,811,251</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93,651,871</w:t>
            </w:r>
          </w:p>
        </w:tc>
        <w:tc>
          <w:tcPr>
            <w:tcW w:w="100" w:type="dxa"/>
            <w:vAlign w:val="bottom"/>
            <w:tcBorders>
              <w:left w:val="single" w:sz="8" w:color="CCEEFF"/>
            </w:tcBorders>
            <w:shd w:val="clear" w:color="auto" w:fill="CCEEFF"/>
          </w:tcPr>
          <w:p>
            <w:pPr>
              <w:spacing w:after="0"/>
              <w:rPr>
                <w:sz w:val="20"/>
                <w:szCs w:val="20"/>
                <w:color w:val="auto"/>
              </w:rPr>
            </w:pPr>
          </w:p>
        </w:tc>
        <w:tc>
          <w:tcPr>
            <w:tcW w:w="108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96,761,731</w:t>
            </w:r>
          </w:p>
        </w:tc>
        <w:tc>
          <w:tcPr>
            <w:tcW w:w="80" w:type="dxa"/>
            <w:vAlign w:val="bottom"/>
            <w:tcBorders>
              <w:left w:val="single" w:sz="8" w:color="CCEEFF"/>
            </w:tcBorders>
            <w:shd w:val="clear" w:color="auto" w:fill="CCEEFF"/>
          </w:tcPr>
          <w:p>
            <w:pPr>
              <w:spacing w:after="0"/>
              <w:rPr>
                <w:sz w:val="20"/>
                <w:szCs w:val="20"/>
                <w:color w:val="auto"/>
              </w:rPr>
            </w:pP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92,947,191</w:t>
            </w:r>
          </w:p>
        </w:tc>
        <w:tc>
          <w:tcPr>
            <w:tcW w:w="80" w:type="dxa"/>
            <w:vAlign w:val="bottom"/>
            <w:tcBorders>
              <w:lef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54"/>
        </w:trPr>
        <w:tc>
          <w:tcPr>
            <w:tcW w:w="38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00" w:type="dxa"/>
            <w:vAlign w:val="bottom"/>
            <w:tcBorders>
              <w:left w:val="single" w:sz="8" w:color="CCEEFF"/>
            </w:tcBorders>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700" w:type="dxa"/>
            <w:vAlign w:val="bottom"/>
            <w:tcBorders>
              <w:right w:val="single" w:sz="8" w:color="CCEEFF"/>
            </w:tcBorders>
            <w:shd w:val="clear" w:color="auto" w:fill="CCEEFF"/>
          </w:tcPr>
          <w:p>
            <w:pPr>
              <w:spacing w:after="0"/>
              <w:rPr>
                <w:sz w:val="4"/>
                <w:szCs w:val="4"/>
                <w:color w:val="auto"/>
              </w:rPr>
            </w:pPr>
          </w:p>
        </w:tc>
        <w:tc>
          <w:tcPr>
            <w:tcW w:w="80" w:type="dxa"/>
            <w:vAlign w:val="bottom"/>
            <w:tcBorders>
              <w:left w:val="single" w:sz="8" w:color="CCEEFF"/>
            </w:tcBorders>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80" w:type="dxa"/>
            <w:vAlign w:val="bottom"/>
            <w:tcBorders>
              <w:left w:val="single" w:sz="8" w:color="CCEEFF"/>
            </w:tcBorders>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jc w:val="both"/>
        <w:ind w:left="640" w:right="299" w:hanging="348"/>
        <w:spacing w:after="0" w:line="241" w:lineRule="auto"/>
        <w:tabs>
          <w:tab w:leader="none" w:pos="64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nine months ended September 30, 2023, net revenues and general and administrative expenses have been retrospectively adjusted to reflect the restatement of previously reported revenue and credit losses. See Note 2, “Summary of Significant Accounting Policies,” for further information.</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2" w:name="page143"/>
    <w:bookmarkEnd w:id="1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40" w:type="dxa"/>
            <w:vAlign w:val="bottom"/>
            <w:gridSpan w:val="1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and Nine Months Ended September 30, 2024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900" w:type="dxa"/>
            <w:vAlign w:val="bottom"/>
          </w:tcPr>
          <w:p>
            <w:pPr>
              <w:spacing w:after="0"/>
              <w:rPr>
                <w:sz w:val="12"/>
                <w:szCs w:val="12"/>
                <w:color w:val="auto"/>
              </w:rPr>
            </w:pPr>
          </w:p>
        </w:tc>
        <w:tc>
          <w:tcPr>
            <w:tcW w:w="1120" w:type="dxa"/>
            <w:vAlign w:val="bottom"/>
            <w:gridSpan w:val="4"/>
          </w:tcPr>
          <w:p>
            <w:pPr>
              <w:jc w:val="right"/>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2"/>
                <w:szCs w:val="12"/>
                <w:color w:val="auto"/>
              </w:rPr>
            </w:pPr>
          </w:p>
        </w:tc>
        <w:tc>
          <w:tcPr>
            <w:tcW w:w="1120" w:type="dxa"/>
            <w:vAlign w:val="bottom"/>
            <w:gridSpan w:val="4"/>
          </w:tcPr>
          <w:p>
            <w:pPr>
              <w:jc w:val="right"/>
              <w:ind w:right="80"/>
              <w:spacing w:after="0" w:line="14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WM</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900" w:type="dxa"/>
            <w:vAlign w:val="bottom"/>
          </w:tcPr>
          <w:p>
            <w:pPr>
              <w:spacing w:after="0"/>
              <w:rPr>
                <w:sz w:val="7"/>
                <w:szCs w:val="7"/>
                <w:color w:val="auto"/>
              </w:rPr>
            </w:pPr>
          </w:p>
        </w:tc>
        <w:tc>
          <w:tcPr>
            <w:tcW w:w="1120" w:type="dxa"/>
            <w:vAlign w:val="bottom"/>
            <w:gridSpan w:val="4"/>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80" w:type="dxa"/>
            <w:vAlign w:val="bottom"/>
          </w:tcPr>
          <w:p>
            <w:pPr>
              <w:spacing w:after="0"/>
              <w:rPr>
                <w:sz w:val="7"/>
                <w:szCs w:val="7"/>
                <w:color w:val="auto"/>
              </w:rPr>
            </w:pPr>
          </w:p>
        </w:tc>
        <w:tc>
          <w:tcPr>
            <w:tcW w:w="112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Class V</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900" w:type="dxa"/>
            <w:vAlign w:val="bottom"/>
          </w:tcPr>
          <w:p>
            <w:pPr>
              <w:spacing w:after="0"/>
              <w:rPr>
                <w:sz w:val="9"/>
                <w:szCs w:val="9"/>
                <w:color w:val="auto"/>
              </w:rPr>
            </w:pPr>
          </w:p>
        </w:tc>
        <w:tc>
          <w:tcPr>
            <w:tcW w:w="112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3"/>
            <w:vMerge w:val="restart"/>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3"/>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Technology, Inc.</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restart"/>
          </w:tcPr>
          <w:p>
            <w:pPr>
              <w:jc w:val="center"/>
              <w:ind w:right="60"/>
              <w:spacing w:after="0" w:line="127" w:lineRule="exact"/>
              <w:rPr>
                <w:sz w:val="20"/>
                <w:szCs w:val="20"/>
                <w:color w:val="auto"/>
              </w:rPr>
            </w:pPr>
            <w:r>
              <w:rPr>
                <w:rFonts w:ascii="Times New Roman" w:cs="Times New Roman" w:eastAsia="Times New Roman" w:hAnsi="Times New Roman"/>
                <w:sz w:val="14"/>
                <w:szCs w:val="14"/>
                <w:b w:val="1"/>
                <w:bCs w:val="1"/>
                <w:color w:val="auto"/>
              </w:rPr>
              <w:t>Non-</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19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1900" w:type="dxa"/>
            <w:vAlign w:val="bottom"/>
          </w:tcPr>
          <w:p>
            <w:pPr>
              <w:spacing w:after="0"/>
              <w:rPr>
                <w:sz w:val="12"/>
                <w:szCs w:val="12"/>
                <w:color w:val="auto"/>
              </w:rPr>
            </w:pPr>
          </w:p>
        </w:tc>
        <w:tc>
          <w:tcPr>
            <w:tcW w:w="680" w:type="dxa"/>
            <w:vAlign w:val="bottom"/>
            <w:vMerge w:val="restart"/>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300" w:type="dxa"/>
            <w:vAlign w:val="bottom"/>
            <w:gridSpan w:val="2"/>
          </w:tcPr>
          <w:p>
            <w:pPr>
              <w:jc w:val="right"/>
              <w:ind w:right="60"/>
              <w:spacing w:after="0" w:line="145" w:lineRule="exact"/>
              <w:rPr>
                <w:sz w:val="20"/>
                <w:szCs w:val="20"/>
                <w:color w:val="auto"/>
              </w:rPr>
            </w:pPr>
            <w:r>
              <w:rPr>
                <w:rFonts w:ascii="Times New Roman" w:cs="Times New Roman" w:eastAsia="Times New Roman" w:hAnsi="Times New Roman"/>
                <w:sz w:val="14"/>
                <w:szCs w:val="14"/>
                <w:b w:val="1"/>
                <w:bCs w:val="1"/>
                <w:color w:val="auto"/>
              </w:rPr>
              <w:t>Par</w:t>
            </w:r>
          </w:p>
        </w:tc>
        <w:tc>
          <w:tcPr>
            <w:tcW w:w="80" w:type="dxa"/>
            <w:vAlign w:val="bottom"/>
          </w:tcPr>
          <w:p>
            <w:pPr>
              <w:spacing w:after="0"/>
              <w:rPr>
                <w:sz w:val="12"/>
                <w:szCs w:val="12"/>
                <w:color w:val="auto"/>
              </w:rPr>
            </w:pPr>
          </w:p>
        </w:tc>
        <w:tc>
          <w:tcPr>
            <w:tcW w:w="680" w:type="dxa"/>
            <w:vAlign w:val="bottom"/>
            <w:vMerge w:val="restart"/>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300" w:type="dxa"/>
            <w:vAlign w:val="bottom"/>
            <w:gridSpan w:val="2"/>
          </w:tcPr>
          <w:p>
            <w:pPr>
              <w:jc w:val="right"/>
              <w:ind w:right="60"/>
              <w:spacing w:after="0" w:line="145" w:lineRule="exact"/>
              <w:rPr>
                <w:sz w:val="20"/>
                <w:szCs w:val="20"/>
                <w:color w:val="auto"/>
              </w:rPr>
            </w:pPr>
            <w:r>
              <w:rPr>
                <w:rFonts w:ascii="Times New Roman" w:cs="Times New Roman" w:eastAsia="Times New Roman" w:hAnsi="Times New Roman"/>
                <w:sz w:val="14"/>
                <w:szCs w:val="14"/>
                <w:b w:val="1"/>
                <w:bCs w:val="1"/>
                <w:color w:val="auto"/>
              </w:rPr>
              <w:t>Par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80" w:type="dxa"/>
            <w:vAlign w:val="bottom"/>
          </w:tcPr>
          <w:p>
            <w:pPr>
              <w:spacing w:after="0"/>
              <w:rPr>
                <w:sz w:val="12"/>
                <w:szCs w:val="12"/>
                <w:color w:val="auto"/>
              </w:rPr>
            </w:pPr>
          </w:p>
        </w:tc>
        <w:tc>
          <w:tcPr>
            <w:tcW w:w="680" w:type="dxa"/>
            <w:vAlign w:val="bottom"/>
            <w:gridSpan w:val="3"/>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9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79"/>
              </w:rPr>
              <w:t>Value</w:t>
            </w:r>
          </w:p>
        </w:tc>
        <w:tc>
          <w:tcPr>
            <w:tcW w:w="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79"/>
              </w:rPr>
              <w:t>Value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6"/>
                <w:szCs w:val="16"/>
                <w:color w:val="auto"/>
              </w:rPr>
            </w:pP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8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19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 of December 31, 2023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94,383,053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$ 9</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55,486,361</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$ 5</w:t>
            </w: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$80,884</w:t>
            </w:r>
          </w:p>
        </w:tc>
        <w:tc>
          <w:tcPr>
            <w:tcW w:w="10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$(64,518)</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$16,380</w:t>
            </w:r>
          </w:p>
        </w:tc>
        <w:tc>
          <w:tcPr>
            <w:tcW w:w="260" w:type="dxa"/>
            <w:vAlign w:val="bottom"/>
            <w:tcBorders>
              <w:left w:val="single" w:sz="8" w:color="CCEEFF"/>
            </w:tcBorders>
            <w:shd w:val="clear" w:color="auto" w:fill="CCEEFF"/>
          </w:tcPr>
          <w:p>
            <w:pPr>
              <w:spacing w:after="0"/>
              <w:rPr>
                <w:sz w:val="18"/>
                <w:szCs w:val="18"/>
                <w:color w:val="auto"/>
              </w:rPr>
            </w:pPr>
          </w:p>
        </w:tc>
        <w:tc>
          <w:tcPr>
            <w:tcW w:w="7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$86,771</w:t>
            </w: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$103,151</w:t>
            </w:r>
          </w:p>
        </w:tc>
        <w:tc>
          <w:tcPr>
            <w:tcW w:w="0" w:type="dxa"/>
            <w:vAlign w:val="bottom"/>
          </w:tcPr>
          <w:p>
            <w:pPr>
              <w:spacing w:after="0"/>
              <w:rPr>
                <w:sz w:val="1"/>
                <w:szCs w:val="1"/>
                <w:color w:val="auto"/>
              </w:rPr>
            </w:pPr>
          </w:p>
        </w:tc>
      </w:tr>
      <w:tr>
        <w:trPr>
          <w:trHeight w:val="200"/>
        </w:trPr>
        <w:tc>
          <w:tcPr>
            <w:tcW w:w="19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Stock-based compensation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3,115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3,115</w:t>
            </w:r>
          </w:p>
        </w:tc>
        <w:tc>
          <w:tcPr>
            <w:tcW w:w="26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100" w:type="dxa"/>
            <w:vAlign w:val="bottom"/>
          </w:tcPr>
          <w:p>
            <w:pPr>
              <w:spacing w:after="0"/>
              <w:rPr>
                <w:sz w:val="17"/>
                <w:szCs w:val="17"/>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3,175</w:t>
            </w:r>
          </w:p>
        </w:tc>
        <w:tc>
          <w:tcPr>
            <w:tcW w:w="0" w:type="dxa"/>
            <w:vAlign w:val="bottom"/>
          </w:tcPr>
          <w:p>
            <w:pPr>
              <w:spacing w:after="0"/>
              <w:rPr>
                <w:sz w:val="1"/>
                <w:szCs w:val="1"/>
                <w:color w:val="auto"/>
              </w:rPr>
            </w:pPr>
          </w:p>
        </w:tc>
      </w:tr>
      <w:tr>
        <w:trPr>
          <w:trHeight w:val="160"/>
        </w:trPr>
        <w:tc>
          <w:tcPr>
            <w:tcW w:w="1900" w:type="dxa"/>
            <w:vAlign w:val="bottom"/>
            <w:tcBorders>
              <w:right w:val="single" w:sz="8" w:color="CCEEFF"/>
            </w:tcBorders>
            <w:shd w:val="clear" w:color="auto" w:fill="CCEEFF"/>
          </w:tcPr>
          <w:p>
            <w:pPr>
              <w:ind w:left="180"/>
              <w:spacing w:after="0" w:line="161" w:lineRule="exact"/>
              <w:rPr>
                <w:sz w:val="20"/>
                <w:szCs w:val="20"/>
                <w:color w:val="auto"/>
              </w:rPr>
            </w:pPr>
            <w:r>
              <w:rPr>
                <w:rFonts w:ascii="Times New Roman" w:cs="Times New Roman" w:eastAsia="Times New Roman" w:hAnsi="Times New Roman"/>
                <w:sz w:val="15"/>
                <w:szCs w:val="15"/>
                <w:color w:val="auto"/>
              </w:rPr>
              <w:t>Issuance of common stock</w:t>
            </w:r>
          </w:p>
        </w:tc>
        <w:tc>
          <w:tcPr>
            <w:tcW w:w="68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6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00" w:type="dxa"/>
            <w:vAlign w:val="bottom"/>
            <w:tcBorders>
              <w:right w:val="single" w:sz="8" w:color="CCEEFF"/>
            </w:tcBorders>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 vesting of restricted</w:t>
            </w: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Borders>
              <w:right w:val="single" w:sz="8" w:color="CCEEFF"/>
            </w:tcBorders>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stock units, net of</w:t>
            </w: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Borders>
              <w:right w:val="single" w:sz="8" w:color="CCEEFF"/>
            </w:tcBorders>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shares withheld for</w:t>
            </w: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90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taxes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628,941</w:t>
            </w:r>
          </w:p>
        </w:tc>
        <w:tc>
          <w:tcPr>
            <w:tcW w:w="140" w:type="dxa"/>
            <w:vAlign w:val="bottom"/>
            <w:tcBorders>
              <w:right w:val="single" w:sz="8" w:color="CCEEFF"/>
            </w:tcBorders>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right w:val="single" w:sz="8" w:color="CCEEFF"/>
            </w:tcBorders>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00"/>
        </w:trPr>
        <w:tc>
          <w:tcPr>
            <w:tcW w:w="19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Distributions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4"/>
          </w:tcPr>
          <w:p>
            <w:pPr>
              <w:jc w:val="right"/>
              <w:ind w:right="40"/>
              <w:spacing w:after="0"/>
              <w:rPr>
                <w:sz w:val="20"/>
                <w:szCs w:val="20"/>
                <w:color w:val="auto"/>
              </w:rPr>
            </w:pPr>
            <w:r>
              <w:rPr>
                <w:rFonts w:ascii="Times New Roman" w:cs="Times New Roman" w:eastAsia="Times New Roman" w:hAnsi="Times New Roman"/>
                <w:sz w:val="15"/>
                <w:szCs w:val="15"/>
                <w:color w:val="auto"/>
              </w:rPr>
              <w:t>(1,455)</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(1,455)</w:t>
            </w:r>
          </w:p>
        </w:tc>
        <w:tc>
          <w:tcPr>
            <w:tcW w:w="0" w:type="dxa"/>
            <w:vAlign w:val="bottom"/>
          </w:tcPr>
          <w:p>
            <w:pPr>
              <w:spacing w:after="0"/>
              <w:rPr>
                <w:sz w:val="1"/>
                <w:szCs w:val="1"/>
                <w:color w:val="auto"/>
              </w:rPr>
            </w:pPr>
          </w:p>
        </w:tc>
      </w:tr>
      <w:tr>
        <w:trPr>
          <w:trHeight w:val="160"/>
        </w:trPr>
        <w:tc>
          <w:tcPr>
            <w:tcW w:w="1900" w:type="dxa"/>
            <w:vAlign w:val="bottom"/>
            <w:tcBorders>
              <w:right w:val="single" w:sz="8" w:color="CCEEFF"/>
            </w:tcBorders>
            <w:shd w:val="clear" w:color="auto" w:fill="CCEEFF"/>
          </w:tcPr>
          <w:p>
            <w:pPr>
              <w:ind w:left="180"/>
              <w:spacing w:after="0" w:line="161" w:lineRule="exact"/>
              <w:rPr>
                <w:sz w:val="20"/>
                <w:szCs w:val="20"/>
                <w:color w:val="auto"/>
              </w:rPr>
            </w:pPr>
            <w:r>
              <w:rPr>
                <w:rFonts w:ascii="Times New Roman" w:cs="Times New Roman" w:eastAsia="Times New Roman" w:hAnsi="Times New Roman"/>
                <w:sz w:val="15"/>
                <w:szCs w:val="15"/>
                <w:color w:val="auto"/>
              </w:rPr>
              <w:t>Issuance of common stock</w:t>
            </w:r>
          </w:p>
        </w:tc>
        <w:tc>
          <w:tcPr>
            <w:tcW w:w="68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6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00" w:type="dxa"/>
            <w:vAlign w:val="bottom"/>
            <w:tcBorders>
              <w:right w:val="single" w:sz="8" w:color="CCEEFF"/>
            </w:tcBorders>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 Class P Unit</w:t>
            </w: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90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exchange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39,741</w:t>
            </w:r>
          </w:p>
        </w:tc>
        <w:tc>
          <w:tcPr>
            <w:tcW w:w="140" w:type="dxa"/>
            <w:vAlign w:val="bottom"/>
            <w:tcBorders>
              <w:right w:val="single" w:sz="8" w:color="CCEEFF"/>
            </w:tcBorders>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right w:val="single" w:sz="8" w:color="CCEEFF"/>
            </w:tcBorders>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260" w:type="dxa"/>
            <w:vAlign w:val="bottom"/>
            <w:tcBorders>
              <w:left w:val="single" w:sz="8" w:color="CCEEFF"/>
            </w:tcBorders>
            <w:shd w:val="clear" w:color="auto" w:fill="CCEEFF"/>
          </w:tcPr>
          <w:p>
            <w:pPr>
              <w:spacing w:after="0"/>
              <w:rPr>
                <w:sz w:val="17"/>
                <w:szCs w:val="17"/>
                <w:color w:val="auto"/>
              </w:rPr>
            </w:pPr>
          </w:p>
        </w:tc>
        <w:tc>
          <w:tcPr>
            <w:tcW w:w="7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(59)</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19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Net income</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1,240</w:t>
            </w:r>
          </w:p>
        </w:tc>
        <w:tc>
          <w:tcPr>
            <w:tcW w:w="140" w:type="dxa"/>
            <w:vAlign w:val="bottom"/>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1,240</w:t>
            </w:r>
          </w:p>
        </w:tc>
        <w:tc>
          <w:tcPr>
            <w:tcW w:w="26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719</w:t>
            </w:r>
          </w:p>
        </w:tc>
        <w:tc>
          <w:tcPr>
            <w:tcW w:w="100" w:type="dxa"/>
            <w:vAlign w:val="bottom"/>
          </w:tcPr>
          <w:p>
            <w:pPr>
              <w:spacing w:after="0"/>
              <w:rPr>
                <w:sz w:val="17"/>
                <w:szCs w:val="17"/>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1,959</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 of March 31, 2024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95,051,735</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$ 9</w:t>
            </w: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55,486,361</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$ 5</w:t>
            </w:r>
          </w:p>
        </w:tc>
        <w:tc>
          <w:tcPr>
            <w:tcW w:w="8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84,056</w:t>
            </w:r>
          </w:p>
        </w:tc>
        <w:tc>
          <w:tcPr>
            <w:tcW w:w="100" w:type="dxa"/>
            <w:vAlign w:val="bottom"/>
            <w:tcBorders>
              <w:left w:val="single" w:sz="8" w:color="CCEEFF"/>
            </w:tcBorders>
            <w:shd w:val="clear" w:color="auto" w:fill="CCEEFF"/>
          </w:tcPr>
          <w:p>
            <w:pPr>
              <w:spacing w:after="0"/>
              <w:rPr>
                <w:sz w:val="19"/>
                <w:szCs w:val="19"/>
                <w:color w:val="auto"/>
              </w:rPr>
            </w:pPr>
          </w:p>
        </w:tc>
        <w:tc>
          <w:tcPr>
            <w:tcW w:w="9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(63,278)</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20,792</w:t>
            </w:r>
          </w:p>
        </w:tc>
        <w:tc>
          <w:tcPr>
            <w:tcW w:w="260" w:type="dxa"/>
            <w:vAlign w:val="bottom"/>
            <w:tcBorders>
              <w:left w:val="single" w:sz="8" w:color="CCEEFF"/>
            </w:tcBorders>
            <w:shd w:val="clear" w:color="auto" w:fill="CCEEFF"/>
          </w:tcPr>
          <w:p>
            <w:pPr>
              <w:spacing w:after="0"/>
              <w:rPr>
                <w:sz w:val="19"/>
                <w:szCs w:val="19"/>
                <w:color w:val="auto"/>
              </w:rPr>
            </w:pPr>
          </w:p>
        </w:tc>
        <w:tc>
          <w:tcPr>
            <w:tcW w:w="7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86,036</w:t>
            </w: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106,828</w:t>
            </w:r>
          </w:p>
        </w:tc>
        <w:tc>
          <w:tcPr>
            <w:tcW w:w="0" w:type="dxa"/>
            <w:vAlign w:val="bottom"/>
          </w:tcPr>
          <w:p>
            <w:pPr>
              <w:spacing w:after="0"/>
              <w:rPr>
                <w:sz w:val="1"/>
                <w:szCs w:val="1"/>
                <w:color w:val="auto"/>
              </w:rPr>
            </w:pPr>
          </w:p>
        </w:tc>
      </w:tr>
      <w:tr>
        <w:trPr>
          <w:trHeight w:val="20"/>
        </w:trPr>
        <w:tc>
          <w:tcPr>
            <w:tcW w:w="190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9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Stock-based compensation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2,950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2,950</w:t>
            </w:r>
          </w:p>
        </w:tc>
        <w:tc>
          <w:tcPr>
            <w:tcW w:w="26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100" w:type="dxa"/>
            <w:vAlign w:val="bottom"/>
          </w:tcPr>
          <w:p>
            <w:pPr>
              <w:spacing w:after="0"/>
              <w:rPr>
                <w:sz w:val="19"/>
                <w:szCs w:val="19"/>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3,009</w:t>
            </w:r>
          </w:p>
        </w:tc>
        <w:tc>
          <w:tcPr>
            <w:tcW w:w="0" w:type="dxa"/>
            <w:vAlign w:val="bottom"/>
          </w:tcPr>
          <w:p>
            <w:pPr>
              <w:spacing w:after="0"/>
              <w:rPr>
                <w:sz w:val="1"/>
                <w:szCs w:val="1"/>
                <w:color w:val="auto"/>
              </w:rPr>
            </w:pPr>
          </w:p>
        </w:tc>
      </w:tr>
      <w:tr>
        <w:trPr>
          <w:trHeight w:val="162"/>
        </w:trPr>
        <w:tc>
          <w:tcPr>
            <w:tcW w:w="1900" w:type="dxa"/>
            <w:vAlign w:val="bottom"/>
            <w:tcBorders>
              <w:right w:val="single" w:sz="8" w:color="CCEEFF"/>
            </w:tcBorders>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color w:val="auto"/>
              </w:rPr>
              <w:t>Issuance of common stock</w:t>
            </w: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Borders>
              <w:right w:val="single" w:sz="8" w:color="CCEEFF"/>
            </w:tcBorders>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 vesting of restricted</w:t>
            </w: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Borders>
              <w:right w:val="single" w:sz="8" w:color="CCEEFF"/>
            </w:tcBorders>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stock units, net of</w:t>
            </w: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Borders>
              <w:right w:val="single" w:sz="8" w:color="CCEEFF"/>
            </w:tcBorders>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shares withheld for</w:t>
            </w: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90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taxes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1,896,515</w:t>
            </w:r>
          </w:p>
        </w:tc>
        <w:tc>
          <w:tcPr>
            <w:tcW w:w="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right w:val="single" w:sz="8" w:color="CCEEFF"/>
            </w:tcBorders>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19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Distributions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4"/>
          </w:tcPr>
          <w:p>
            <w:pPr>
              <w:jc w:val="right"/>
              <w:ind w:right="40"/>
              <w:spacing w:after="0"/>
              <w:rPr>
                <w:sz w:val="20"/>
                <w:szCs w:val="20"/>
                <w:color w:val="auto"/>
              </w:rPr>
            </w:pPr>
            <w:r>
              <w:rPr>
                <w:rFonts w:ascii="Times New Roman" w:cs="Times New Roman" w:eastAsia="Times New Roman" w:hAnsi="Times New Roman"/>
                <w:sz w:val="15"/>
                <w:szCs w:val="15"/>
                <w:color w:val="auto"/>
              </w:rPr>
              <w:t>(1,845)</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(1,845)</w:t>
            </w:r>
          </w:p>
        </w:tc>
        <w:tc>
          <w:tcPr>
            <w:tcW w:w="0" w:type="dxa"/>
            <w:vAlign w:val="bottom"/>
          </w:tcPr>
          <w:p>
            <w:pPr>
              <w:spacing w:after="0"/>
              <w:rPr>
                <w:sz w:val="1"/>
                <w:szCs w:val="1"/>
                <w:color w:val="auto"/>
              </w:rPr>
            </w:pPr>
          </w:p>
        </w:tc>
      </w:tr>
      <w:tr>
        <w:trPr>
          <w:trHeight w:val="203"/>
        </w:trPr>
        <w:tc>
          <w:tcPr>
            <w:tcW w:w="19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Net income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right w:val="single" w:sz="8" w:color="CCEEFF"/>
            </w:tcBorders>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right w:val="single" w:sz="8" w:color="CCEEFF"/>
            </w:tcBorders>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716</w:t>
            </w: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716</w:t>
            </w:r>
          </w:p>
        </w:tc>
        <w:tc>
          <w:tcPr>
            <w:tcW w:w="260" w:type="dxa"/>
            <w:vAlign w:val="bottom"/>
            <w:tcBorders>
              <w:left w:val="single" w:sz="8" w:color="CCEEFF"/>
            </w:tcBorders>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478</w:t>
            </w:r>
          </w:p>
        </w:tc>
        <w:tc>
          <w:tcPr>
            <w:tcW w:w="10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1,194</w:t>
            </w:r>
          </w:p>
        </w:tc>
        <w:tc>
          <w:tcPr>
            <w:tcW w:w="0" w:type="dxa"/>
            <w:vAlign w:val="bottom"/>
          </w:tcPr>
          <w:p>
            <w:pPr>
              <w:spacing w:after="0"/>
              <w:rPr>
                <w:sz w:val="1"/>
                <w:szCs w:val="1"/>
                <w:color w:val="auto"/>
              </w:rPr>
            </w:pPr>
          </w:p>
        </w:tc>
      </w:tr>
      <w:tr>
        <w:trPr>
          <w:trHeight w:val="20"/>
        </w:trPr>
        <w:tc>
          <w:tcPr>
            <w:tcW w:w="190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9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As of June 30, 2024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96,948,250</w:t>
            </w:r>
          </w:p>
        </w:tc>
        <w:tc>
          <w:tcPr>
            <w:tcW w:w="44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55,486,361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$ 5</w:t>
            </w:r>
          </w:p>
        </w:tc>
        <w:tc>
          <w:tcPr>
            <w:tcW w:w="8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87,005</w:t>
            </w:r>
          </w:p>
        </w:tc>
        <w:tc>
          <w:tcPr>
            <w:tcW w:w="100" w:type="dxa"/>
            <w:vAlign w:val="bottom"/>
          </w:tcPr>
          <w:p>
            <w:pPr>
              <w:spacing w:after="0"/>
              <w:rPr>
                <w:sz w:val="19"/>
                <w:szCs w:val="19"/>
                <w:color w:val="auto"/>
              </w:rPr>
            </w:pPr>
          </w:p>
        </w:tc>
        <w:tc>
          <w:tcPr>
            <w:tcW w:w="900" w:type="dxa"/>
            <w:vAlign w:val="bottom"/>
            <w:gridSpan w:val="4"/>
          </w:tcPr>
          <w:p>
            <w:pPr>
              <w:jc w:val="right"/>
              <w:ind w:right="8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(62,562)</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24,458</w:t>
            </w:r>
          </w:p>
        </w:tc>
        <w:tc>
          <w:tcPr>
            <w:tcW w:w="260" w:type="dxa"/>
            <w:vAlign w:val="bottom"/>
          </w:tcPr>
          <w:p>
            <w:pPr>
              <w:spacing w:after="0"/>
              <w:rPr>
                <w:sz w:val="19"/>
                <w:szCs w:val="19"/>
                <w:color w:val="auto"/>
              </w:rPr>
            </w:pPr>
          </w:p>
        </w:tc>
        <w:tc>
          <w:tcPr>
            <w:tcW w:w="760" w:type="dxa"/>
            <w:vAlign w:val="bottom"/>
            <w:gridSpan w:val="4"/>
          </w:tcPr>
          <w:p>
            <w:pPr>
              <w:jc w:val="right"/>
              <w:ind w:right="10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84,728</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109,186</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19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Stock-based compensation</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right w:val="single" w:sz="8" w:color="CCEEFF"/>
            </w:tcBorders>
            <w:shd w:val="clear" w:color="auto" w:fill="CCEEFF"/>
          </w:tcPr>
          <w:p>
            <w:pPr>
              <w:spacing w:after="0"/>
              <w:rPr>
                <w:sz w:val="19"/>
                <w:szCs w:val="19"/>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right w:val="single" w:sz="8" w:color="CCEEFF"/>
            </w:tcBorders>
            <w:shd w:val="clear" w:color="auto" w:fill="CCEEFF"/>
          </w:tcPr>
          <w:p>
            <w:pPr>
              <w:spacing w:after="0"/>
              <w:rPr>
                <w:sz w:val="19"/>
                <w:szCs w:val="19"/>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1,758</w:t>
            </w:r>
          </w:p>
        </w:tc>
        <w:tc>
          <w:tcPr>
            <w:tcW w:w="10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1,758</w:t>
            </w:r>
          </w:p>
        </w:tc>
        <w:tc>
          <w:tcPr>
            <w:tcW w:w="260" w:type="dxa"/>
            <w:vAlign w:val="bottom"/>
            <w:tcBorders>
              <w:left w:val="single" w:sz="8" w:color="CCEEFF"/>
            </w:tcBorders>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10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1,817</w:t>
            </w:r>
          </w:p>
        </w:tc>
        <w:tc>
          <w:tcPr>
            <w:tcW w:w="0" w:type="dxa"/>
            <w:vAlign w:val="bottom"/>
          </w:tcPr>
          <w:p>
            <w:pPr>
              <w:spacing w:after="0"/>
              <w:rPr>
                <w:sz w:val="1"/>
                <w:szCs w:val="1"/>
                <w:color w:val="auto"/>
              </w:rPr>
            </w:pPr>
          </w:p>
        </w:tc>
      </w:tr>
    </w:tbl>
    <w:p>
      <w:pPr>
        <w:ind w:left="480"/>
        <w:spacing w:after="0"/>
        <w:rPr>
          <w:sz w:val="20"/>
          <w:szCs w:val="20"/>
          <w:color w:val="auto"/>
        </w:rPr>
      </w:pPr>
      <w:r>
        <w:rPr>
          <w:rFonts w:ascii="Times New Roman" w:cs="Times New Roman" w:eastAsia="Times New Roman" w:hAnsi="Times New Roman"/>
          <w:sz w:val="15"/>
          <w:szCs w:val="15"/>
          <w:color w:val="auto"/>
        </w:rPr>
        <w:t>Issuance of common stock</w:t>
      </w:r>
    </w:p>
    <w:p>
      <w:pPr>
        <w:spacing w:after="0" w:line="2" w:lineRule="exact"/>
        <w:rPr>
          <w:sz w:val="20"/>
          <w:szCs w:val="20"/>
          <w:color w:val="auto"/>
        </w:rPr>
      </w:pPr>
    </w:p>
    <w:p>
      <w:pPr>
        <w:ind w:left="660" w:right="7059" w:hanging="8"/>
        <w:spacing w:after="0" w:line="225" w:lineRule="auto"/>
        <w:tabs>
          <w:tab w:leader="none" w:pos="749" w:val="left"/>
        </w:tabs>
        <w:numPr>
          <w:ilvl w:val="0"/>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vesting of restricted stock units, net of shares withheld for</w:t>
      </w:r>
    </w:p>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8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taxes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427,776</w:t>
            </w:r>
          </w:p>
        </w:tc>
        <w:tc>
          <w:tcPr>
            <w:tcW w:w="14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(1)</w:t>
            </w:r>
          </w:p>
        </w:tc>
        <w:tc>
          <w:tcPr>
            <w:tcW w:w="140" w:type="dxa"/>
            <w:vAlign w:val="bottom"/>
          </w:tcPr>
          <w:p>
            <w:pPr>
              <w:spacing w:after="0"/>
              <w:rPr>
                <w:sz w:val="16"/>
                <w:szCs w:val="16"/>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(1)</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(1)</w:t>
            </w:r>
          </w:p>
        </w:tc>
      </w:tr>
      <w:tr>
        <w:trPr>
          <w:trHeight w:val="203"/>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Distributions</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(1,330)</w:t>
            </w: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(1,330)</w:t>
            </w:r>
          </w:p>
        </w:tc>
      </w:tr>
      <w:tr>
        <w:trPr>
          <w:trHeight w:val="200"/>
        </w:trPr>
        <w:tc>
          <w:tcPr>
            <w:tcW w:w="18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Net income</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3,332</w:t>
            </w:r>
          </w:p>
        </w:tc>
        <w:tc>
          <w:tcPr>
            <w:tcW w:w="4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3,332</w:t>
            </w:r>
          </w:p>
        </w:tc>
        <w:tc>
          <w:tcPr>
            <w:tcW w:w="4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1,986</w:t>
            </w:r>
          </w:p>
        </w:tc>
        <w:tc>
          <w:tcPr>
            <w:tcW w:w="120" w:type="dxa"/>
            <w:vAlign w:val="bottom"/>
          </w:tcPr>
          <w:p>
            <w:pPr>
              <w:spacing w:after="0"/>
              <w:rPr>
                <w:sz w:val="17"/>
                <w:szCs w:val="17"/>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5,318</w:t>
            </w:r>
          </w:p>
        </w:tc>
      </w:tr>
      <w:tr>
        <w:trPr>
          <w:trHeight w:val="20"/>
        </w:trPr>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2"/>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 of September 30, 2024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97,376,026</w:t>
            </w:r>
          </w:p>
        </w:tc>
        <w:tc>
          <w:tcPr>
            <w:tcW w:w="1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u w:val="single" w:color="auto"/>
                <w:color w:val="auto"/>
                <w:w w:val="97"/>
              </w:rPr>
              <w:t>$</w:t>
            </w:r>
            <w:r>
              <w:rPr>
                <w:rFonts w:ascii="Times New Roman" w:cs="Times New Roman" w:eastAsia="Times New Roman" w:hAnsi="Times New Roman"/>
                <w:sz w:val="15"/>
                <w:szCs w:val="15"/>
                <w:color w:val="auto"/>
                <w:w w:val="97"/>
              </w:rPr>
              <w:t>10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55,486,361</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$ 5</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88,762</w:t>
            </w:r>
          </w:p>
        </w:tc>
        <w:tc>
          <w:tcPr>
            <w:tcW w:w="180" w:type="dxa"/>
            <w:vAlign w:val="bottom"/>
            <w:tcBorders>
              <w:left w:val="single" w:sz="8" w:color="CCEEFF"/>
            </w:tcBorders>
            <w:shd w:val="clear" w:color="auto" w:fill="CCEEFF"/>
          </w:tcPr>
          <w:p>
            <w:pPr>
              <w:spacing w:after="0"/>
              <w:rPr>
                <w:sz w:val="20"/>
                <w:szCs w:val="20"/>
                <w:color w:val="auto"/>
              </w:rPr>
            </w:pPr>
          </w:p>
        </w:tc>
        <w:tc>
          <w:tcPr>
            <w:tcW w:w="11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(59,230)</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w w:val="98"/>
              </w:rPr>
              <w:t>$</w:t>
            </w:r>
            <w:r>
              <w:rPr>
                <w:rFonts w:ascii="Times New Roman" w:cs="Times New Roman" w:eastAsia="Times New Roman" w:hAnsi="Times New Roman"/>
                <w:sz w:val="15"/>
                <w:szCs w:val="15"/>
                <w:color w:val="auto"/>
                <w:w w:val="98"/>
              </w:rPr>
              <w:t>29,547</w:t>
            </w:r>
          </w:p>
        </w:tc>
        <w:tc>
          <w:tcPr>
            <w:tcW w:w="420" w:type="dxa"/>
            <w:vAlign w:val="bottom"/>
            <w:tcBorders>
              <w:left w:val="single" w:sz="8" w:color="CCEEFF"/>
            </w:tcBorders>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u w:val="single" w:color="auto"/>
                <w:color w:val="auto"/>
                <w:w w:val="98"/>
              </w:rPr>
              <w:t>$</w:t>
            </w:r>
            <w:r>
              <w:rPr>
                <w:rFonts w:ascii="Times New Roman" w:cs="Times New Roman" w:eastAsia="Times New Roman" w:hAnsi="Times New Roman"/>
                <w:sz w:val="15"/>
                <w:szCs w:val="15"/>
                <w:color w:val="auto"/>
                <w:w w:val="98"/>
              </w:rPr>
              <w:t>85,443</w:t>
            </w: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114,990</w:t>
            </w: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CEEFF"/>
              <w:left w:val="single" w:sz="8" w:color="auto"/>
            </w:tcBorders>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CEEFF"/>
              <w:left w:val="single" w:sz="8" w:color="auto"/>
            </w:tcBorders>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3" w:name="page144"/>
    <w:bookmarkEnd w:id="1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27"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740" w:type="dxa"/>
            <w:vAlign w:val="bottom"/>
            <w:gridSpan w:val="1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and Nine Months Ended September 30, 2023</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2"/>
                <w:szCs w:val="12"/>
                <w:color w:val="auto"/>
              </w:rPr>
            </w:pPr>
          </w:p>
        </w:tc>
        <w:tc>
          <w:tcPr>
            <w:tcW w:w="1080" w:type="dxa"/>
            <w:vAlign w:val="bottom"/>
            <w:gridSpan w:val="3"/>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Total WM</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gridSpan w:val="3"/>
            <w:vMerge w:val="restart"/>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tcPr>
          <w:p>
            <w:pPr>
              <w:spacing w:after="0"/>
              <w:rPr>
                <w:sz w:val="7"/>
                <w:szCs w:val="7"/>
                <w:color w:val="auto"/>
              </w:rPr>
            </w:pPr>
          </w:p>
        </w:tc>
        <w:tc>
          <w:tcPr>
            <w:tcW w:w="1080" w:type="dxa"/>
            <w:vAlign w:val="bottom"/>
            <w:gridSpan w:val="3"/>
            <w:vMerge w:val="restart"/>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Class V</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gridSpan w:val="3"/>
            <w:vMerge w:val="restart"/>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3"/>
            <w:vMerge w:val="restart"/>
          </w:tcPr>
          <w:p>
            <w:pPr>
              <w:jc w:val="center"/>
              <w:ind w:right="20"/>
              <w:spacing w:after="0" w:line="127" w:lineRule="exact"/>
              <w:rPr>
                <w:sz w:val="20"/>
                <w:szCs w:val="20"/>
                <w:color w:val="auto"/>
              </w:rPr>
            </w:pPr>
            <w:r>
              <w:rPr>
                <w:rFonts w:ascii="Times New Roman" w:cs="Times New Roman" w:eastAsia="Times New Roman" w:hAnsi="Times New Roman"/>
                <w:sz w:val="14"/>
                <w:szCs w:val="14"/>
                <w:b w:val="1"/>
                <w:bCs w:val="1"/>
                <w:color w:val="auto"/>
                <w:w w:val="98"/>
              </w:rPr>
              <w:t>Technology, Inc.</w:t>
            </w:r>
          </w:p>
        </w:tc>
        <w:tc>
          <w:tcPr>
            <w:tcW w:w="160" w:type="dxa"/>
            <w:vAlign w:val="bottom"/>
          </w:tcPr>
          <w:p>
            <w:pPr>
              <w:spacing w:after="0"/>
              <w:rPr>
                <w:sz w:val="9"/>
                <w:szCs w:val="9"/>
                <w:color w:val="auto"/>
              </w:rPr>
            </w:pPr>
          </w:p>
        </w:tc>
        <w:tc>
          <w:tcPr>
            <w:tcW w:w="60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2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Par</w:t>
            </w:r>
          </w:p>
        </w:tc>
        <w:tc>
          <w:tcPr>
            <w:tcW w:w="180" w:type="dxa"/>
            <w:vAlign w:val="bottom"/>
          </w:tcPr>
          <w:p>
            <w:pPr>
              <w:spacing w:after="0"/>
              <w:rPr>
                <w:sz w:val="12"/>
                <w:szCs w:val="12"/>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2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Par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tcPr>
          <w:p>
            <w:pPr>
              <w:jc w:val="center"/>
              <w:ind w:right="20"/>
              <w:spacing w:after="0" w:line="14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60" w:type="dxa"/>
            <w:vAlign w:val="bottom"/>
          </w:tcPr>
          <w:p>
            <w:pPr>
              <w:spacing w:after="0"/>
              <w:rPr>
                <w:sz w:val="12"/>
                <w:szCs w:val="12"/>
                <w:color w:val="auto"/>
              </w:rPr>
            </w:pPr>
          </w:p>
        </w:tc>
        <w:tc>
          <w:tcPr>
            <w:tcW w:w="6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4"/>
              </w:rPr>
              <w:t>controlling</w:t>
            </w:r>
          </w:p>
        </w:tc>
        <w:tc>
          <w:tcPr>
            <w:tcW w:w="1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79"/>
              </w:rPr>
              <w:t>Value</w:t>
            </w: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79"/>
              </w:rPr>
              <w:t>Value</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 of December 31, 2022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92,062,468</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$ 9</w:t>
            </w:r>
          </w:p>
        </w:tc>
        <w:tc>
          <w:tcPr>
            <w:tcW w:w="8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55,486,361</w:t>
            </w:r>
          </w:p>
        </w:tc>
        <w:tc>
          <w:tcPr>
            <w:tcW w:w="4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$ 5</w:t>
            </w:r>
          </w:p>
        </w:tc>
        <w:tc>
          <w:tcPr>
            <w:tcW w:w="74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$67,986</w:t>
            </w: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$(54,620)</w:t>
            </w:r>
          </w:p>
        </w:tc>
        <w:tc>
          <w:tcPr>
            <w:tcW w:w="920" w:type="dxa"/>
            <w:vAlign w:val="bottom"/>
            <w:tcBorders>
              <w:left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$13,380</w:t>
            </w:r>
          </w:p>
        </w:tc>
        <w:tc>
          <w:tcPr>
            <w:tcW w:w="2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$101,397</w:t>
            </w:r>
          </w:p>
        </w:tc>
        <w:tc>
          <w:tcPr>
            <w:tcW w:w="74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$114,777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780" w:type="dxa"/>
            <w:vAlign w:val="bottom"/>
          </w:tcPr>
          <w:p>
            <w:pPr>
              <w:ind w:left="180"/>
              <w:spacing w:after="0" w:line="159" w:lineRule="exact"/>
              <w:rPr>
                <w:sz w:val="20"/>
                <w:szCs w:val="20"/>
                <w:color w:val="auto"/>
              </w:rPr>
            </w:pPr>
            <w:r>
              <w:rPr>
                <w:rFonts w:ascii="Times New Roman" w:cs="Times New Roman" w:eastAsia="Times New Roman" w:hAnsi="Times New Roman"/>
                <w:sz w:val="15"/>
                <w:szCs w:val="15"/>
                <w:color w:val="auto"/>
              </w:rPr>
              <w:t>Stock-based</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compensation</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4,396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4,396</w:t>
            </w:r>
          </w:p>
        </w:tc>
        <w:tc>
          <w:tcPr>
            <w:tcW w:w="22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285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4,681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color w:val="auto"/>
              </w:rPr>
              <w:t>Issuance of common</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stock - vesting of</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restricted stock units,</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net of shares withheld</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for taxes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475,510</w:t>
            </w:r>
          </w:p>
        </w:tc>
        <w:tc>
          <w:tcPr>
            <w:tcW w:w="16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lef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right w:val="single" w:sz="8" w:color="CCEEFF"/>
            </w:tcBorders>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left w:val="single" w:sz="8" w:color="CCEEFF"/>
            </w:tcBorders>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17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Distributions</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(250)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78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5"/>
                <w:szCs w:val="15"/>
                <w:color w:val="auto"/>
              </w:rPr>
              <w:t>Issuance of common</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tcBorders>
              <w:left w:val="single" w:sz="8" w:color="CCEEFF"/>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stock - Class P Unit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exchange</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35,488</w:t>
            </w:r>
          </w:p>
        </w:tc>
        <w:tc>
          <w:tcPr>
            <w:tcW w:w="16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left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22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120" w:type="dxa"/>
            <w:vAlign w:val="bottom"/>
            <w:tcBorders>
              <w:left w:val="single" w:sz="8" w:color="CCEEFF"/>
            </w:tcBorders>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17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Net loss</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(2,475)</w:t>
            </w:r>
          </w:p>
        </w:tc>
        <w:tc>
          <w:tcPr>
            <w:tcW w:w="1140" w:type="dxa"/>
            <w:vAlign w:val="bottom"/>
            <w:gridSpan w:val="4"/>
          </w:tcPr>
          <w:p>
            <w:pPr>
              <w:jc w:val="right"/>
              <w:ind w:right="220"/>
              <w:spacing w:after="0"/>
              <w:rPr>
                <w:sz w:val="20"/>
                <w:szCs w:val="20"/>
                <w:color w:val="auto"/>
              </w:rPr>
            </w:pPr>
            <w:r>
              <w:rPr>
                <w:rFonts w:ascii="Times New Roman" w:cs="Times New Roman" w:eastAsia="Times New Roman" w:hAnsi="Times New Roman"/>
                <w:sz w:val="15"/>
                <w:szCs w:val="15"/>
                <w:color w:val="auto"/>
              </w:rPr>
              <w:t>(2,475)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(1,494)</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(3,969)</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 of March 31, 2023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92,573,466</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$ 9</w:t>
            </w:r>
          </w:p>
        </w:tc>
        <w:tc>
          <w:tcPr>
            <w:tcW w:w="8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55,486,361</w:t>
            </w:r>
          </w:p>
        </w:tc>
        <w:tc>
          <w:tcPr>
            <w:tcW w:w="4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$ 5</w:t>
            </w:r>
          </w:p>
        </w:tc>
        <w:tc>
          <w:tcPr>
            <w:tcW w:w="74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72,444</w:t>
            </w:r>
          </w:p>
        </w:tc>
        <w:tc>
          <w:tcPr>
            <w:tcW w:w="8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(57,095)</w:t>
            </w:r>
          </w:p>
        </w:tc>
        <w:tc>
          <w:tcPr>
            <w:tcW w:w="920" w:type="dxa"/>
            <w:vAlign w:val="bottom"/>
            <w:tcBorders>
              <w:left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15,363</w:t>
            </w:r>
          </w:p>
        </w:tc>
        <w:tc>
          <w:tcPr>
            <w:tcW w:w="220" w:type="dxa"/>
            <w:vAlign w:val="bottom"/>
            <w:shd w:val="clear" w:color="auto" w:fill="CCEEFF"/>
          </w:tcPr>
          <w:p>
            <w:pPr>
              <w:spacing w:after="0"/>
              <w:rPr>
                <w:sz w:val="19"/>
                <w:szCs w:val="19"/>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$ 99,876</w:t>
            </w:r>
          </w:p>
        </w:tc>
        <w:tc>
          <w:tcPr>
            <w:tcW w:w="74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115,239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78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Stock-based</w:t>
            </w:r>
          </w:p>
        </w:tc>
        <w:tc>
          <w:tcPr>
            <w:tcW w:w="120" w:type="dxa"/>
            <w:vAlign w:val="bottom"/>
            <w:tcBorders>
              <w:top w:val="single" w:sz="8" w:color="CCEEFF"/>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compensation</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3,908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3,908</w:t>
            </w:r>
          </w:p>
        </w:tc>
        <w:tc>
          <w:tcPr>
            <w:tcW w:w="22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4,005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color w:val="auto"/>
              </w:rPr>
              <w:t>Issuance of common</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stock - vesting of</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restricted stock units,</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net of shares withheld</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for taxes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842,178</w:t>
            </w:r>
          </w:p>
        </w:tc>
        <w:tc>
          <w:tcPr>
            <w:tcW w:w="16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left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left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w:t>
            </w:r>
          </w:p>
        </w:tc>
        <w:tc>
          <w:tcPr>
            <w:tcW w:w="160" w:type="dxa"/>
            <w:vAlign w:val="bottom"/>
            <w:tcBorders>
              <w:right w:val="single" w:sz="8" w:color="CCEEFF"/>
            </w:tcBorders>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lef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00"/>
        </w:trPr>
        <w:tc>
          <w:tcPr>
            <w:tcW w:w="17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Distributions</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(752)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Net Income</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1,226</w:t>
            </w:r>
          </w:p>
        </w:tc>
        <w:tc>
          <w:tcPr>
            <w:tcW w:w="920" w:type="dxa"/>
            <w:vAlign w:val="bottom"/>
            <w:tcBorders>
              <w:left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1,226</w:t>
            </w:r>
          </w:p>
        </w:tc>
        <w:tc>
          <w:tcPr>
            <w:tcW w:w="22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757</w:t>
            </w:r>
          </w:p>
        </w:tc>
        <w:tc>
          <w:tcPr>
            <w:tcW w:w="74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1,983</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7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As of June 30, 2023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93,415,644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55,486,361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$ 5</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76,351</w:t>
            </w:r>
          </w:p>
        </w:tc>
        <w:tc>
          <w:tcPr>
            <w:tcW w:w="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(55,869)</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20,496</w:t>
            </w:r>
          </w:p>
        </w:tc>
        <w:tc>
          <w:tcPr>
            <w:tcW w:w="2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$ 99,978</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120,474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Stock-based</w:t>
            </w:r>
          </w:p>
        </w:tc>
        <w:tc>
          <w:tcPr>
            <w:tcW w:w="120" w:type="dxa"/>
            <w:vAlign w:val="bottom"/>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tcBorders>
              <w:top w:val="single" w:sz="8" w:color="auto"/>
              <w:right w:val="single" w:sz="8" w:color="CCEEFF"/>
            </w:tcBorders>
            <w:shd w:val="clear" w:color="auto" w:fill="CCEEFF"/>
          </w:tcPr>
          <w:p>
            <w:pPr>
              <w:spacing w:after="0"/>
              <w:rPr>
                <w:sz w:val="15"/>
                <w:szCs w:val="15"/>
                <w:color w:val="auto"/>
              </w:rPr>
            </w:pPr>
          </w:p>
        </w:tc>
        <w:tc>
          <w:tcPr>
            <w:tcW w:w="140" w:type="dxa"/>
            <w:vAlign w:val="bottom"/>
            <w:tcBorders>
              <w:lef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tcBorders>
              <w:top w:val="single" w:sz="8" w:color="auto"/>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600" w:type="dxa"/>
            <w:vAlign w:val="bottom"/>
            <w:tcBorders>
              <w:top w:val="single" w:sz="8" w:color="auto"/>
              <w:right w:val="single" w:sz="8" w:color="CCEEFF"/>
            </w:tcBorders>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620" w:type="dxa"/>
            <w:vAlign w:val="bottom"/>
            <w:tcBorders>
              <w:top w:val="single" w:sz="8" w:color="auto"/>
              <w:right w:val="single" w:sz="8" w:color="CCEEFF"/>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compensation</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left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2,587</w:t>
            </w:r>
          </w:p>
        </w:tc>
        <w:tc>
          <w:tcPr>
            <w:tcW w:w="22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74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2,662</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1780" w:type="dxa"/>
            <w:vAlign w:val="bottom"/>
          </w:tcPr>
          <w:p>
            <w:pPr>
              <w:ind w:left="180"/>
              <w:spacing w:after="0" w:line="159" w:lineRule="exact"/>
              <w:rPr>
                <w:sz w:val="20"/>
                <w:szCs w:val="20"/>
                <w:color w:val="auto"/>
              </w:rPr>
            </w:pPr>
            <w:r>
              <w:rPr>
                <w:rFonts w:ascii="Times New Roman" w:cs="Times New Roman" w:eastAsia="Times New Roman" w:hAnsi="Times New Roman"/>
                <w:sz w:val="15"/>
                <w:szCs w:val="15"/>
                <w:color w:val="auto"/>
              </w:rPr>
              <w:t>Discharge of holdback</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80" w:type="dxa"/>
            <w:vAlign w:val="bottom"/>
          </w:tcPr>
          <w:p>
            <w:pPr>
              <w:ind w:left="360"/>
              <w:spacing w:after="0" w:line="162" w:lineRule="exact"/>
              <w:rPr>
                <w:sz w:val="20"/>
                <w:szCs w:val="20"/>
                <w:color w:val="auto"/>
              </w:rPr>
            </w:pPr>
            <w:r>
              <w:rPr>
                <w:rFonts w:ascii="Times New Roman" w:cs="Times New Roman" w:eastAsia="Times New Roman" w:hAnsi="Times New Roman"/>
                <w:sz w:val="15"/>
                <w:szCs w:val="15"/>
                <w:color w:val="auto"/>
              </w:rPr>
              <w:t>obligation related to a</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7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prior acquisition</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15"/>
                <w:szCs w:val="15"/>
                <w:color w:val="auto"/>
              </w:rPr>
              <w:t>(1,612)</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4"/>
          </w:tcPr>
          <w:p>
            <w:pPr>
              <w:jc w:val="right"/>
              <w:ind w:right="220"/>
              <w:spacing w:after="0"/>
              <w:rPr>
                <w:sz w:val="20"/>
                <w:szCs w:val="20"/>
                <w:color w:val="auto"/>
              </w:rPr>
            </w:pPr>
            <w:r>
              <w:rPr>
                <w:rFonts w:ascii="Times New Roman" w:cs="Times New Roman" w:eastAsia="Times New Roman" w:hAnsi="Times New Roman"/>
                <w:sz w:val="15"/>
                <w:szCs w:val="15"/>
                <w:color w:val="auto"/>
              </w:rPr>
              <w:t>(1,612)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(1,995)</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(3,607)</w:t>
            </w: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color w:val="auto"/>
              </w:rPr>
              <w:t>Issuance of common</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stock - vesting of</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restricted stock units,</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net of shares withheld</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for taxes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455,820</w:t>
            </w:r>
          </w:p>
        </w:tc>
        <w:tc>
          <w:tcPr>
            <w:tcW w:w="16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left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(4)</w:t>
            </w:r>
          </w:p>
        </w:tc>
        <w:tc>
          <w:tcPr>
            <w:tcW w:w="12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left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(4)</w:t>
            </w:r>
          </w:p>
        </w:tc>
        <w:tc>
          <w:tcPr>
            <w:tcW w:w="160" w:type="dxa"/>
            <w:vAlign w:val="bottom"/>
            <w:tcBorders>
              <w:right w:val="single" w:sz="8" w:color="CCEEFF"/>
            </w:tcBorders>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lef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00"/>
        </w:trPr>
        <w:tc>
          <w:tcPr>
            <w:tcW w:w="17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Distributions</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(2,231)</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(2,231)</w:t>
            </w:r>
          </w:p>
        </w:tc>
        <w:tc>
          <w:tcPr>
            <w:tcW w:w="0" w:type="dxa"/>
            <w:vAlign w:val="bottom"/>
          </w:tcPr>
          <w:p>
            <w:pPr>
              <w:spacing w:after="0"/>
              <w:rPr>
                <w:sz w:val="1"/>
                <w:szCs w:val="1"/>
                <w:color w:val="auto"/>
              </w:rPr>
            </w:pPr>
          </w:p>
        </w:tc>
      </w:tr>
      <w:tr>
        <w:trPr>
          <w:trHeight w:val="160"/>
        </w:trPr>
        <w:tc>
          <w:tcPr>
            <w:tcW w:w="178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5"/>
                <w:szCs w:val="15"/>
                <w:color w:val="auto"/>
              </w:rPr>
              <w:t>Issuance of common</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tcBorders>
              <w:left w:val="single" w:sz="8" w:color="CCEEFF"/>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stock - Class P Unit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exchange</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9,666</w:t>
            </w:r>
          </w:p>
        </w:tc>
        <w:tc>
          <w:tcPr>
            <w:tcW w:w="16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left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22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120" w:type="dxa"/>
            <w:vAlign w:val="bottom"/>
            <w:tcBorders>
              <w:left w:val="single" w:sz="8" w:color="CCEEFF"/>
            </w:tcBorders>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17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Net loss</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(1,538)</w:t>
            </w:r>
          </w:p>
        </w:tc>
        <w:tc>
          <w:tcPr>
            <w:tcW w:w="1140" w:type="dxa"/>
            <w:vAlign w:val="bottom"/>
            <w:gridSpan w:val="4"/>
          </w:tcPr>
          <w:p>
            <w:pPr>
              <w:jc w:val="right"/>
              <w:ind w:right="220"/>
              <w:spacing w:after="0"/>
              <w:rPr>
                <w:sz w:val="20"/>
                <w:szCs w:val="20"/>
                <w:color w:val="auto"/>
              </w:rPr>
            </w:pPr>
            <w:r>
              <w:rPr>
                <w:rFonts w:ascii="Times New Roman" w:cs="Times New Roman" w:eastAsia="Times New Roman" w:hAnsi="Times New Roman"/>
                <w:sz w:val="15"/>
                <w:szCs w:val="15"/>
                <w:color w:val="auto"/>
              </w:rPr>
              <w:t>(1,538)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(974)</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(2,512)</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 of September 30, 2023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93,881,130</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$ 9</w:t>
            </w:r>
          </w:p>
        </w:tc>
        <w:tc>
          <w:tcPr>
            <w:tcW w:w="8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55,486,361</w:t>
            </w:r>
          </w:p>
        </w:tc>
        <w:tc>
          <w:tcPr>
            <w:tcW w:w="4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$ 5</w:t>
            </w:r>
          </w:p>
        </w:tc>
        <w:tc>
          <w:tcPr>
            <w:tcW w:w="74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77,339</w:t>
            </w:r>
          </w:p>
        </w:tc>
        <w:tc>
          <w:tcPr>
            <w:tcW w:w="8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(57,407)</w:t>
            </w:r>
          </w:p>
        </w:tc>
        <w:tc>
          <w:tcPr>
            <w:tcW w:w="920" w:type="dxa"/>
            <w:vAlign w:val="bottom"/>
            <w:tcBorders>
              <w:left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19,946</w:t>
            </w:r>
          </w:p>
        </w:tc>
        <w:tc>
          <w:tcPr>
            <w:tcW w:w="220" w:type="dxa"/>
            <w:vAlign w:val="bottom"/>
            <w:shd w:val="clear" w:color="auto" w:fill="CCEEFF"/>
          </w:tcPr>
          <w:p>
            <w:pPr>
              <w:spacing w:after="0"/>
              <w:rPr>
                <w:sz w:val="19"/>
                <w:szCs w:val="19"/>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$ 94,836</w:t>
            </w:r>
          </w:p>
        </w:tc>
        <w:tc>
          <w:tcPr>
            <w:tcW w:w="74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114,782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auto"/>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4" w:name="page145"/>
    <w:bookmarkEnd w:id="1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6180" w:type="dxa"/>
            <w:vAlign w:val="bottom"/>
          </w:tcPr>
          <w:p>
            <w:pPr>
              <w:spacing w:after="0"/>
              <w:rPr>
                <w:sz w:val="16"/>
                <w:szCs w:val="16"/>
                <w:color w:val="auto"/>
              </w:rPr>
            </w:pPr>
          </w:p>
        </w:tc>
        <w:tc>
          <w:tcPr>
            <w:tcW w:w="2240" w:type="dxa"/>
            <w:vAlign w:val="bottom"/>
            <w:tcBorders>
              <w:bottom w:val="single" w:sz="8" w:color="auto"/>
            </w:tcBorders>
            <w:gridSpan w:val="9"/>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59"/>
        </w:trPr>
        <w:tc>
          <w:tcPr>
            <w:tcW w:w="6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31"/>
              <w:spacing w:after="0" w:line="159"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3"/>
                <w:szCs w:val="13"/>
                <w:color w:val="auto"/>
              </w:rPr>
            </w:pPr>
          </w:p>
        </w:tc>
      </w:tr>
      <w:tr>
        <w:trPr>
          <w:trHeight w:val="231"/>
        </w:trPr>
        <w:tc>
          <w:tcPr>
            <w:tcW w:w="6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Borders>
              <w:bottom w:val="single" w:sz="8" w:color="auto"/>
            </w:tcBorders>
            <w:gridSpan w:val="4"/>
          </w:tcPr>
          <w:p>
            <w:pPr>
              <w:jc w:val="right"/>
              <w:ind w:right="180"/>
              <w:spacing w:after="0" w:line="231" w:lineRule="exact"/>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r>
      <w:tr>
        <w:trPr>
          <w:trHeight w:val="250"/>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2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8,471</w:t>
            </w:r>
          </w:p>
        </w:tc>
        <w:tc>
          <w:tcPr>
            <w:tcW w:w="100" w:type="dxa"/>
            <w:vAlign w:val="bottom"/>
          </w:tcPr>
          <w:p>
            <w:pPr>
              <w:spacing w:after="0"/>
              <w:rPr>
                <w:sz w:val="19"/>
                <w:szCs w:val="19"/>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(4,498)</w:t>
            </w:r>
          </w:p>
        </w:tc>
      </w:tr>
      <w:tr>
        <w:trPr>
          <w:trHeight w:val="198"/>
        </w:trPr>
        <w:tc>
          <w:tcPr>
            <w:tcW w:w="6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48"/>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activities:</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29"/>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9,417</w:t>
            </w:r>
          </w:p>
        </w:tc>
        <w:tc>
          <w:tcPr>
            <w:tcW w:w="220" w:type="dxa"/>
            <w:vAlign w:val="bottom"/>
          </w:tcPr>
          <w:p>
            <w:pPr>
              <w:spacing w:after="0"/>
              <w:rPr>
                <w:sz w:val="19"/>
                <w:szCs w:val="19"/>
                <w:color w:val="auto"/>
              </w:rPr>
            </w:pPr>
          </w:p>
        </w:tc>
      </w:tr>
      <w:tr>
        <w:trPr>
          <w:trHeight w:val="229"/>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20" w:type="dxa"/>
            <w:vAlign w:val="bottom"/>
            <w:shd w:val="clear" w:color="auto" w:fill="CCEEFF"/>
          </w:tcPr>
          <w:p>
            <w:pPr>
              <w:spacing w:after="0"/>
              <w:rPr>
                <w:sz w:val="19"/>
                <w:szCs w:val="19"/>
                <w:color w:val="auto"/>
              </w:rPr>
            </w:pPr>
          </w:p>
        </w:tc>
      </w:tr>
      <w:tr>
        <w:trPr>
          <w:trHeight w:val="230"/>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20" w:type="dxa"/>
            <w:vAlign w:val="bottom"/>
          </w:tcPr>
          <w:p>
            <w:pPr>
              <w:spacing w:after="0"/>
              <w:rPr>
                <w:sz w:val="19"/>
                <w:szCs w:val="19"/>
                <w:color w:val="auto"/>
              </w:rPr>
            </w:pPr>
          </w:p>
        </w:tc>
      </w:tr>
      <w:tr>
        <w:trPr>
          <w:trHeight w:val="229"/>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right-of-use lease assets</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220" w:type="dxa"/>
            <w:vAlign w:val="bottom"/>
            <w:shd w:val="clear" w:color="auto" w:fill="CCEEFF"/>
          </w:tcPr>
          <w:p>
            <w:pPr>
              <w:spacing w:after="0"/>
              <w:rPr>
                <w:sz w:val="19"/>
                <w:szCs w:val="19"/>
                <w:color w:val="auto"/>
              </w:rPr>
            </w:pPr>
          </w:p>
        </w:tc>
      </w:tr>
      <w:tr>
        <w:trPr>
          <w:trHeight w:val="230"/>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220" w:type="dxa"/>
            <w:vAlign w:val="bottom"/>
          </w:tcPr>
          <w:p>
            <w:pPr>
              <w:spacing w:after="0"/>
              <w:rPr>
                <w:sz w:val="19"/>
                <w:szCs w:val="19"/>
                <w:color w:val="auto"/>
              </w:rPr>
            </w:pPr>
          </w:p>
        </w:tc>
      </w:tr>
      <w:tr>
        <w:trPr>
          <w:trHeight w:val="229"/>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10,389</w:t>
            </w:r>
          </w:p>
        </w:tc>
        <w:tc>
          <w:tcPr>
            <w:tcW w:w="220" w:type="dxa"/>
            <w:vAlign w:val="bottom"/>
            <w:shd w:val="clear" w:color="auto" w:fill="CCEEFF"/>
          </w:tcPr>
          <w:p>
            <w:pPr>
              <w:spacing w:after="0"/>
              <w:rPr>
                <w:sz w:val="19"/>
                <w:szCs w:val="19"/>
                <w:color w:val="auto"/>
              </w:rPr>
            </w:pPr>
          </w:p>
        </w:tc>
      </w:tr>
      <w:tr>
        <w:trPr>
          <w:trHeight w:val="229"/>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lease termination</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Discharge of a holdback obligation related to a prior acquisition</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(3,705)</w:t>
            </w:r>
          </w:p>
        </w:tc>
      </w:tr>
      <w:tr>
        <w:trPr>
          <w:trHeight w:val="229"/>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(recovery) for credit losses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w:t>
            </w:r>
          </w:p>
        </w:tc>
      </w:tr>
      <w:tr>
        <w:trPr>
          <w:trHeight w:val="22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30"/>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220" w:type="dxa"/>
            <w:vAlign w:val="bottom"/>
          </w:tcPr>
          <w:p>
            <w:pPr>
              <w:spacing w:after="0"/>
              <w:rPr>
                <w:sz w:val="19"/>
                <w:szCs w:val="19"/>
                <w:color w:val="auto"/>
              </w:rPr>
            </w:pPr>
          </w:p>
        </w:tc>
      </w:tr>
      <w:tr>
        <w:trPr>
          <w:trHeight w:val="229"/>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220" w:type="dxa"/>
            <w:vAlign w:val="bottom"/>
            <w:shd w:val="clear" w:color="auto" w:fill="CCEEFF"/>
          </w:tcPr>
          <w:p>
            <w:pPr>
              <w:spacing w:after="0"/>
              <w:rPr>
                <w:sz w:val="19"/>
                <w:szCs w:val="19"/>
                <w:color w:val="auto"/>
              </w:rPr>
            </w:pPr>
          </w:p>
        </w:tc>
      </w:tr>
      <w:tr>
        <w:trPr>
          <w:trHeight w:val="230"/>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9"/>
                <w:szCs w:val="19"/>
                <w:color w:val="auto"/>
              </w:rPr>
            </w:pPr>
          </w:p>
        </w:tc>
      </w:tr>
      <w:tr>
        <w:trPr>
          <w:trHeight w:val="229"/>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(1,169)</w:t>
            </w:r>
          </w:p>
        </w:tc>
        <w:tc>
          <w:tcPr>
            <w:tcW w:w="100" w:type="dxa"/>
            <w:vAlign w:val="bottom"/>
            <w:shd w:val="clear" w:color="auto" w:fill="CCEEFF"/>
          </w:tcPr>
          <w:p>
            <w:pPr>
              <w:spacing w:after="0"/>
              <w:rPr>
                <w:sz w:val="19"/>
                <w:szCs w:val="19"/>
                <w:color w:val="auto"/>
              </w:rPr>
            </w:pPr>
          </w:p>
        </w:tc>
        <w:tc>
          <w:tcPr>
            <w:tcW w:w="130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(15,439)</w:t>
            </w:r>
          </w:p>
        </w:tc>
      </w:tr>
      <w:tr>
        <w:trPr>
          <w:trHeight w:val="229"/>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w:t>
            </w:r>
          </w:p>
        </w:tc>
      </w:tr>
      <w:tr>
        <w:trPr>
          <w:trHeight w:val="230"/>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(4,994)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(4,668)</w:t>
            </w:r>
          </w:p>
        </w:tc>
      </w:tr>
      <w:tr>
        <w:trPr>
          <w:trHeight w:val="244"/>
        </w:trPr>
        <w:tc>
          <w:tcPr>
            <w:tcW w:w="61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Borders>
              <w:top w:val="single" w:sz="8" w:color="CCEEFF"/>
            </w:tcBorders>
          </w:tcPr>
          <w:p>
            <w:pPr>
              <w:spacing w:after="0"/>
              <w:rPr>
                <w:sz w:val="21"/>
                <w:szCs w:val="21"/>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27,275</w:t>
            </w:r>
          </w:p>
        </w:tc>
        <w:tc>
          <w:tcPr>
            <w:tcW w:w="10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12,410</w:t>
            </w:r>
          </w:p>
        </w:tc>
        <w:tc>
          <w:tcPr>
            <w:tcW w:w="220" w:type="dxa"/>
            <w:vAlign w:val="bottom"/>
            <w:tcBorders>
              <w:top w:val="single" w:sz="8" w:color="CCEEFF"/>
            </w:tcBorders>
          </w:tcPr>
          <w:p>
            <w:pPr>
              <w:spacing w:after="0"/>
              <w:rPr>
                <w:sz w:val="21"/>
                <w:szCs w:val="21"/>
                <w:color w:val="auto"/>
              </w:rPr>
            </w:pPr>
          </w:p>
        </w:tc>
      </w:tr>
      <w:tr>
        <w:trPr>
          <w:trHeight w:val="256"/>
        </w:trPr>
        <w:tc>
          <w:tcPr>
            <w:tcW w:w="6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560" w:type="dxa"/>
            <w:vAlign w:val="bottom"/>
            <w:tcBorders>
              <w:top w:val="single" w:sz="8" w:color="auto"/>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r>
      <w:tr>
        <w:trPr>
          <w:trHeight w:val="230"/>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software and expenditures</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(9,499)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(8,870)</w:t>
            </w:r>
          </w:p>
        </w:tc>
      </w:tr>
      <w:tr>
        <w:trPr>
          <w:trHeight w:val="20"/>
        </w:trPr>
        <w:tc>
          <w:tcPr>
            <w:tcW w:w="6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43"/>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(9,499)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(8,870)</w:t>
            </w:r>
          </w:p>
        </w:tc>
      </w:tr>
      <w:tr>
        <w:trPr>
          <w:trHeight w:val="257"/>
        </w:trPr>
        <w:tc>
          <w:tcPr>
            <w:tcW w:w="6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560" w:type="dxa"/>
            <w:vAlign w:val="bottom"/>
            <w:tcBorders>
              <w:top w:val="single" w:sz="8" w:color="auto"/>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r>
      <w:tr>
        <w:trPr>
          <w:trHeight w:val="230"/>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insurance premium financing</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(1,450)</w:t>
            </w:r>
          </w:p>
        </w:tc>
      </w:tr>
      <w:tr>
        <w:trPr>
          <w:trHeight w:val="230"/>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(7,250)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(3,233)</w:t>
            </w:r>
          </w:p>
        </w:tc>
      </w:tr>
      <w:tr>
        <w:trPr>
          <w:trHeight w:val="230"/>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repayment of related party note</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20" w:type="dxa"/>
            <w:vAlign w:val="bottom"/>
            <w:shd w:val="clear" w:color="auto" w:fill="CCEEFF"/>
          </w:tcPr>
          <w:p>
            <w:pPr>
              <w:spacing w:after="0"/>
              <w:rPr>
                <w:sz w:val="19"/>
                <w:szCs w:val="19"/>
                <w:color w:val="auto"/>
              </w:rPr>
            </w:pPr>
          </w:p>
        </w:tc>
      </w:tr>
      <w:tr>
        <w:trPr>
          <w:trHeight w:val="230"/>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receivable agreement payment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6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4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(7,083)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(4,402)</w:t>
            </w:r>
          </w:p>
        </w:tc>
      </w:tr>
      <w:tr>
        <w:trPr>
          <w:trHeight w:val="256"/>
        </w:trPr>
        <w:tc>
          <w:tcPr>
            <w:tcW w:w="6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tcBorders>
              <w:top w:val="single" w:sz="8" w:color="auto"/>
              <w:right w:val="single" w:sz="8" w:color="CCEEFF"/>
            </w:tcBorders>
            <w:gridSpan w:val="2"/>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r>
      <w:tr>
        <w:trPr>
          <w:trHeight w:val="230"/>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10,693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(862)</w:t>
            </w:r>
          </w:p>
        </w:tc>
      </w:tr>
      <w:tr>
        <w:trPr>
          <w:trHeight w:val="230"/>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beginning of period</w:t>
            </w:r>
          </w:p>
        </w:tc>
        <w:tc>
          <w:tcPr>
            <w:tcW w:w="180" w:type="dxa"/>
            <w:vAlign w:val="bottom"/>
            <w:shd w:val="clear" w:color="auto" w:fill="CCEEFF"/>
          </w:tcPr>
          <w:p>
            <w:pPr>
              <w:spacing w:after="0"/>
              <w:rPr>
                <w:sz w:val="19"/>
                <w:szCs w:val="19"/>
                <w:color w:val="auto"/>
              </w:rPr>
            </w:pP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28,583</w:t>
            </w:r>
          </w:p>
        </w:tc>
        <w:tc>
          <w:tcPr>
            <w:tcW w:w="220" w:type="dxa"/>
            <w:vAlign w:val="bottom"/>
            <w:shd w:val="clear" w:color="auto" w:fill="CCEEFF"/>
          </w:tcPr>
          <w:p>
            <w:pPr>
              <w:spacing w:after="0"/>
              <w:rPr>
                <w:sz w:val="19"/>
                <w:szCs w:val="19"/>
                <w:color w:val="auto"/>
              </w:rPr>
            </w:pPr>
          </w:p>
        </w:tc>
      </w:tr>
      <w:tr>
        <w:trPr>
          <w:trHeight w:val="20"/>
        </w:trPr>
        <w:tc>
          <w:tcPr>
            <w:tcW w:w="6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3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Cash – end of period</w:t>
            </w:r>
          </w:p>
        </w:tc>
        <w:tc>
          <w:tcPr>
            <w:tcW w:w="1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45,043</w:t>
            </w:r>
          </w:p>
        </w:tc>
        <w:tc>
          <w:tcPr>
            <w:tcW w:w="100" w:type="dxa"/>
            <w:vAlign w:val="bottom"/>
          </w:tcPr>
          <w:p>
            <w:pPr>
              <w:spacing w:after="0"/>
              <w:rPr>
                <w:sz w:val="20"/>
                <w:szCs w:val="20"/>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27,721</w:t>
            </w:r>
          </w:p>
        </w:tc>
        <w:tc>
          <w:tcPr>
            <w:tcW w:w="220" w:type="dxa"/>
            <w:vAlign w:val="bottom"/>
          </w:tcPr>
          <w:p>
            <w:pPr>
              <w:spacing w:after="0"/>
              <w:rPr>
                <w:sz w:val="20"/>
                <w:szCs w:val="20"/>
                <w:color w:val="auto"/>
              </w:rPr>
            </w:pPr>
          </w:p>
        </w:tc>
      </w:tr>
      <w:tr>
        <w:trPr>
          <w:trHeight w:val="20"/>
        </w:trPr>
        <w:tc>
          <w:tcPr>
            <w:tcW w:w="6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4"/>
        </w:trPr>
        <w:tc>
          <w:tcPr>
            <w:tcW w:w="6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r>
      <w:tr>
        <w:trPr>
          <w:trHeight w:val="230"/>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capitalized for software development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220" w:type="dxa"/>
            <w:vAlign w:val="bottom"/>
            <w:shd w:val="clear" w:color="auto" w:fill="CCEEFF"/>
          </w:tcPr>
          <w:p>
            <w:pPr>
              <w:spacing w:after="0"/>
              <w:rPr>
                <w:sz w:val="19"/>
                <w:szCs w:val="19"/>
                <w:color w:val="auto"/>
              </w:rPr>
            </w:pPr>
          </w:p>
        </w:tc>
      </w:tr>
      <w:tr>
        <w:trPr>
          <w:trHeight w:val="230"/>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assets included in accounts payable and accrued expenses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Pr>
          <w:p>
            <w:pPr>
              <w:spacing w:after="0"/>
              <w:rPr>
                <w:sz w:val="19"/>
                <w:szCs w:val="19"/>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20" w:type="dxa"/>
            <w:vAlign w:val="bottom"/>
          </w:tcPr>
          <w:p>
            <w:pPr>
              <w:spacing w:after="0"/>
              <w:rPr>
                <w:sz w:val="19"/>
                <w:szCs w:val="19"/>
                <w:color w:val="auto"/>
              </w:rPr>
            </w:pPr>
          </w:p>
        </w:tc>
      </w:tr>
      <w:tr>
        <w:trPr>
          <w:trHeight w:val="198"/>
        </w:trPr>
        <w:tc>
          <w:tcPr>
            <w:tcW w:w="61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Remeasurement of lease liabilities and right-of-use assets due to lease</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4"/>
        </w:trPr>
        <w:tc>
          <w:tcPr>
            <w:tcW w:w="6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modification</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100" w:type="dxa"/>
            <w:vAlign w:val="bottom"/>
            <w:shd w:val="clear" w:color="auto" w:fill="CCEEFF"/>
          </w:tcPr>
          <w:p>
            <w:pPr>
              <w:spacing w:after="0"/>
              <w:rPr>
                <w:sz w:val="20"/>
                <w:szCs w:val="20"/>
                <w:color w:val="auto"/>
              </w:rPr>
            </w:pPr>
          </w:p>
        </w:tc>
        <w:tc>
          <w:tcPr>
            <w:tcW w:w="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61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60" w:type="dxa"/>
            <w:vAlign w:val="bottom"/>
            <w:tcBorders>
              <w:right w:val="single" w:sz="8" w:color="CCEEFF"/>
            </w:tcBorders>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80" w:type="dxa"/>
            <w:vAlign w:val="bottom"/>
            <w:tcBorders>
              <w:right w:val="single" w:sz="8" w:color="CCEEFF"/>
            </w:tcBorders>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jc w:val="both"/>
        <w:ind w:left="640" w:right="319" w:hanging="348"/>
        <w:spacing w:after="0" w:line="241" w:lineRule="auto"/>
        <w:tabs>
          <w:tab w:leader="none" w:pos="64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nine months ended September 30, 2023, provision (recovery) for credit losses and change in accounts receivable have been retrospectively adjusted to reflect the restatement of previously reported revenue and credit losses. See Note 2, “Summary of Significant Accounting Policies,” for further information.</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5" w:name="page146"/>
    <w:bookmarkEnd w:id="1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left="292" w:right="311"/>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71" w:lineRule="exact"/>
        <w:rPr>
          <w:sz w:val="20"/>
          <w:szCs w:val="20"/>
          <w:color w:val="auto"/>
        </w:rPr>
      </w:pPr>
    </w:p>
    <w:p>
      <w:pPr>
        <w:ind w:left="640" w:hanging="348"/>
        <w:spacing w:after="0"/>
        <w:tabs>
          <w:tab w:leader="none" w:pos="64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and Organization</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(the “Company”) operates a leading online cannabis marketplace for consumers together with a comprehensive set of eCommerce and compliance software solutions for cannabis businesses, which are sold to both storefront locations and delivery operators (“retailers”) and brands in the U.S. states and U.S. territories legalized cannabis markets. The Company’s comprehensive two-sided marketplace of business-to-consumer and business-to-business suite of products afford cannabis retailers and brands of all sizes integrated tools to compliantly run their businesses and to reach, convert, and retain consumers.</w:t>
      </w:r>
    </w:p>
    <w:p>
      <w:pPr>
        <w:spacing w:after="0" w:line="8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Company’s business primarily consists of its commerce-driven marketplace (“Weedmaps”), and its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solutions (“POS”), to provide consumers with the ability to browse by strain, price, cannabinoids and other information regarding locally available cannabis products, through the Company’s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 The Company believes the size, loyalty and engagement of its user base and the frequency of consumption of cannabis by its user base makes the Weedmaps marketplace highly valuable to its clients.</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Weedmaps for Business, the Company’s SaaS offering, is a comprehensive set of eCommerce and compliance software solutions catered towards cannabis retailers, delivery services and brands that streamline front and back-end operations and help manage compliance needs. With the development of Weedmaps for Business, the Company offers an end-to-end platform for licensed cannabis retailers to comply with state laws. The Company sells a monthly subscription offering to storefront, delivery and brand clients as well as upsell and add-on offerings to licensed clients. The Company also offers other ad solutions and WM Dispatch for additional fees.</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by and among Silver Spike, Silver Spike Merger Sub LLC, a Delaware limited liability company and a wholly owned direct subsidiary of Silver Spike Acquisition Corp., WM Holding Company, LLC, a Delaware limited liability company (when referred to in its pre-Business Combination capacity, “Legacy WMH” and following the Business Combination, “WMH LLC”), and Ghost Media Group, LLC, a Nevada limited liability company. On the Closing Date, and in connection with the closing of the Business Combination (the “Closing”), Silver Spike was domesticated and continues as a Delaware corporation, changing its name to WM Technology, Inc.</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Legacy WMH was reorganized into an Up-C structure, in which substantially all of the assets and business of Legacy WMH are held by WMH LLC and continue to operate through WMH LLC and its subsidiaries, and WM Technology, Inc.’s material assets are the equity interests of WMH LLC indirectly held by it. Legacy WMH was determined to be the accounting acquirer in the Business Combination, which was accounted for as a reverse recapitalization in accordance with accounting principles generally accepted in the United States of America (“GAAP”).</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of September 30, 2024, the Company had an accumulated deficit of $59.2 million. The Company has funded its operations primarily with customer payments for its services and proceeds from the issuance of common stock in connection with its initial public offering and follow-on offering. As of September 30, 2024, the Company had cash of $45.0 million. The Company believes that its existing sources of liquidity will satisfy its working capital and capital requirements for at least the next twelve months.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6" w:name="page147"/>
    <w:bookmarkEnd w:id="1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left="292" w:right="311"/>
        <w:spacing w:after="0" w:line="259"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ind w:left="640" w:hanging="348"/>
        <w:spacing w:after="0"/>
        <w:tabs>
          <w:tab w:leader="none" w:pos="64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GAAP and the rules and regulations of the Securities and Exchange Commission (“SEC”) for quarterly reports on Form 10-Q and Article 10-1 of Regulation S-X. Accordingly, certain information and footnotes required by GAAP in annual financial statements have been omitted or condensed and these interim financial statements should be read in conjunction with the audited consolidated financial statements and notes thereto included in the Company’s Annual Report on Form 10-K for the year ended December 31, 2023, filed with the SEC on May 24, 2024. The condensed consolidated financial statements of the Company include all adjustments of a normal recurring nature which, in the opinion of management, are necessary for a fair statement of the Company’s financial position as of September 30, 2024, and results of its operations and its cash flows for the interim periods presented. Certain prior period amounts have been reclassified to conform to the current period presentation. The results of operations for the three and nine months ended September 30, 2024 are not necessarily indicative of the results to be expected for the entire year. There have been no significant changes in the Company’s accounting policies from those described in the Company’s audited consolidated financial statements and the related notes to those statements.</w:t>
      </w: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WM Technology, Inc. and WMH LLC, including their wholly and majority owned subsidiaries. In conformity with GAAP, all significant intercompany accounts and transactions have been eliminated.</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Restatement of Previously Reported 2023 Quarterly Revenue and Credit Losses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preparation of the Company's Consolidated Financial Statements as of and for the fiscal year ended December 31, 2023, the Company discovered that in 2023, it had an inadequate policy associated with its revenue recognition related to the cash collection of a certain subset of its customers that had been placed on cash basis in 2023. For these customers, because the determination had been made that there was significant collection risk and the Company had no ability to estimate the collectability of the consideration it was entitled to, revenue recognition was prohibited under Accounting Standards Codification, (“ASC”), Topic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until cash was collected for the services that were provided. The Company refers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in this situation as customers that have been placed on cash basis. As further discussed below, in 2023 the Company misapplied this policy in each of the first three quarters of 2023 by failing to apply (in certain cases) cash receipts to prior accounts receivable (via a credit loss recovery) and instead recognized additional revenue for the cash receipt.</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recognizes revenue from contracts with customers under ASC 606. The core principle of the revenue standard is that a company should recognize revenue to depict the transfer of promised goods or services to customers in an amount that reflects the consideration to which the company expects to be entitled in exchange for those goods or services. Once the Company believes that it is no longer probable of collecting substantially all of the consideration to which it will be entitled in exchange for the goods or services transferred to the customer and as such is prohibited from recognizing revenue until it is probable that it will be entitled to all of the consideration. As such, when a customer with significant collection risk is identified, the Company fully reserves for all outstanding accounts receivable and records a credit loss for these receivables.</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Initially, revenue for contracts that the Company assesses are not probable of collection is not recognized until the customer has paid or settled all outstanding accounts receivable balances.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When services are still provided to customers that have been identified with significant collection risk, the Company initially applies all payments received against the customers oldest invoices. However, if the Company continues to provide services to these customers for a significant period of time, cash collections have stabilized and other factors indicate it is appropriate, cash collections are assessed to determine if any of the on-going cash receipts should be accounted for as variable consideration under ASC 606 for on-going services instead of recovery of credit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7" w:name="page148"/>
    <w:bookmarkEnd w:id="1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losses. To date, no material variable consideration has been recognized and after applying the corrections shown in the table below, all cash collections for these customers are reflected as recovery of credit losses.</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Due to the inconsistency of the cash application related to the cash basis customers, and the prohibition on recognizing revenue when the Company does not believe it will receive the consideration it is entitled to, the Company had determined that it had improperly recognized revenue for these customers and should have instead recognized a credit loss recovery related to these cash receipts.</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All periods presented below have been retrospectively restated to reflect the effects of the change to revenues and operating expenses. There was no impact to operating income (loss), net income (loss), net income (loss) per share, net cash provided by operating activities and adjusted EBITDA for any periods presented. The consolidated statement of equity is not affected by this restatement.</w:t>
      </w:r>
    </w:p>
    <w:p>
      <w:pPr>
        <w:spacing w:after="0" w:line="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Company has restated its unaudited condensed consolidated statements of operations for the period ended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September 30, 2023 as follows (in thousands):</w:t>
      </w:r>
    </w:p>
    <w:p>
      <w:pPr>
        <w:spacing w:after="0" w:line="200" w:lineRule="exact"/>
        <w:rPr>
          <w:sz w:val="20"/>
          <w:szCs w:val="20"/>
          <w:color w:val="auto"/>
        </w:rPr>
      </w:pPr>
    </w:p>
    <w:p>
      <w:pPr>
        <w:spacing w:after="0" w:line="24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23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4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3560" w:type="dxa"/>
            <w:vAlign w:val="bottom"/>
          </w:tcPr>
          <w:p>
            <w:pPr>
              <w:spacing w:after="0"/>
              <w:rPr>
                <w:sz w:val="16"/>
                <w:szCs w:val="16"/>
                <w:color w:val="auto"/>
              </w:rPr>
            </w:pPr>
          </w:p>
        </w:tc>
        <w:tc>
          <w:tcPr>
            <w:tcW w:w="23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20" w:type="dxa"/>
            <w:vAlign w:val="bottom"/>
          </w:tcPr>
          <w:p>
            <w:pPr>
              <w:spacing w:after="0"/>
              <w:rPr>
                <w:sz w:val="16"/>
                <w:szCs w:val="16"/>
                <w:color w:val="auto"/>
              </w:rPr>
            </w:pPr>
          </w:p>
        </w:tc>
        <w:tc>
          <w:tcPr>
            <w:tcW w:w="240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3560" w:type="dxa"/>
            <w:vAlign w:val="bottom"/>
          </w:tcPr>
          <w:p>
            <w:pPr>
              <w:spacing w:after="0"/>
              <w:rPr>
                <w:sz w:val="12"/>
                <w:szCs w:val="12"/>
                <w:color w:val="auto"/>
              </w:rPr>
            </w:pPr>
          </w:p>
        </w:tc>
        <w:tc>
          <w:tcPr>
            <w:tcW w:w="6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100" w:type="dxa"/>
            <w:vAlign w:val="bottom"/>
          </w:tcPr>
          <w:p>
            <w:pPr>
              <w:spacing w:after="0"/>
              <w:rPr>
                <w:sz w:val="12"/>
                <w:szCs w:val="12"/>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0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0" w:type="dxa"/>
            <w:vAlign w:val="bottom"/>
          </w:tcPr>
          <w:p>
            <w:pPr>
              <w:spacing w:after="0"/>
              <w:rPr>
                <w:sz w:val="12"/>
                <w:szCs w:val="12"/>
                <w:color w:val="auto"/>
              </w:rPr>
            </w:pPr>
          </w:p>
        </w:tc>
        <w:tc>
          <w:tcPr>
            <w:tcW w:w="6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00" w:type="dxa"/>
            <w:vAlign w:val="bottom"/>
          </w:tcPr>
          <w:p>
            <w:pPr>
              <w:spacing w:after="0"/>
              <w:rPr>
                <w:sz w:val="12"/>
                <w:szCs w:val="12"/>
                <w:color w:val="auto"/>
              </w:rPr>
            </w:pPr>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0"/>
        </w:trPr>
        <w:tc>
          <w:tcPr>
            <w:tcW w:w="356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$47,725</w:t>
            </w:r>
          </w:p>
        </w:tc>
        <w:tc>
          <w:tcPr>
            <w:tcW w:w="84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$(1,038)</w:t>
            </w:r>
          </w:p>
        </w:tc>
        <w:tc>
          <w:tcPr>
            <w:tcW w:w="8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$46,687</w:t>
            </w:r>
          </w:p>
        </w:tc>
        <w:tc>
          <w:tcPr>
            <w:tcW w:w="7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$146,584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$141,526</w:t>
            </w:r>
          </w:p>
        </w:tc>
        <w:tc>
          <w:tcPr>
            <w:tcW w:w="0" w:type="dxa"/>
            <w:vAlign w:val="bottom"/>
          </w:tcPr>
          <w:p>
            <w:pPr>
              <w:spacing w:after="0"/>
              <w:rPr>
                <w:sz w:val="1"/>
                <w:szCs w:val="1"/>
                <w:color w:val="auto"/>
              </w:rPr>
            </w:pPr>
          </w:p>
        </w:tc>
      </w:tr>
      <w:tr>
        <w:trPr>
          <w:trHeight w:val="239"/>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$19,189</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7"/>
              </w:rPr>
              <w:t>$(1,038)</w:t>
            </w:r>
          </w:p>
        </w:tc>
        <w:tc>
          <w:tcPr>
            <w:tcW w:w="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$18,151</w:t>
            </w:r>
          </w:p>
        </w:tc>
        <w:tc>
          <w:tcPr>
            <w:tcW w:w="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$ 60,897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$ 55,839</w:t>
            </w:r>
          </w:p>
        </w:tc>
        <w:tc>
          <w:tcPr>
            <w:tcW w:w="0" w:type="dxa"/>
            <w:vAlign w:val="bottom"/>
          </w:tcPr>
          <w:p>
            <w:pPr>
              <w:spacing w:after="0"/>
              <w:rPr>
                <w:sz w:val="1"/>
                <w:szCs w:val="1"/>
                <w:color w:val="auto"/>
              </w:rPr>
            </w:pPr>
          </w:p>
        </w:tc>
      </w:tr>
      <w:tr>
        <w:trPr>
          <w:trHeight w:val="234"/>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$53,273</w:t>
            </w:r>
          </w:p>
        </w:tc>
        <w:tc>
          <w:tcPr>
            <w:tcW w:w="84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$(1,038)</w:t>
            </w:r>
          </w:p>
        </w:tc>
        <w:tc>
          <w:tcPr>
            <w:tcW w:w="8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$52,235</w:t>
            </w:r>
          </w:p>
        </w:tc>
        <w:tc>
          <w:tcPr>
            <w:tcW w:w="7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$152,497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$147,439</w:t>
            </w:r>
          </w:p>
        </w:tc>
        <w:tc>
          <w:tcPr>
            <w:tcW w:w="0" w:type="dxa"/>
            <w:vAlign w:val="bottom"/>
          </w:tcPr>
          <w:p>
            <w:pPr>
              <w:spacing w:after="0"/>
              <w:rPr>
                <w:sz w:val="1"/>
                <w:szCs w:val="1"/>
                <w:color w:val="auto"/>
              </w:rPr>
            </w:pPr>
          </w:p>
        </w:tc>
      </w:tr>
      <w:tr>
        <w:trPr>
          <w:trHeight w:val="54"/>
        </w:trPr>
        <w:tc>
          <w:tcPr>
            <w:tcW w:w="356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Company has restated its unaudited condensed consolidated Statements of Cash Flows for period ended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September 30, 2023 as follows (in thousands):</w:t>
      </w:r>
    </w:p>
    <w:p>
      <w:pPr>
        <w:spacing w:after="0" w:line="200" w:lineRule="exact"/>
        <w:rPr>
          <w:sz w:val="20"/>
          <w:szCs w:val="20"/>
          <w:color w:val="auto"/>
        </w:rPr>
      </w:pPr>
    </w:p>
    <w:p>
      <w:pPr>
        <w:spacing w:after="0" w:line="243"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4"/>
          <w:szCs w:val="14"/>
          <w:b w:val="1"/>
          <w:bCs w:val="1"/>
          <w:color w:val="auto"/>
        </w:rPr>
        <w:t>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22225</wp:posOffset>
            </wp:positionV>
            <wp:extent cx="163703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1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Previously</w:t>
            </w:r>
          </w:p>
        </w:tc>
        <w:tc>
          <w:tcPr>
            <w:tcW w:w="220" w:type="dxa"/>
            <w:vAlign w:val="bottom"/>
          </w:tcPr>
          <w:p>
            <w:pPr>
              <w:spacing w:after="0"/>
              <w:rPr>
                <w:sz w:val="13"/>
                <w:szCs w:val="13"/>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0" w:type="dxa"/>
            <w:vAlign w:val="bottom"/>
          </w:tcPr>
          <w:p>
            <w:pPr>
              <w:spacing w:after="0"/>
              <w:rPr>
                <w:sz w:val="13"/>
                <w:szCs w:val="13"/>
                <w:color w:val="auto"/>
              </w:rPr>
            </w:pPr>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0"/>
        </w:trPr>
        <w:tc>
          <w:tcPr>
            <w:tcW w:w="584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provided by</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(recovery) for credit losses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9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$(5,058)</w:t>
            </w:r>
          </w:p>
        </w:tc>
        <w:tc>
          <w:tcPr>
            <w:tcW w:w="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(196)</w:t>
            </w:r>
          </w:p>
        </w:tc>
        <w:tc>
          <w:tcPr>
            <w:tcW w:w="0" w:type="dxa"/>
            <w:vAlign w:val="bottom"/>
          </w:tcPr>
          <w:p>
            <w:pPr>
              <w:spacing w:after="0"/>
              <w:rPr>
                <w:sz w:val="1"/>
                <w:szCs w:val="1"/>
                <w:color w:val="auto"/>
              </w:rPr>
            </w:pPr>
          </w:p>
        </w:tc>
      </w:tr>
      <w:tr>
        <w:trPr>
          <w:trHeight w:val="247"/>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9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$ 5,058</w:t>
            </w:r>
          </w:p>
        </w:tc>
        <w:tc>
          <w:tcPr>
            <w:tcW w:w="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$5,320</w:t>
            </w:r>
          </w:p>
        </w:tc>
        <w:tc>
          <w:tcPr>
            <w:tcW w:w="0" w:type="dxa"/>
            <w:vAlign w:val="bottom"/>
          </w:tcPr>
          <w:p>
            <w:pPr>
              <w:spacing w:after="0"/>
              <w:rPr>
                <w:sz w:val="1"/>
                <w:szCs w:val="1"/>
                <w:color w:val="auto"/>
              </w:rPr>
            </w:pPr>
          </w:p>
        </w:tc>
      </w:tr>
    </w:tbl>
    <w:p>
      <w:pPr>
        <w:spacing w:after="0" w:line="3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three and nine months ended September 30, 2024 and 2023.</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interim condensed consolidated financial statements and the reported amounts of revenues and expenses during the reporting period. Actual results could differ from those estimates.</w:t>
      </w:r>
    </w:p>
    <w:p>
      <w:pPr>
        <w:spacing w:after="0" w:line="75"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Significant estimates made by management include, the allowance for credit losses, the useful lives of long-lived assets, income taxes, website and internal-use software development costs, leases, valuation of goodwill and other intangible assets, valuation of warrant liability, deferred tax assets and the related valuation allowance, tax receivable agreement (“TRA”) liability, revenue recognition, performance and stock-based compensation and the recognition and disclosure of contingent liabilities.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8" w:name="page149"/>
    <w:bookmarkEnd w:id="1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Company operates in a relatively new industry where laws and regulations vary significantly by jurisdiction. As of September 30, 2024, thirty-nine states, the District of Columbia, Puerto Rico, the Virgin Islands, and Guam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three states continue to prohibit cannabis entirely. Additionally, while a number of U.S. legislators have introduced various bills to legalize cannabis at the federal level, none of these bills has become law. Currently, under federal law, cannabis, other than hemp (defined by the U.S. government as Cannabis sativa L. with a THC concentration of not more than 0.3% on a dry weight basis), is still a Schedule I controlled substance under the Controlled Substances Act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can be a predicate for certain other crimes, including money laundering laws and the Racketeer Influenced and Corrupt Organizations Act. If any state that permits use of cannabis was to change their laws or the federal government was to actively enforce the CSA or other laws related to the federal prohibition on cannabis, the Company’s business could be adversely affected.</w:t>
      </w:r>
    </w:p>
    <w:p>
      <w:pPr>
        <w:spacing w:after="0" w:line="8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addition, the Company’s ability to grow and meet its operating objectives depends largely on the continued legalization and regulation of cannabis on a widespread basis. There can be no assurance that such legalization will occur on a timely basis, or at all.</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geographic concentration of the Company’s clients makes the Company vulnerable to a downturn in the local market area. Historically, the Company’s business operations have been located primarily in the State of California. See Note 3, “Revenue from Contracts with Customers,” to these condensed consolidated financial statements for additional information.</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9" w:lineRule="exact"/>
        <w:rPr>
          <w:sz w:val="20"/>
          <w:szCs w:val="20"/>
          <w:color w:val="auto"/>
        </w:rPr>
      </w:pPr>
    </w:p>
    <w:p>
      <w:pPr>
        <w:jc w:val="both"/>
        <w:ind w:left="300" w:right="299"/>
        <w:spacing w:after="0" w:line="267" w:lineRule="auto"/>
        <w:rPr>
          <w:sz w:val="20"/>
          <w:szCs w:val="20"/>
          <w:color w:val="auto"/>
        </w:rPr>
      </w:pPr>
      <w:r>
        <w:rPr>
          <w:rFonts w:ascii="Times New Roman" w:cs="Times New Roman" w:eastAsia="Times New Roman" w:hAnsi="Times New Roman"/>
          <w:sz w:val="18"/>
          <w:szCs w:val="18"/>
          <w:color w:val="auto"/>
        </w:rPr>
        <w:t xml:space="preserve">The Company follows the guidance in ASC 820 </w:t>
      </w:r>
      <w:r>
        <w:rPr>
          <w:rFonts w:ascii="Times New Roman" w:cs="Times New Roman" w:eastAsia="Times New Roman" w:hAnsi="Times New Roman"/>
          <w:sz w:val="18"/>
          <w:szCs w:val="18"/>
          <w:i w:val="1"/>
          <w:iCs w:val="1"/>
          <w:color w:val="auto"/>
        </w:rPr>
        <w:t>– Fair Value Measurements</w:t>
      </w:r>
      <w:r>
        <w:rPr>
          <w:rFonts w:ascii="Times New Roman" w:cs="Times New Roman" w:eastAsia="Times New Roman" w:hAnsi="Times New Roman"/>
          <w:sz w:val="18"/>
          <w:szCs w:val="18"/>
          <w:color w:val="auto"/>
        </w:rPr>
        <w:t xml:space="preserve"> for its financial assets and liabilities that are re-measured and reported at fair value at each reporting period. See Note 5, “Fair Value Measurements” to these condensed consolidated financial statements for additional information.</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A receivable is recorded when an unconditional right to invoice and receive payment exists. Accounts receivable primarily include amounts related to receivables from customers. Receivables are shown net of allowance for credit losses which is maintained at a level that management believes to be sufficient to absorb estimated losses in the accounts receivable portfolio. The Company measures credit losses on its trade accounts receivable using the current expected credit loss model under ASC 326 </w:t>
      </w:r>
      <w:r>
        <w:rPr>
          <w:rFonts w:ascii="Times New Roman" w:cs="Times New Roman" w:eastAsia="Times New Roman" w:hAnsi="Times New Roman"/>
          <w:sz w:val="18"/>
          <w:szCs w:val="18"/>
          <w:i w:val="1"/>
          <w:iCs w:val="1"/>
          <w:color w:val="auto"/>
        </w:rPr>
        <w:t>– Financial Instruments – Credit Losses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Company calculates the expected credit losses on a pool basis for trade receivables that have similar risk characteristics. For trade receivables that do not share similar risk characteristics, the allowance for credit losses is calculated on an individual basis. Risk characteristics relevant to the Company’s accounts receivable include balance of customer account and aging status.</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Account balances are written off against the allowance when it is determined that it is probable that the receivable will not be recovered. The Company had allowance for credit losses of $0.9 million and $8.7 million as of September 30, 2024 and December 31, 2023, respectively.</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no customer accounted for more than 10% of the total gross accounts receivable outstanding.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9" w:name="page150"/>
    <w:bookmarkEnd w:id="1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292" w:right="311"/>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summarizes the changes in the allowance for credit losses:</w:t>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226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200" w:type="dxa"/>
            <w:vAlign w:val="bottom"/>
            <w:gridSpan w:val="8"/>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3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154"/>
        </w:trPr>
        <w:tc>
          <w:tcPr>
            <w:tcW w:w="3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3"/>
          </w:tcPr>
          <w:p>
            <w:pPr>
              <w:jc w:val="center"/>
              <w:ind w:left="315"/>
              <w:spacing w:after="0" w:line="154"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3"/>
          </w:tcPr>
          <w:p>
            <w:pPr>
              <w:jc w:val="center"/>
              <w:ind w:left="315"/>
              <w:spacing w:after="0" w:line="154"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Pr>
          <w:p>
            <w:pPr>
              <w:spacing w:after="0"/>
              <w:rPr>
                <w:sz w:val="13"/>
                <w:szCs w:val="13"/>
                <w:color w:val="auto"/>
              </w:rPr>
            </w:pPr>
          </w:p>
        </w:tc>
      </w:tr>
      <w:tr>
        <w:trPr>
          <w:trHeight w:val="244"/>
        </w:trPr>
        <w:tc>
          <w:tcPr>
            <w:tcW w:w="38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Borders>
              <w:bottom w:val="single" w:sz="8" w:color="auto"/>
            </w:tcBorders>
            <w:gridSpan w:val="3"/>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w w:val="98"/>
              </w:rPr>
              <w:t>As Restated</w:t>
            </w:r>
            <w:r>
              <w:rPr>
                <w:rFonts w:ascii="Times New Roman" w:cs="Times New Roman" w:eastAsia="Times New Roman" w:hAnsi="Times New Roman"/>
                <w:sz w:val="23"/>
                <w:szCs w:val="23"/>
                <w:b w:val="1"/>
                <w:bCs w:val="1"/>
                <w:color w:val="auto"/>
                <w:w w:val="98"/>
                <w:vertAlign w:val="superscript"/>
              </w:rPr>
              <w:t>1</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Borders>
              <w:bottom w:val="single" w:sz="8" w:color="auto"/>
            </w:tcBorders>
            <w:gridSpan w:val="3"/>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r>
      <w:tr>
        <w:trPr>
          <w:trHeight w:val="25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beginning of period</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4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3"/>
            <w:shd w:val="clear" w:color="auto" w:fill="CCEEFF"/>
          </w:tcPr>
          <w:p>
            <w:pPr>
              <w:jc w:val="center"/>
              <w:ind w:left="295"/>
              <w:spacing w:after="0"/>
              <w:rPr>
                <w:sz w:val="20"/>
                <w:szCs w:val="20"/>
                <w:color w:val="auto"/>
              </w:rPr>
            </w:pPr>
            <w:r>
              <w:rPr>
                <w:rFonts w:ascii="Times New Roman" w:cs="Times New Roman" w:eastAsia="Times New Roman" w:hAnsi="Times New Roman"/>
                <w:sz w:val="18"/>
                <w:szCs w:val="18"/>
                <w:color w:val="auto"/>
              </w:rPr>
              <w:t>$10,202</w:t>
            </w:r>
          </w:p>
        </w:tc>
        <w:tc>
          <w:tcPr>
            <w:tcW w:w="260" w:type="dxa"/>
            <w:vAlign w:val="bottom"/>
            <w:shd w:val="clear" w:color="auto" w:fill="CCEEFF"/>
          </w:tcPr>
          <w:p>
            <w:pPr>
              <w:spacing w:after="0"/>
              <w:rPr>
                <w:sz w:val="21"/>
                <w:szCs w:val="21"/>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8,748</w:t>
            </w:r>
          </w:p>
        </w:tc>
        <w:tc>
          <w:tcPr>
            <w:tcW w:w="12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3"/>
            <w:shd w:val="clear" w:color="auto" w:fill="CCEEFF"/>
          </w:tcPr>
          <w:p>
            <w:pPr>
              <w:jc w:val="center"/>
              <w:ind w:left="295"/>
              <w:spacing w:after="0"/>
              <w:rPr>
                <w:sz w:val="20"/>
                <w:szCs w:val="20"/>
                <w:color w:val="auto"/>
              </w:rPr>
            </w:pPr>
            <w:r>
              <w:rPr>
                <w:rFonts w:ascii="Times New Roman" w:cs="Times New Roman" w:eastAsia="Times New Roman" w:hAnsi="Times New Roman"/>
                <w:sz w:val="18"/>
                <w:szCs w:val="18"/>
                <w:color w:val="auto"/>
                <w:w w:val="99"/>
              </w:rPr>
              <w:t>$12,232</w:t>
            </w:r>
          </w:p>
        </w:tc>
        <w:tc>
          <w:tcPr>
            <w:tcW w:w="260" w:type="dxa"/>
            <w:vAlign w:val="bottom"/>
            <w:shd w:val="clear" w:color="auto" w:fill="CCEEFF"/>
          </w:tcPr>
          <w:p>
            <w:pPr>
              <w:spacing w:after="0"/>
              <w:rPr>
                <w:sz w:val="21"/>
                <w:szCs w:val="21"/>
                <w:color w:val="auto"/>
              </w:rPr>
            </w:pPr>
          </w:p>
        </w:tc>
      </w:tr>
      <w:tr>
        <w:trPr>
          <w:trHeight w:val="23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Provision (recovery) for credit losses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4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Pr>
          <w:p>
            <w:pPr>
              <w:spacing w:after="0"/>
              <w:rPr>
                <w:sz w:val="20"/>
                <w:szCs w:val="20"/>
                <w:color w:val="auto"/>
              </w:rPr>
            </w:pPr>
          </w:p>
        </w:tc>
        <w:tc>
          <w:tcPr>
            <w:tcW w:w="13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(196)</w:t>
            </w:r>
          </w:p>
        </w:tc>
      </w:tr>
      <w:tr>
        <w:trPr>
          <w:trHeight w:val="243"/>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200" w:type="dxa"/>
            <w:vAlign w:val="bottom"/>
            <w:shd w:val="clear" w:color="auto" w:fill="CCEEFF"/>
          </w:tcPr>
          <w:p>
            <w:pPr>
              <w:spacing w:after="0"/>
              <w:rPr>
                <w:sz w:val="21"/>
                <w:szCs w:val="21"/>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140" w:type="dxa"/>
            <w:vAlign w:val="bottom"/>
            <w:shd w:val="clear" w:color="auto" w:fill="CCEEFF"/>
          </w:tcPr>
          <w:p>
            <w:pPr>
              <w:spacing w:after="0"/>
              <w:rPr>
                <w:sz w:val="21"/>
                <w:szCs w:val="21"/>
                <w:color w:val="auto"/>
              </w:rPr>
            </w:pPr>
          </w:p>
        </w:tc>
        <w:tc>
          <w:tcPr>
            <w:tcW w:w="420" w:type="dxa"/>
            <w:vAlign w:val="bottom"/>
            <w:gridSpan w:val="2"/>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260" w:type="dxa"/>
            <w:vAlign w:val="bottom"/>
            <w:shd w:val="clear" w:color="auto" w:fill="CCEEFF"/>
          </w:tcPr>
          <w:p>
            <w:pPr>
              <w:spacing w:after="0"/>
              <w:rPr>
                <w:sz w:val="21"/>
                <w:szCs w:val="21"/>
                <w:color w:val="auto"/>
              </w:rPr>
            </w:pPr>
          </w:p>
        </w:tc>
        <w:tc>
          <w:tcPr>
            <w:tcW w:w="320" w:type="dxa"/>
            <w:vAlign w:val="bottom"/>
            <w:gridSpan w:val="2"/>
            <w:shd w:val="clear" w:color="auto" w:fill="CCEEFF"/>
          </w:tcPr>
          <w:p>
            <w:pPr>
              <w:spacing w:after="0"/>
              <w:rPr>
                <w:sz w:val="21"/>
                <w:szCs w:val="21"/>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(7,595)</w:t>
            </w:r>
          </w:p>
        </w:tc>
        <w:tc>
          <w:tcPr>
            <w:tcW w:w="120" w:type="dxa"/>
            <w:vAlign w:val="bottom"/>
            <w:shd w:val="clear" w:color="auto" w:fill="CCEEFF"/>
          </w:tcPr>
          <w:p>
            <w:pPr>
              <w:spacing w:after="0"/>
              <w:rPr>
                <w:sz w:val="21"/>
                <w:szCs w:val="21"/>
                <w:color w:val="auto"/>
              </w:rPr>
            </w:pPr>
          </w:p>
        </w:tc>
        <w:tc>
          <w:tcPr>
            <w:tcW w:w="420" w:type="dxa"/>
            <w:vAlign w:val="bottom"/>
            <w:gridSpan w:val="2"/>
            <w:shd w:val="clear" w:color="auto" w:fill="CCEEFF"/>
          </w:tcPr>
          <w:p>
            <w:pPr>
              <w:spacing w:after="0"/>
              <w:rPr>
                <w:sz w:val="21"/>
                <w:szCs w:val="21"/>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(2,932)</w:t>
            </w:r>
          </w:p>
        </w:tc>
      </w:tr>
      <w:tr>
        <w:trPr>
          <w:trHeight w:val="31"/>
        </w:trPr>
        <w:tc>
          <w:tcPr>
            <w:tcW w:w="38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r>
      <w:tr>
        <w:trPr>
          <w:trHeight w:val="243"/>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Allowance, end of period</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4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$ 9,104</w:t>
            </w:r>
          </w:p>
        </w:tc>
        <w:tc>
          <w:tcPr>
            <w:tcW w:w="260" w:type="dxa"/>
            <w:vAlign w:val="bottom"/>
          </w:tcPr>
          <w:p>
            <w:pPr>
              <w:spacing w:after="0"/>
              <w:rPr>
                <w:sz w:val="21"/>
                <w:szCs w:val="21"/>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2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$ 9,104</w:t>
            </w:r>
          </w:p>
        </w:tc>
        <w:tc>
          <w:tcPr>
            <w:tcW w:w="260" w:type="dxa"/>
            <w:vAlign w:val="bottom"/>
          </w:tcPr>
          <w:p>
            <w:pPr>
              <w:spacing w:after="0"/>
              <w:rPr>
                <w:sz w:val="21"/>
                <w:szCs w:val="21"/>
                <w:color w:val="auto"/>
              </w:rPr>
            </w:pPr>
          </w:p>
        </w:tc>
      </w:tr>
      <w:tr>
        <w:trPr>
          <w:trHeight w:val="21"/>
        </w:trPr>
        <w:tc>
          <w:tcPr>
            <w:tcW w:w="3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jc w:val="both"/>
        <w:ind w:left="640" w:right="319" w:hanging="348"/>
        <w:spacing w:after="0" w:line="241" w:lineRule="auto"/>
        <w:tabs>
          <w:tab w:leader="none" w:pos="64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Provision (recovery) for credit losses for the three and nine months ended September 30, 2023 and related allowance at the end of the period September 30, 2023, has been retrospectively adjusted to reflect the restatement of previously reported credit losses. See </w:t>
      </w:r>
      <w:r>
        <w:rPr>
          <w:rFonts w:ascii="Times New Roman" w:cs="Times New Roman" w:eastAsia="Times New Roman" w:hAnsi="Times New Roman"/>
          <w:sz w:val="14"/>
          <w:szCs w:val="14"/>
          <w:i w:val="1"/>
          <w:iCs w:val="1"/>
          <w:color w:val="auto"/>
        </w:rPr>
        <w:t xml:space="preserve">Restatement of Previously Reported 2023 Quarterly Revenue and Credit Losses </w:t>
      </w:r>
      <w:r>
        <w:rPr>
          <w:rFonts w:ascii="Times New Roman" w:cs="Times New Roman" w:eastAsia="Times New Roman" w:hAnsi="Times New Roman"/>
          <w:sz w:val="14"/>
          <w:szCs w:val="14"/>
          <w:color w:val="auto"/>
        </w:rPr>
        <w:t>above for further information.</w:t>
      </w:r>
    </w:p>
    <w:p>
      <w:pPr>
        <w:spacing w:after="0" w:line="2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consist of internally developed software, computer equipment, furniture and fixtures and leasehold improvements. Depreciation is computed using the straight-line method over the estimated useful lives of the assets and generally over three years for computer equipment and seven years for furniture and fixtures. Leasehold improvements are amortized using the straight-line method over the shorter of their estimated useful lives or the remaining term of the related lease. Maintenance and repairs are expensed as incurred. When assets are retired or otherwise disposed of, the cost and related accumulated depreciation are removed from the accounts and any resulting gain or loss is reflected in the Company’s condensed consolidated statements of operations.</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assesses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 No impairments to property and equipment were recorded during the three and nine months ended September 30, 2024. The Company recorded a non-cash property and equipment impairment charge of $2.3 million for the three and nine months ended September 30, 2023 related to certain product offerings that were sunset in December 2023, which is included in asset impairment charges in the condensed consolidated statements of operations.</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Capitalized website and internal-use software development costs are included in property and equipment in the accompanying condensed consolidated balance sheets. The Company capitalizes certain costs related to the development and enhancement of the Weedmaps platform and SaaS solutions. The Company began to capitalize these costs when preliminary development efforts were successfully completed, management has authorized and committed project funding, and it was probable that the project would be completed and the software would be used as intended. Capitalization ceases upon completion of all substantial testing. Maintenance and training costs are expensed as incurred. Such costs are amortized when placed in service, on a straight-line basis over the estimated useful life of the related asset, generally estimated to be three years. Costs incurred for enhancements that were expected to result in additional features or functionality are capitalized and expensed over the estimated useful life of the enhancements, generally three years. Product development costs include compensation and benefits for employees, including engineering and technical teams who are responsible for building new products, as well as maintaining and improving existing products. Product development costs that do not meet the criteria for capitalization are expensed as incurred.</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 of September 30, 2024 and December 31, 2023, the Company has $23.7 million and $23.1 million in capitalized software costs, net, respectively which are recorded within property and equipment, net on the Company’s condensed consolidated balance sheets. During the three months ended September 30, 2024 and 2023, the Company amortized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0" w:name="page151"/>
    <w:bookmarkEnd w:id="1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$3.1 million and $2.2 million, respectively. During the nine months ended September 30, 2024 and 2023, the Company amortized $8.4 million and $5.4 million, respectively. Amortization of internal-use software development costs is included in depreciation and amortization expense in the accompanying condensed consolidated statements of operations.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Goodwill consists of the excess of the purchase price over the fair value of identifiable net assets of businesses acquired. Goodwill is reviewed for impairment each year using a qualitative or quantitative process that is performed at least annually as of December 31, such as changes in the business climate, poor indicators of operating performance or the sale or disposition of a significant portion of a reporting unit. As of September 30, 2024 and December 31, 2023, the Company has $68.4 million in goodwill.</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testing for goodwill impairment, the Company may elect to utilize a qualitative assessment to evaluate whether it is more likely than not that the fair value of a reporting unit exceeds the carrying value. If it is determined that it is unlikely that the carrying value exceeds the fair value, the Company is not required to complete the quantitative goodwill impairment evaluation. If it is determined that the carrying value may exceed fair value when considering qualitative factors, a quantitative goodwill impairment evaluation is performed. When performing the quantitative evaluation, if the carrying value of the reporting unit exceeds its fair value, an impairment loss equal to the difference will be recorded.</w:t>
      </w:r>
    </w:p>
    <w:p>
      <w:pPr>
        <w:spacing w:after="0" w:line="8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Goodwill is assessed for impairment annually on December 31. For the year ended December 31, 2023, in accordance with the Company’s annual assessment policy, the Company opted to bypass the qualitative assessment and performed a quantitative assessment to test goodwill for impairment. As part of the Company’s impairment assessment, the fair value of the reporting unit is estimated using a discounted cash flow valuation which incorporates assumptions regarding long-term growth rates, revenue and earnings projections, estimation of cash flows, discount rates and other factors. For the year ended December 31, 2023, in conducting the quantitative assessment, it was determined that the fair value of the goodwill exceeded its carrying amount by approximately 18%, and as a result, no impairment existed as of the annual assessment date of December 31, 2023. If the Company’s forecasts of cash flows or other key inputs are negatively revised in the future, the estimated fair value of the reporting unit would be adversely impacted, potentially leading to an impairment in the future that could materially affect our operating results. There were no goodwill impairment charges recorded for the three and nine months ended September 30, 2024 and 2023.</w:t>
      </w:r>
    </w:p>
    <w:p>
      <w:pPr>
        <w:spacing w:after="0" w:line="8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Intangible assets are recorded at cost less accumulated amortization. Intangible assets are reviewed for impairment whenever events or changes in circumstances may affect the recoverability of the net assets. Such reviews may include an analysis of current results and take into consideration the undiscounted value of projected operating cash flows. The Company recorded a non-cash intangible impairment charge of $6.1 million for the three and nine months ended September 30, 2023 related to certain product offerings that were sunset in December 2023, which is included in asset impairment charges in the condensed consolidated statements of operations. There were no intangible asset impairment charges recorded for the three and nine months ended September 30, 2024. See Note 6, “Intangible Assets,” to these condensed consolidated financial statements for additional information.</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Company’s operating leases consist of office space located in the United States. The Company does not have any leases classified as financing leases. The Company classifies arrangements meeting the definition of a lease as operating or financing leases, and leases are recorded on the condensed consolidated balance sheets as both a right-of-use asset (“ROU”) and lease 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Operating lease assets and liabilities are recognized at commencement date based on the present value of lease payments over the lease term. For finance leases, interest on the lease liability and the amortization of the right-of-use asset results in front-loaded expense over the lease term. Variable lease expenses are recorded when incurred.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1" w:name="page152"/>
    <w:bookmarkEnd w:id="1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calculating the right-of-use asset and lease liability, the Company elects to combine lease and non-lease components for all classes of assets. The Company excludes short-term leases having initial terms of 12 months or less from the new guidance as an accounting policy election, and instead recognizes rent expense on a straight-line basis over the lease term.</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 assesses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fair values of ROU assets were estimated using an income approach based on management’s forecast of future cash flows expected to be derived based on the sublease market rent. First, the Company tests the asset group for recoverability by 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the Company performs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the Company relies on a discounted cash flow approach using market participant assumptions of the expected cash flows. During the three and nine months ended September 30, 2024 and 2023, the Company recognized no impairment charge related to ROU assets.</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Net rent expense for the three months ended September 30, 2024 and 2023 was $1.7 million and $2.2 million, respectively. Net rent expense for the nine months ended September 30, 2024 and 2023 was $5.8 million and $6.6 million, respectively. Rent expense is included in general and administrative expense in the accompanying condensed consolidated statements of operations.</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the third quarter of 2024, the Company amended its lease associated with its corporate headquarters located in Irvine, California. The amendment extended the lease term five years through February 2030 and reduced the leased square footage. The lease extension was accounted for as a lease modification, and the Company remeasured its lease liability and ROU asset using an incremental borrowing rate of 11.5% and recognized a non-cash lease liability of $3.3 million and the related non-cash ROU asset of $3.3 million. The lease classification remained as an operating lease.</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in the second quarter 2024, the Company paid $0.1 million to terminate a lease agreement for one of the offices. In conjunction with the early lease termination, the Company reported a gain of $0.1 million which is recognized as a reduction to the related lease expense. The Company also de-recognized the remaining ROU asset of $0.2 million and a lease liability of $0.4 million on the condensed consolidated balance sheet related to early lease termination.</w:t>
      </w:r>
    </w:p>
    <w:p>
      <w:pPr>
        <w:spacing w:after="0" w:line="7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2022, the Company entered into a sublease agreement with an affiliate of the Chief Executive Officer. The sublease commenced on June 1, 2022, and expired on October 31, 2024. See Note 13, “Related Party Transactions,” to these condensed consolidated financial statements for additional information.</w:t>
      </w:r>
    </w:p>
    <w:p>
      <w:pPr>
        <w:spacing w:after="0" w:line="68"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Sublease rental income is recognized as a reduction to the related lease expense on a straight-line basis over the sublease term. For the three months ended September 30, 2024 and 2023, the Company recorded rent income related to sublease of $0.2 million and $0.5 million, respectively. For the nine months ended September 30, 2024 and 2023, the Company recorded rent income related to sublease of $1.3 million and $1.6 million, respectively.</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121" w:lineRule="exact"/>
        <w:rPr>
          <w:sz w:val="20"/>
          <w:szCs w:val="20"/>
          <w:color w:val="auto"/>
        </w:rPr>
      </w:pPr>
    </w:p>
    <w:p>
      <w:pPr>
        <w:jc w:val="both"/>
        <w:ind w:left="300" w:right="299"/>
        <w:spacing w:after="0" w:line="289" w:lineRule="auto"/>
        <w:rPr>
          <w:sz w:val="20"/>
          <w:szCs w:val="20"/>
          <w:color w:val="auto"/>
        </w:rPr>
      </w:pPr>
      <w:r>
        <w:rPr>
          <w:rFonts w:ascii="Times New Roman" w:cs="Times New Roman" w:eastAsia="Times New Roman" w:hAnsi="Times New Roman"/>
          <w:sz w:val="17"/>
          <w:szCs w:val="17"/>
          <w:color w:val="auto"/>
        </w:rPr>
        <w:t>The Company assumed public warrants originally issued in the initial public offering of Silver Spike (the “Public Warrants”) and private placement warrants that were originally issued in a private placement by Silver Spike (the “Private Placement Warrants” and, together with the Public Warrants, the “Warrants”) upon the Closing, all of which</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2" w:name="page153"/>
    <w:bookmarkEnd w:id="1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were issued in connection with Silver Spike’s initial public offering. The Company evaluated the Warrants under ASC 815-40 </w:t>
      </w:r>
      <w:r>
        <w:rPr>
          <w:rFonts w:ascii="Times New Roman" w:cs="Times New Roman" w:eastAsia="Times New Roman" w:hAnsi="Times New Roman"/>
          <w:sz w:val="18"/>
          <w:szCs w:val="18"/>
          <w:i w:val="1"/>
          <w:iCs w:val="1"/>
          <w:color w:val="auto"/>
        </w:rPr>
        <w:t>- Derivatives and Hedging - Contracts in Entity’s Own Equity</w:t>
      </w:r>
      <w:r>
        <w:rPr>
          <w:rFonts w:ascii="Times New Roman" w:cs="Times New Roman" w:eastAsia="Times New Roman" w:hAnsi="Times New Roman"/>
          <w:sz w:val="18"/>
          <w:szCs w:val="18"/>
          <w:color w:val="auto"/>
        </w:rPr>
        <w:t xml:space="preserve"> and concluded they do not meet the criteria to be classified in stockholders’ equity. See Note 9, “Warrant Liability,” to these condensed consolidated financial statements for additional information.</w:t>
      </w:r>
    </w:p>
    <w:p>
      <w:pPr>
        <w:spacing w:after="0" w:line="2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connection with the Business Combination, the Company entered into a TRA with continuing members that provides for a payment to the continuing Class A Unit holders of 85% of the amount of tax benefits, if any, that the Company realizes, or is deemed to realize, as a result of redemptions or exchanges of Units. In connection with such potential future tax benefits resulting from the Business Combination, the Company has established a deferred tax asset for the additional tax basis and a corresponding TRA liability of 85% of the expected benefit. The remaining 15% is recorded to additional paid-in capital.</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 xml:space="preserve">The TRA liability is subject to remeasurement each reporting period, due to various factors, including changes in federal and state income tax rates and assessment of the probability of payment. As these remeasurement changes are subsequent to the initial measurement, the impact of the remeasurement is recorded in other income (loss), net on the condensed consolidated statements of operations. As of September 30, 2024 and December 31, 2023, the TRA liability was $3.1 million and $1.8 million, respectively. During the three and nine months ended September 30, 2024, the Company recognized a loss of $0.5 million and $1.5 million, respectively, related to the remeasurement of its TRA liability. During the three and nine months ended September 30, 2023, the Company recognized a loss of $0.1 million and $0.7 million, respectively, related to the remeasurement of its TRA liability. See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below for information related to the Company’s allowance against its net deferred tax assets.</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 xml:space="preserve">The Company recognizes revenue when the fundamental criteria for revenue recognition are met. In accordance with ASC 606 </w:t>
      </w:r>
      <w:r>
        <w:rPr>
          <w:rFonts w:ascii="Times New Roman" w:cs="Times New Roman" w:eastAsia="Times New Roman" w:hAnsi="Times New Roman"/>
          <w:sz w:val="18"/>
          <w:szCs w:val="18"/>
          <w:i w:val="1"/>
          <w:iCs w:val="1"/>
          <w:color w:val="auto"/>
        </w:rPr>
        <w:t>- Revenue from Contracts with Customers,</w:t>
      </w:r>
      <w:r>
        <w:rPr>
          <w:rFonts w:ascii="Times New Roman" w:cs="Times New Roman" w:eastAsia="Times New Roman" w:hAnsi="Times New Roman"/>
          <w:sz w:val="18"/>
          <w:szCs w:val="18"/>
          <w:color w:val="auto"/>
        </w:rPr>
        <w:t xml:space="preserve"> the Company recognizes revenue by applying the following five steps: the contract with the customer is identified; the 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 The Company excludes sales taxes and other similar taxes from the measurement of the transaction price. The transaction price reflects the amount the Company expects to receive for such goods, net of discounts. Discounts issued are primarily related to the Company’s WM Teal program, which stands for “Together for Equity Access and Legislation”, through which the Company provides discounts including free software, advertising, educational materials and training programs to applicants or licenses under social equity licensing programs. The Company provides a discount to license holders who were awarded special status by the state based on owner qualifications. These are typically given in new markets to add more diversity and inclusion in the cannabis space. A license’s social equity status is validated by the Company on the applicable state’s website. For clients that pay in advance for listing and other services, the Company records deferred revenue and recognizes revenue over the applicable subscription term.</w:t>
      </w:r>
    </w:p>
    <w:p>
      <w:pPr>
        <w:spacing w:after="0" w:line="88" w:lineRule="exact"/>
        <w:rPr>
          <w:sz w:val="20"/>
          <w:szCs w:val="20"/>
          <w:color w:val="auto"/>
        </w:rPr>
      </w:pPr>
    </w:p>
    <w:p>
      <w:pPr>
        <w:jc w:val="both"/>
        <w:ind w:left="300" w:right="299"/>
        <w:spacing w:after="0" w:line="269" w:lineRule="auto"/>
        <w:rPr>
          <w:sz w:val="20"/>
          <w:szCs w:val="20"/>
          <w:color w:val="auto"/>
        </w:rPr>
      </w:pPr>
      <w:r>
        <w:rPr>
          <w:rFonts w:ascii="Times New Roman" w:cs="Times New Roman" w:eastAsia="Times New Roman" w:hAnsi="Times New Roman"/>
          <w:sz w:val="17"/>
          <w:szCs w:val="17"/>
          <w:color w:val="auto"/>
        </w:rPr>
        <w:t>The Company’s revenues are derived primarily from monthly subscriptions to Weedmaps for Business, featured and deal listings and other ad solutions. The Company’s Weedmaps for Business subscriptions generally have one-month terms that automatically renew unless notice of cancellation is provided in advance. Featured and deal listings and other ad solutions are offered as add-on products to the Weedmaps for Business subscriptions. Featured and deal listings provide customers with premium placement ad solutions and discount and promotion pricing tools. Other ad solutions include banner ads and promotion tiles on the Company’s marketplace ad as well as other advertising products on and off the Weedmaps marketplace. The Company has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services are provided.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3" w:name="page154"/>
    <w:bookmarkEnd w:id="1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Revenue for service contracts that the Company assesses are not probable of collection is not recognized until the contract is completed and payment is received.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See Note 3, “Revenue from Contracts with Customers,” to these condensed consolidated financial statements for additional information.</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(Exclusive of Depreciation and Amortization)</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Company’s cost of revenue primarily consists of web hosting, internet service costs, credit card processing costs and other third party services.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Company expenses the cost of advertising in the period incurred. Advertising expense totaled $2.0 million and $3.5 million for the three months ended September 30, 2024 and 2023, respectively, and $8.3 million and $8.1 million for the nine months ended September 30, 2024 and 2023, respectively, and are included in sales and marketing expense in the accompanying condensed consolidated statements of operations.</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measures fair value of employee stock-based compensation awards on the date of grant and allocates the related expense over the requisite service period. The fair value of restricted stock units and performance-based restricted stock units is equal to the market price of the Company’s common stock on the date of grant. The fair value of the Class P Units is measured using the Black-Scholes-Merton valuation model. The expected volatility is based on the historical volatility and implied volatilities for comparable companies, the expected life of the award is based on the simplified method. When awards include a performance condition that impacts the vesting of the award, the Company records compensation cost when it becomes probable that the performance condition will be met and the expense will be attributed over the performance period. See Note 11, “Stock-based Compensation,” to these condensed consolidated financial statements for additional information.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Company’s 401(k) saving plan is a tax-qualified deferred compensation arrangement under Section 401(k) of the Internal Revenue Code. Under the 401(k) Plan, participating U.S. employees may contribute a portion of their eligible earnings, subject to applicable U.S. Internal Revenue Service and plan limits. The Company matches up to 3.5% of the employee’s eligible compensation, vested upon two years of service. For the three months ended September 30, 2024 and 2023, the Company recognized an expense of $0.4 million and $0.9 million, respectively, and for the nine months ended September 30, 2024 and 2023, the Company recognized an expense of $1.4 million and $1.9 million, respectively, related to employer contributions for the Company’s 401(k) plan.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Other income (expense), net consists primarily of change in fair value of warrant liability, TRA liability remeasurement, discharge of a holdback obligation related to a prior acquisition, interest income and other tax related expenses.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The Company uses the asset and liability method of accounting for income taxes under ASC 740 -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Under the guidance, deferred tax assets and liabilities are recognized for the future tax consequences of (i) temporary differences between the financial statement carrying amounts and the tax basis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4" w:name="page155"/>
    <w:bookmarkEnd w:id="1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assesses whether it is “more-likely-than-not” that it will realize its deferred tax assets. The Company establishes a valuation allowance when available evidence indicates that it is more-likely-than-not that the deferred tax asset will not be realized. In assessing the need for a valuation allowance, the Company considers the amounts and timing of expected future deductions or carry forwards and sources of taxable income that may enable utilization. This includes an analysis of the Company’s current financial position, results of operations for the current and prior years and all currently available information about future years. This assessment and estimates require significant management judgment. The Company maintains an existing valuation allowance until enough positive evidence exists to support its reversal. Change in the amount or timing of expected future deductions or taxable income may have a material impact on the level of income tax valuation allowances.</w:t>
      </w:r>
    </w:p>
    <w:p>
      <w:pPr>
        <w:spacing w:after="0" w:line="80"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For nine months ended September 30, 2024 and for the year ending December 31, 2023, the Company conducted similar analyses, and determined that a full valuation allowance was still required. As of September 30, 2024 and December 31, 2023, the TRA liability was $3.1 million and $1.8 million, respectively.</w:t>
      </w:r>
    </w:p>
    <w:p>
      <w:pPr>
        <w:spacing w:after="0" w:line="68" w:lineRule="exact"/>
        <w:rPr>
          <w:sz w:val="20"/>
          <w:szCs w:val="20"/>
          <w:color w:val="auto"/>
        </w:rPr>
      </w:pPr>
    </w:p>
    <w:p>
      <w:pPr>
        <w:jc w:val="both"/>
        <w:ind w:left="300" w:right="299"/>
        <w:spacing w:after="0" w:line="274" w:lineRule="auto"/>
        <w:rPr>
          <w:sz w:val="20"/>
          <w:szCs w:val="20"/>
          <w:color w:val="auto"/>
        </w:rPr>
      </w:pPr>
      <w:r>
        <w:rPr>
          <w:rFonts w:ascii="Times New Roman" w:cs="Times New Roman" w:eastAsia="Times New Roman" w:hAnsi="Times New Roman"/>
          <w:sz w:val="17"/>
          <w:szCs w:val="17"/>
          <w:color w:val="auto"/>
        </w:rPr>
        <w:t>The tax provision for interim periods is determined using an estimate of the Company's annual effective tax rate, adjusted for discrete items, if any, that arise during the period. Each quarter, the Company updates its estimate of its annual effective tax rate, and if the estimated annual effective tax rate changes, the Company makes a cumulative adjustment in such period. The quarterly tax provision, and estimate of the Company's annual effective tax rate, is subject to variation due to several factors, including variability in pre-tax income (or loss), revaluations of the warrant liability, changes in flow-through income not subject to tax, valuation allowances and tax law developments.</w:t>
      </w:r>
    </w:p>
    <w:p>
      <w:pPr>
        <w:spacing w:after="0" w:line="6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Any taxable income or loss generated by WMH LLC is passed through to and included in the taxable income or loss of its members, including WM Technology, Inc. on a pro rata basis. WM Technology, Inc. is subject to U.S. federal income taxes, in addition to state and local income taxes with respect to its allocable share of any taxable income of WMH LLC following the Business Combination. The Company is also subject to taxes in foreign jurisdictions.</w:t>
      </w:r>
    </w:p>
    <w:p>
      <w:pPr>
        <w:spacing w:after="0" w:line="8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WMH LLC will generally be required from time to time to make pro rata distributions in cash to the Company and the other holders of WMH Units at certain assumed tax rates in amounts that are intended to be sufficient to cover the taxes on the Company’s and the other WMH equity holders’ respective allocable shares of the taxable income of WMH LLC.</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For the three and nine ended September 30, 2024, the Company recorded $0.02 million and $0.07 million, respectively, in income tax provisions due to the impact of the full valuation allowance on its net deferred assets. For the three and nine months ended September 30, 2023, the Company recorded zero in income tax provisions due to the impact of the full valuation allowance on its net deferred assets. The effective tax rates differ from the federal statutory rate of 21% primarily due to the impact of valuation allowances, warrant valuations, non-controlling interests represented by the portion of the flow-through income not subject to tax, permanent stock-based compensation and state taxes.</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 Company does not believe it has any uncertain income tax positions that are more-likely-than-not to materially affect its condensed consolidated financial statements.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Company has identified one business segment which management also considers to be one reporting unit as the Company’s Chief Executive Officer and Chief Financial Officer allocate resources, assess performance and manage the businesses as one segment.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5" w:name="page156"/>
    <w:bookmarkEnd w:id="1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292" w:right="311"/>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Basic income (loss) per share is computed by dividing net income (loss) attributable to WM Technology, Inc. by the weighted-average number of shares of Class A Common Stock outstanding during the period.</w:t>
      </w:r>
    </w:p>
    <w:p>
      <w:pPr>
        <w:spacing w:after="0" w:line="5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Diluted income (loss) per share is computed giving effect to all potential weighted-average dilutive shares for the period. The dilutive effect of outstanding awards or financial instruments, if any, is reflected in diluted income (loss) per share by application of the treasury stock method or if-converted method, as applicable. Potential common shares are excluded from the calculation of diluted EPS in the event they are antidilutive or subject to performance conditions for which the necessary conditions have not been satisfied by the end of the reporting period. See Note 12, “Earnings Per Share,” for additional information on dilutive securities.</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are potentially subject to concentrations of credit risk. The Company places its cash with high quality credit institutions and the Company’s cash balances at these institutions typically exceed the Federal Deposit Insurance Corporation limit. As of September 30, 2024, the Company had cash balances that exceeded the FDIC limit with four financial institutions. Management believes that the risk of loss is not significant and has not experienced any losses in such accounts.</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Company reviewed the accounting pronouncements that became effective for fiscal year 2024 and determined that either they were not applicable, or they did not have a material impact on the consolidated financial statements.</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November 2023, the Financial Accounting Standards Board issued Accounting Standards Update (“ASU”) 2023-07, “</w:t>
      </w:r>
      <w:r>
        <w:rPr>
          <w:rFonts w:ascii="Times New Roman" w:cs="Times New Roman" w:eastAsia="Times New Roman" w:hAnsi="Times New Roman"/>
          <w:sz w:val="18"/>
          <w:szCs w:val="18"/>
          <w:i w:val="1"/>
          <w:iCs w:val="1"/>
          <w:color w:val="auto"/>
        </w:rPr>
        <w:t>Segment Reporting (Topic 280): Improvements to Reportable Segment Disclosure”</w:t>
      </w:r>
      <w:r>
        <w:rPr>
          <w:rFonts w:ascii="Times New Roman" w:cs="Times New Roman" w:eastAsia="Times New Roman" w:hAnsi="Times New Roman"/>
          <w:sz w:val="18"/>
          <w:szCs w:val="18"/>
          <w:color w:val="auto"/>
        </w:rPr>
        <w:t>, which is intended to improve reportable segment disclosure requirements, primarily through enhanced disclosures about significant segment expense categories that are regularly provided to the chief operating decision maker and included in each reported measure of a segment’s profit or loss. The update also requires all annual disclosures about a reportable segment’s profit or loss and assets to be provided in interim periods and for entities with a single reportable segment to provide all the disclosures required by ASC 280, Segment Reporting, including the significant segment expense disclosures. This ASU is effective for fiscal years beginning after December 15, 2024. The Company does not expect the adoption of this standard to have a material impact on the consolidated financial statements.</w:t>
      </w:r>
    </w:p>
    <w:p>
      <w:pPr>
        <w:spacing w:after="0" w:line="7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issued ASU 2023-09, </w:t>
      </w:r>
      <w:r>
        <w:rPr>
          <w:rFonts w:ascii="Times New Roman" w:cs="Times New Roman" w:eastAsia="Times New Roman" w:hAnsi="Times New Roman"/>
          <w:sz w:val="18"/>
          <w:szCs w:val="18"/>
          <w:i w:val="1"/>
          <w:iCs w:val="1"/>
          <w:color w:val="auto"/>
        </w:rPr>
        <w:t>“Income Taxes -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 Income Tax Disclosures” </w:t>
      </w:r>
      <w:r>
        <w:rPr>
          <w:rFonts w:ascii="Times New Roman" w:cs="Times New Roman" w:eastAsia="Times New Roman" w:hAnsi="Times New Roman"/>
          <w:sz w:val="18"/>
          <w:szCs w:val="18"/>
          <w:color w:val="auto"/>
        </w:rPr>
        <w:t>requiring enhancements and further transparency to certain income tax disclosures,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notably the tax rate reconciliation and income taxes paid. This ASU is effective for fiscal years beginning after December 15, 2024 on a prospective basis and retrospective application is permitted. We are currently evaluating the impact of the adoption of this standard.</w:t>
      </w:r>
    </w:p>
    <w:p>
      <w:pPr>
        <w:spacing w:after="0" w:line="77"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 also reviewed other recently issued accounting pronouncements to be adopted in future periods and determined that they are not expected to have a material impact on the consolidated financial statements.</w:t>
      </w:r>
    </w:p>
    <w:p>
      <w:pPr>
        <w:spacing w:after="0" w:line="158" w:lineRule="exact"/>
        <w:rPr>
          <w:sz w:val="20"/>
          <w:szCs w:val="20"/>
          <w:color w:val="auto"/>
        </w:rPr>
      </w:pPr>
    </w:p>
    <w:p>
      <w:pPr>
        <w:ind w:left="640" w:hanging="348"/>
        <w:spacing w:after="0"/>
        <w:tabs>
          <w:tab w:leader="none" w:pos="64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sells a monthly subscription offering to retailer and brand clients as well as upsell and add-on offerings to licensed clients. The Company’s current Weedmaps for Business monthly subscription package includes:</w:t>
      </w:r>
    </w:p>
    <w:p>
      <w:pPr>
        <w:spacing w:after="0" w:line="68" w:lineRule="exact"/>
        <w:rPr>
          <w:sz w:val="20"/>
          <w:szCs w:val="20"/>
          <w:color w:val="auto"/>
        </w:rPr>
      </w:pPr>
    </w:p>
    <w:p>
      <w:pPr>
        <w:jc w:val="both"/>
        <w:ind w:left="1000" w:right="299" w:hanging="348"/>
        <w:spacing w:after="0" w:line="261" w:lineRule="auto"/>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Listings: A listing page with product menu for a retailer or brand on the Weedmaps marketplace, enabling the Company’s clients to be discovered by the marketplace’s users. This also allows clients to disclose their license information, hours of operation, contact information, discount policies and other information that may be required under applicable state law.</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Orders: Software for retailers to receive pickup and delivery orders directly from a Weedmaps listing and connect orders directly with a client’s POS system (for certain POS systems). The marketplace also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6" w:name="page157"/>
    <w:bookmarkEnd w:id="1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enables brands to route customer purchase interest to a retailer that carries the brand’s product. After a dispensary receives the order request from the consumer, the dispensary and the consumer can continue to communicate, adjust items in the request, and handle any stock issues, prior to and while the dispensary processes and fulfills the order.</w:t>
      </w:r>
    </w:p>
    <w:p>
      <w:pPr>
        <w:spacing w:after="0" w:line="72" w:lineRule="exact"/>
        <w:rPr>
          <w:sz w:val="20"/>
          <w:szCs w:val="20"/>
          <w:color w:val="auto"/>
        </w:rPr>
      </w:pPr>
    </w:p>
    <w:p>
      <w:pPr>
        <w:jc w:val="both"/>
        <w:ind w:left="1000" w:right="299" w:hanging="348"/>
        <w:spacing w:after="0" w:line="259"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Store: Customizable order and menus embed which allows retailers and brands to import their Weedmaps listing menu or product reservation functionality to their own white-labeled WM Store website or separately owned website. WM Store facilitates customer pickup or delivery orders and enables retailers to reach more customers by bringing the breadth of the Weedmaps marketplace to a client’s own website.</w:t>
      </w:r>
    </w:p>
    <w:p>
      <w:pPr>
        <w:spacing w:after="0" w:line="294"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Connectors: A centralized integration platform, including API tools, for easier menu management, automatic inventory updates and streamlined order fulfillment to enable clients to save time and more easily integrate into the WM Technology ecosystem and integrate with disparate software systems. This creates business efficiencies and improves the accuracy and timeliness of information across Weedmaps, creating a more positive experience for consumers and businesses.</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Insights: An insights and analytics platform for clients leveraging data across the Weedmaps marketplace and software solutions. WM Insights provides data and analytics on user engagement and traffic trends to a client’s listing page. For Brand clients, WM Insights allows them to monitor their brand and product rankings, identify retailers not carrying products and keep track of top brands and products by category and state.</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Company also offers other add-on products for additional fees, including:</w:t>
      </w:r>
    </w:p>
    <w:p>
      <w:pPr>
        <w:spacing w:after="0" w:line="117" w:lineRule="exact"/>
        <w:rPr>
          <w:sz w:val="20"/>
          <w:szCs w:val="20"/>
          <w:color w:val="auto"/>
        </w:rPr>
      </w:pPr>
    </w:p>
    <w:p>
      <w:pPr>
        <w:jc w:val="both"/>
        <w:ind w:left="1000" w:right="319" w:hanging="348"/>
        <w:spacing w:after="0" w:line="266"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Ads, which includes, featured and deal listings and other ad solutions on the Weedmaps marketplace designed for clients to amplify their businesses and reach more highly engaged cannabis consumers throughout their buying journey including:</w:t>
      </w:r>
    </w:p>
    <w:p>
      <w:pPr>
        <w:spacing w:after="0" w:line="67" w:lineRule="exact"/>
        <w:rPr>
          <w:rFonts w:ascii="Times New Roman" w:cs="Times New Roman" w:eastAsia="Times New Roman" w:hAnsi="Times New Roman"/>
          <w:sz w:val="18"/>
          <w:szCs w:val="18"/>
          <w:color w:val="auto"/>
        </w:rPr>
      </w:pPr>
    </w:p>
    <w:p>
      <w:pPr>
        <w:jc w:val="both"/>
        <w:ind w:left="1360" w:right="319" w:hanging="348"/>
        <w:spacing w:after="0" w:line="239" w:lineRule="auto"/>
        <w:tabs>
          <w:tab w:leader="none" w:pos="1360" w:val="left"/>
        </w:tabs>
        <w:numPr>
          <w:ilvl w:val="1"/>
          <w:numId w:val="10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Featured Listings: Premium placement ad solutions on high visibility locations on the Weedmaps marketplace (desktop and mobile) to amplify our clients’ businesses and maximize clients’ listings and deal presence.</w:t>
      </w:r>
    </w:p>
    <w:p>
      <w:pPr>
        <w:sectPr>
          <w:pgSz w:w="11900" w:h="16838" w:orient="portrait"/>
          <w:cols w:equalWidth="0" w:num="1">
            <w:col w:w="9019"/>
          </w:cols>
          <w:pgMar w:left="1440" w:top="263" w:right="1440" w:bottom="1440" w:gutter="0" w:footer="0" w:header="0"/>
        </w:sectPr>
      </w:pPr>
    </w:p>
    <w:p>
      <w:pPr>
        <w:spacing w:after="0" w:line="9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jc w:val="both"/>
        <w:ind w:right="319"/>
        <w:spacing w:after="0" w:line="266" w:lineRule="auto"/>
        <w:rPr>
          <w:sz w:val="20"/>
          <w:szCs w:val="20"/>
          <w:color w:val="auto"/>
        </w:rPr>
      </w:pPr>
      <w:r>
        <w:rPr>
          <w:rFonts w:ascii="Times New Roman" w:cs="Times New Roman" w:eastAsia="Times New Roman" w:hAnsi="Times New Roman"/>
          <w:sz w:val="18"/>
          <w:szCs w:val="18"/>
          <w:color w:val="auto"/>
        </w:rPr>
        <w:t>WM Deals: Discount and promotion pricing tools that let clients strategically reach prospective price-conscious cannabis customers with deals or discounts to drive conversion. In some jurisdictions, it is required by applicable law to showcase discounts.</w:t>
      </w:r>
    </w:p>
    <w:p>
      <w:pPr>
        <w:spacing w:after="0" w:line="68" w:lineRule="exact"/>
        <w:rPr>
          <w:sz w:val="20"/>
          <w:szCs w:val="20"/>
          <w:color w:val="auto"/>
        </w:rPr>
      </w:pPr>
    </w:p>
    <w:p>
      <w:pPr>
        <w:jc w:val="both"/>
        <w:ind w:right="319"/>
        <w:spacing w:after="0" w:line="266" w:lineRule="auto"/>
        <w:rPr>
          <w:sz w:val="20"/>
          <w:szCs w:val="20"/>
          <w:color w:val="auto"/>
        </w:rPr>
      </w:pPr>
      <w:r>
        <w:rPr>
          <w:rFonts w:ascii="Times New Roman" w:cs="Times New Roman" w:eastAsia="Times New Roman" w:hAnsi="Times New Roman"/>
          <w:sz w:val="18"/>
          <w:szCs w:val="18"/>
          <w:color w:val="auto"/>
        </w:rPr>
        <w:t>Other ad solutions: Includes banner ads and promotion tiles on our marketplace as well as banner ads that can be tied to keyword searches. These products provide clients with targeted ad solutions in highly visible slots across our digital surfaces.</w:t>
      </w:r>
    </w:p>
    <w:p>
      <w:pPr>
        <w:spacing w:after="0" w:line="68" w:lineRule="exact"/>
        <w:rPr>
          <w:sz w:val="20"/>
          <w:szCs w:val="20"/>
          <w:color w:val="auto"/>
        </w:rPr>
      </w:pPr>
    </w:p>
    <w:p>
      <w:pPr>
        <w:sectPr>
          <w:pgSz w:w="11900" w:h="16838" w:orient="portrait"/>
          <w:cols w:equalWidth="0" w:num="2">
            <w:col w:w="1080" w:space="280"/>
            <w:col w:w="7659"/>
          </w:cols>
          <w:pgMar w:left="1440" w:top="263" w:right="1440" w:bottom="1440" w:gutter="0" w:footer="0" w:header="0"/>
          <w:type w:val="continuous"/>
        </w:sectPr>
      </w:pPr>
    </w:p>
    <w:p>
      <w:pPr>
        <w:jc w:val="both"/>
        <w:ind w:left="1000" w:right="319" w:hanging="348"/>
        <w:spacing w:after="0" w:line="266"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Dispatch: Compliant, automated and optimized logistics and fulfillment last-mile delivery software (including driver apps) that helps clients manage their delivery fleets. This product streamlines the delivery experience from in-store to front-door.</w:t>
      </w:r>
    </w:p>
    <w:p>
      <w:pPr>
        <w:spacing w:after="0" w:line="6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 December 2023, we completed the sunset of WM AdSuite, WM CRM and WM Screens product offerings as we continue to focus our efforts on other Weedmaps for Business products that support the Weedmaps marketplace and improve the eCommerce experience for our clients and users.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57" w:name="page158"/>
    <w:bookmarkEnd w:id="1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292" w:right="311"/>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summarizes the Company’s disaggregated net revenues information (in thousands):</w:t>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228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222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3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154"/>
        </w:trPr>
        <w:tc>
          <w:tcPr>
            <w:tcW w:w="3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3"/>
          </w:tcPr>
          <w:p>
            <w:pPr>
              <w:jc w:val="right"/>
              <w:ind w:right="160"/>
              <w:spacing w:after="0" w:line="154"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tcPr>
          <w:p>
            <w:pPr>
              <w:jc w:val="right"/>
              <w:ind w:right="180"/>
              <w:spacing w:after="0" w:line="154"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3"/>
                <w:szCs w:val="13"/>
                <w:color w:val="auto"/>
              </w:rPr>
            </w:pPr>
          </w:p>
        </w:tc>
      </w:tr>
      <w:tr>
        <w:trPr>
          <w:trHeight w:val="244"/>
        </w:trPr>
        <w:tc>
          <w:tcPr>
            <w:tcW w:w="3820" w:type="dxa"/>
            <w:vAlign w:val="bottom"/>
          </w:tcPr>
          <w:p>
            <w:pPr>
              <w:spacing w:after="0"/>
              <w:rPr>
                <w:sz w:val="21"/>
                <w:szCs w:val="21"/>
                <w:color w:val="auto"/>
              </w:rPr>
            </w:pPr>
          </w:p>
        </w:tc>
        <w:tc>
          <w:tcPr>
            <w:tcW w:w="78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3"/>
          </w:tcPr>
          <w:p>
            <w:pPr>
              <w:ind w:left="200"/>
              <w:spacing w:after="0" w:line="244" w:lineRule="exact"/>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3"/>
          </w:tcPr>
          <w:p>
            <w:pPr>
              <w:ind w:left="160"/>
              <w:spacing w:after="0" w:line="244" w:lineRule="exact"/>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r>
      <w:tr>
        <w:trPr>
          <w:trHeight w:val="25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right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right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r>
      <w:tr>
        <w:trPr>
          <w:trHeight w:val="211"/>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Weedmaps for Business and other SaaS</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41"/>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solutions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$13,583</w:t>
            </w:r>
          </w:p>
        </w:tc>
        <w:tc>
          <w:tcPr>
            <w:tcW w:w="20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$10,877</w:t>
            </w:r>
          </w:p>
        </w:tc>
        <w:tc>
          <w:tcPr>
            <w:tcW w:w="30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$ 40,285</w:t>
            </w:r>
          </w:p>
        </w:tc>
        <w:tc>
          <w:tcPr>
            <w:tcW w:w="16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$ 33,847</w:t>
            </w:r>
          </w:p>
        </w:tc>
        <w:tc>
          <w:tcPr>
            <w:tcW w:w="240" w:type="dxa"/>
            <w:vAlign w:val="bottom"/>
          </w:tcPr>
          <w:p>
            <w:pPr>
              <w:spacing w:after="0"/>
              <w:rPr>
                <w:sz w:val="20"/>
                <w:szCs w:val="20"/>
                <w:color w:val="auto"/>
              </w:rPr>
            </w:pPr>
          </w:p>
        </w:tc>
      </w:tr>
      <w:tr>
        <w:trPr>
          <w:trHeight w:val="245"/>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Featured and deal listings</w:t>
            </w:r>
          </w:p>
        </w:tc>
        <w:tc>
          <w:tcPr>
            <w:tcW w:w="180" w:type="dxa"/>
            <w:vAlign w:val="bottom"/>
            <w:shd w:val="clear" w:color="auto" w:fill="CCEEFF"/>
          </w:tcPr>
          <w:p>
            <w:pPr>
              <w:spacing w:after="0"/>
              <w:rPr>
                <w:sz w:val="21"/>
                <w:szCs w:val="21"/>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29,233</w:t>
            </w:r>
          </w:p>
        </w:tc>
        <w:tc>
          <w:tcPr>
            <w:tcW w:w="20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31,907</w:t>
            </w:r>
          </w:p>
        </w:tc>
        <w:tc>
          <w:tcPr>
            <w:tcW w:w="30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85,814</w:t>
            </w:r>
          </w:p>
        </w:tc>
        <w:tc>
          <w:tcPr>
            <w:tcW w:w="16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96,782</w:t>
            </w:r>
          </w:p>
        </w:tc>
        <w:tc>
          <w:tcPr>
            <w:tcW w:w="240" w:type="dxa"/>
            <w:vAlign w:val="bottom"/>
            <w:shd w:val="clear" w:color="auto" w:fill="CCEEFF"/>
          </w:tcPr>
          <w:p>
            <w:pPr>
              <w:spacing w:after="0"/>
              <w:rPr>
                <w:sz w:val="21"/>
                <w:szCs w:val="21"/>
                <w:color w:val="auto"/>
              </w:rPr>
            </w:pPr>
          </w:p>
        </w:tc>
      </w:tr>
      <w:tr>
        <w:trPr>
          <w:trHeight w:val="31"/>
        </w:trPr>
        <w:tc>
          <w:tcPr>
            <w:tcW w:w="38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00" w:type="dxa"/>
            <w:vAlign w:val="bottom"/>
            <w:tcBorders>
              <w:right w:val="single" w:sz="8" w:color="CCEEFF"/>
            </w:tcBorders>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r>
      <w:tr>
        <w:trPr>
          <w:trHeight w:val="263"/>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42,816</w:t>
            </w:r>
          </w:p>
        </w:tc>
        <w:tc>
          <w:tcPr>
            <w:tcW w:w="200" w:type="dxa"/>
            <w:vAlign w:val="bottom"/>
          </w:tcPr>
          <w:p>
            <w:pPr>
              <w:spacing w:after="0"/>
              <w:rPr>
                <w:sz w:val="22"/>
                <w:szCs w:val="22"/>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42,784</w:t>
            </w:r>
          </w:p>
        </w:tc>
        <w:tc>
          <w:tcPr>
            <w:tcW w:w="300" w:type="dxa"/>
            <w:vAlign w:val="bottom"/>
          </w:tcPr>
          <w:p>
            <w:pPr>
              <w:spacing w:after="0"/>
              <w:rPr>
                <w:sz w:val="22"/>
                <w:szCs w:val="22"/>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126,099</w:t>
            </w:r>
          </w:p>
        </w:tc>
        <w:tc>
          <w:tcPr>
            <w:tcW w:w="160" w:type="dxa"/>
            <w:vAlign w:val="bottom"/>
          </w:tcPr>
          <w:p>
            <w:pPr>
              <w:spacing w:after="0"/>
              <w:rPr>
                <w:sz w:val="22"/>
                <w:szCs w:val="22"/>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130,629</w:t>
            </w:r>
          </w:p>
        </w:tc>
        <w:tc>
          <w:tcPr>
            <w:tcW w:w="240" w:type="dxa"/>
            <w:vAlign w:val="bottom"/>
          </w:tcPr>
          <w:p>
            <w:pPr>
              <w:spacing w:after="0"/>
              <w:rPr>
                <w:sz w:val="22"/>
                <w:szCs w:val="22"/>
                <w:color w:val="auto"/>
              </w:rPr>
            </w:pPr>
          </w:p>
        </w:tc>
      </w:tr>
      <w:tr>
        <w:trPr>
          <w:trHeight w:val="245"/>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 solutions</w:t>
            </w:r>
          </w:p>
        </w:tc>
        <w:tc>
          <w:tcPr>
            <w:tcW w:w="180" w:type="dxa"/>
            <w:vAlign w:val="bottom"/>
            <w:shd w:val="clear" w:color="auto" w:fill="CCEEFF"/>
          </w:tcPr>
          <w:p>
            <w:pPr>
              <w:spacing w:after="0"/>
              <w:rPr>
                <w:sz w:val="21"/>
                <w:szCs w:val="21"/>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20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3,903</w:t>
            </w:r>
          </w:p>
        </w:tc>
        <w:tc>
          <w:tcPr>
            <w:tcW w:w="30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10,745</w:t>
            </w:r>
          </w:p>
        </w:tc>
        <w:tc>
          <w:tcPr>
            <w:tcW w:w="16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10,897</w:t>
            </w:r>
          </w:p>
        </w:tc>
        <w:tc>
          <w:tcPr>
            <w:tcW w:w="240" w:type="dxa"/>
            <w:vAlign w:val="bottom"/>
            <w:shd w:val="clear" w:color="auto" w:fill="CCEEFF"/>
          </w:tcPr>
          <w:p>
            <w:pPr>
              <w:spacing w:after="0"/>
              <w:rPr>
                <w:sz w:val="21"/>
                <w:szCs w:val="21"/>
                <w:color w:val="auto"/>
              </w:rPr>
            </w:pPr>
          </w:p>
        </w:tc>
      </w:tr>
      <w:tr>
        <w:trPr>
          <w:trHeight w:val="31"/>
        </w:trPr>
        <w:tc>
          <w:tcPr>
            <w:tcW w:w="38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00" w:type="dxa"/>
            <w:vAlign w:val="bottom"/>
            <w:tcBorders>
              <w:right w:val="single" w:sz="8" w:color="CCEEFF"/>
            </w:tcBorders>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r>
      <w:tr>
        <w:trPr>
          <w:trHeight w:val="297"/>
        </w:trPr>
        <w:tc>
          <w:tcPr>
            <w:tcW w:w="3820" w:type="dxa"/>
            <w:vAlign w:val="bottom"/>
          </w:tcPr>
          <w:p>
            <w:pPr>
              <w:ind w:left="360"/>
              <w:spacing w:after="0" w:line="296" w:lineRule="exact"/>
              <w:rPr>
                <w:sz w:val="20"/>
                <w:szCs w:val="20"/>
                <w:color w:val="auto"/>
              </w:rPr>
            </w:pPr>
            <w:r>
              <w:rPr>
                <w:rFonts w:ascii="Times New Roman" w:cs="Times New Roman" w:eastAsia="Times New Roman" w:hAnsi="Times New Roman"/>
                <w:sz w:val="18"/>
                <w:szCs w:val="18"/>
                <w:color w:val="auto"/>
              </w:rPr>
              <w:t>Total net revenues</w:t>
            </w:r>
            <w:r>
              <w:rPr>
                <w:rFonts w:ascii="Times New Roman" w:cs="Times New Roman" w:eastAsia="Times New Roman" w:hAnsi="Times New Roman"/>
                <w:sz w:val="29"/>
                <w:szCs w:val="29"/>
                <w:color w:val="auto"/>
                <w:vertAlign w:val="superscript"/>
              </w:rPr>
              <w:t>2</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46,552</w:t>
            </w:r>
          </w:p>
        </w:tc>
        <w:tc>
          <w:tcPr>
            <w:tcW w:w="20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46,687</w:t>
            </w:r>
          </w:p>
        </w:tc>
        <w:tc>
          <w:tcPr>
            <w:tcW w:w="300" w:type="dxa"/>
            <w:vAlign w:val="bottom"/>
          </w:tcPr>
          <w:p>
            <w:pPr>
              <w:spacing w:after="0"/>
              <w:rPr>
                <w:sz w:val="24"/>
                <w:szCs w:val="24"/>
                <w:color w:val="auto"/>
              </w:rPr>
            </w:pPr>
          </w:p>
        </w:tc>
        <w:tc>
          <w:tcPr>
            <w:tcW w:w="108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136,844</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141,526</w:t>
            </w:r>
          </w:p>
        </w:tc>
        <w:tc>
          <w:tcPr>
            <w:tcW w:w="240" w:type="dxa"/>
            <w:vAlign w:val="bottom"/>
          </w:tcPr>
          <w:p>
            <w:pPr>
              <w:spacing w:after="0"/>
              <w:rPr>
                <w:sz w:val="24"/>
                <w:szCs w:val="24"/>
                <w:color w:val="auto"/>
              </w:rPr>
            </w:pPr>
          </w:p>
        </w:tc>
      </w:tr>
      <w:tr>
        <w:trPr>
          <w:trHeight w:val="21"/>
        </w:trPr>
        <w:tc>
          <w:tcPr>
            <w:tcW w:w="3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4" w:lineRule="exact"/>
        <w:rPr>
          <w:sz w:val="20"/>
          <w:szCs w:val="20"/>
          <w:color w:val="auto"/>
        </w:rPr>
      </w:pPr>
    </w:p>
    <w:p>
      <w:pPr>
        <w:ind w:left="640" w:right="319" w:hanging="348"/>
        <w:spacing w:after="0" w:line="261" w:lineRule="auto"/>
        <w:tabs>
          <w:tab w:leader="none" w:pos="64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nine months ended September 30, 2023, net revenues have been retrospectively adjusted to reflect the restatement of previously reported 2023 revenue. See Note 2, “Summary of Significant Accounting Policies,” for further information.</w:t>
      </w:r>
    </w:p>
    <w:p>
      <w:pPr>
        <w:spacing w:after="0" w:line="1" w:lineRule="exact"/>
        <w:rPr>
          <w:sz w:val="20"/>
          <w:szCs w:val="20"/>
          <w:color w:val="auto"/>
        </w:rPr>
      </w:pPr>
    </w:p>
    <w:p>
      <w:pPr>
        <w:ind w:left="640" w:right="299" w:hanging="348"/>
        <w:spacing w:after="0" w:line="261" w:lineRule="auto"/>
        <w:tabs>
          <w:tab w:leader="none" w:pos="64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revenues are net of discounts of $0.1 million and $0.8 million, respectively, for the three months ended September 30, 2024 and 2023 and $0.6 million and $3.0 million, respectively, for the nine months ended September 30, 2024 and 2023.</w:t>
      </w:r>
    </w:p>
    <w:p>
      <w:pPr>
        <w:spacing w:after="0" w:line="5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Deferred revenue primarily consists of billings or payments received in advance of revenue recognition from subscription offerings, as described above, and is recognized as the revenue recognition criteria are met. Deferred revenue balance as of September 30, 2024 and December 31, 2023 were $5.8 million and $5.9 million, respectively, and the balance is expected to be fully recognized within the next twelve months. The Company generally invoices customers and receives payment on an upfront basis and payments do not include significant financing components or variable consideration and there are generally no rights of return or refunds after the subscription period has passed.</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revenue has been generated in the United States for the three and nine months ended September 30, 2024 and 2023. For the three and nine months ended September 30, 2024, approximately 52% of the Company’s net revenues originated in California. For the three and nine months ended September 30, 2023, approximately 51% and 52% of the Company’s net revenues originated in California, respectively.</w:t>
      </w:r>
    </w:p>
    <w:p>
      <w:pPr>
        <w:spacing w:after="0" w:line="176" w:lineRule="exact"/>
        <w:rPr>
          <w:sz w:val="20"/>
          <w:szCs w:val="20"/>
          <w:color w:val="auto"/>
        </w:rPr>
      </w:pPr>
    </w:p>
    <w:p>
      <w:pPr>
        <w:ind w:left="640" w:hanging="348"/>
        <w:spacing w:after="0"/>
        <w:tabs>
          <w:tab w:leader="none" w:pos="64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SEC Matter</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As previously disclosed, in the second quarter of 2022, the Company’s board of directors received an internal complaint regarding the calculation, definition and reporting of the Company’s monthly active users (“MAUs”) metric. In response, the Company’s board of directors formed a special committee of independent directors to conduct an internal investigation with the assistance of outside counsel. As a result of the findings of that internal investigation, the Company provided certain additional information regarding the growth and nature of the Company’s previously-reported MAUs in the Company’s Quarterly Report on Form 10-Q for the quarter ended June 30, 2022 filed with the SEC on August 9, 2022. This investigation found no impact on the Company’s financial results under GAAP or the reporting or disclosure of any currently disclosed non-GAAP financial metric. As also previously reported, in the third quarter of 2022, the Company determined not to report MAUs going forward. In August 2022, the Company’s board of directors determined to voluntarily report the internal complaint and subsequent internal investigation to the SEC, following which the SEC’s Division of Enforcement commenced an investigation. The Company has been fully cooperating with the SEC’s investigation.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8" w:name="page159"/>
    <w:bookmarkEnd w:id="1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292" w:right="311"/>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also previously reported in the Current Report on Form 8-K filed on July 25, 2024, on July 22, 2024, the Company reached an agreement in principle with the SEC staff to resolve the SEC’s investigation with respect to the Company. Under the terms of the settlement, the Company consented, without admitting or denying the SEC’s findings, to the entry of an administrative cease-and-desist order finding violations of Sections 17(a)(2) and (3) of the Securities Act of 1933, as amended, Sections 13(a) and 14(a) of the Securities Exchange Act of 1934, as amended, and Rules 12b-20, 13a-1, 13a-11, 13a-13, and 14a-9 thereunder, and pay a civil money penalty of $1.5 million. The settlement was approved by the SEC, and the administrative cease-and-desist order was entered in September 2024. The Company issued payment to the SEC, and it was received by the SEC, in October 2024. Accordingly, the SEC enforcement matter is concluded with respect to the Company.</w:t>
      </w:r>
    </w:p>
    <w:p>
      <w:pPr>
        <w:spacing w:after="0" w:line="8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 of September 30, 2024, the Company recorded a liability of $1.5 million for the SEC settlement which is included in general and administrative expenses in the condensed consolidated statements of operations and accounts payable and accrued expenses in the condensed consolidated balance sheets. The SEC settlement of $1.5 million was paid in October 2024.</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Company has minimum outstanding purchase obligations of approximately $1.8 million for the remaining three months in 2024, $7.3 million in 2025 and $7.5 million in 2026, due under software license agreements, of which the majority relates to the Company’s three-year AWS Enterprise agreement.</w:t>
      </w:r>
    </w:p>
    <w:p>
      <w:pPr>
        <w:spacing w:after="0" w:line="172" w:lineRule="exact"/>
        <w:rPr>
          <w:sz w:val="20"/>
          <w:szCs w:val="20"/>
          <w:color w:val="auto"/>
        </w:rPr>
      </w:pPr>
    </w:p>
    <w:p>
      <w:pPr>
        <w:ind w:left="640" w:hanging="348"/>
        <w:spacing w:after="0"/>
        <w:tabs>
          <w:tab w:leader="none" w:pos="64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19" w:lineRule="exact"/>
        <w:rPr>
          <w:sz w:val="20"/>
          <w:szCs w:val="20"/>
          <w:color w:val="auto"/>
        </w:rPr>
      </w:pPr>
    </w:p>
    <w:p>
      <w:pPr>
        <w:jc w:val="both"/>
        <w:ind w:left="300" w:right="299"/>
        <w:spacing w:after="0" w:line="284" w:lineRule="auto"/>
        <w:rPr>
          <w:sz w:val="20"/>
          <w:szCs w:val="20"/>
          <w:color w:val="auto"/>
        </w:rPr>
      </w:pPr>
      <w:r>
        <w:rPr>
          <w:rFonts w:ascii="Times New Roman" w:cs="Times New Roman" w:eastAsia="Times New Roman" w:hAnsi="Times New Roman"/>
          <w:sz w:val="18"/>
          <w:szCs w:val="18"/>
          <w:color w:val="auto"/>
        </w:rPr>
        <w:t xml:space="preserve">The Company follows the guidance in ASC 820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its financial assets and liabilities that are re-measured and reported at fair value at each reporting period.</w:t>
      </w:r>
    </w:p>
    <w:p>
      <w:pPr>
        <w:spacing w:after="0" w:line="5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84" w:lineRule="exact"/>
        <w:rPr>
          <w:sz w:val="20"/>
          <w:szCs w:val="20"/>
          <w:color w:val="auto"/>
        </w:rPr>
      </w:pPr>
    </w:p>
    <w:p>
      <w:pPr>
        <w:jc w:val="both"/>
        <w:ind w:left="1000" w:right="299" w:hanging="348"/>
        <w:spacing w:after="0" w:line="266"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6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based on the Company assessment of the assumptions that market participants would use in pricing the asset or liability.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9" w:name="page160"/>
    <w:bookmarkEnd w:id="1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liabilities that are measured at fair value on a recurring basis at September 30, 2024 and December 31, 2023, and indicates the fair value hierarchy of the valuation inputs the Company utilized to determine such fair value (in thousands):</w:t>
      </w:r>
    </w:p>
    <w:p>
      <w:pPr>
        <w:spacing w:after="0" w:line="200" w:lineRule="exact"/>
        <w:rPr>
          <w:sz w:val="20"/>
          <w:szCs w:val="20"/>
          <w:color w:val="auto"/>
        </w:rPr>
      </w:pPr>
    </w:p>
    <w:p>
      <w:pPr>
        <w:spacing w:after="0" w:line="22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Level</w:t>
            </w:r>
          </w:p>
        </w:tc>
        <w:tc>
          <w:tcPr>
            <w:tcW w:w="180" w:type="dxa"/>
            <w:vAlign w:val="bottom"/>
          </w:tcPr>
          <w:p>
            <w:pPr>
              <w:spacing w:after="0"/>
              <w:rPr>
                <w:sz w:val="16"/>
                <w:szCs w:val="16"/>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Pr>
          <w:p>
            <w:pPr>
              <w:spacing w:after="0"/>
              <w:rPr>
                <w:sz w:val="16"/>
                <w:szCs w:val="16"/>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5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5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r>
      <w:tr>
        <w:trPr>
          <w:trHeight w:val="23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 – Public Warrants</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420" w:type="dxa"/>
            <w:vAlign w:val="bottom"/>
          </w:tcPr>
          <w:p>
            <w:pPr>
              <w:spacing w:after="0"/>
              <w:rPr>
                <w:sz w:val="20"/>
                <w:szCs w:val="20"/>
                <w:color w:val="auto"/>
              </w:rPr>
            </w:pPr>
          </w:p>
        </w:tc>
        <w:tc>
          <w:tcPr>
            <w:tcW w:w="136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$375</w:t>
            </w:r>
          </w:p>
        </w:tc>
      </w:tr>
      <w:tr>
        <w:trPr>
          <w:trHeight w:val="254"/>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 Private Placement Warrants</w:t>
            </w:r>
          </w:p>
        </w:tc>
        <w:tc>
          <w:tcPr>
            <w:tcW w:w="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600" w:type="dxa"/>
            <w:vAlign w:val="bottom"/>
            <w:tcBorders>
              <w:bottom w:val="single" w:sz="8" w:color="CCEEFF"/>
            </w:tcBorders>
            <w:gridSpan w:val="2"/>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4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420" w:type="dxa"/>
            <w:vAlign w:val="bottom"/>
            <w:tcBorders>
              <w:bottom w:val="single" w:sz="8" w:color="CCEEFF"/>
            </w:tcBorders>
            <w:shd w:val="clear" w:color="auto" w:fill="CCEEFF"/>
          </w:tcPr>
          <w:p>
            <w:pPr>
              <w:spacing w:after="0"/>
              <w:rPr>
                <w:sz w:val="22"/>
                <w:szCs w:val="22"/>
                <w:color w:val="auto"/>
              </w:rPr>
            </w:pPr>
          </w:p>
        </w:tc>
      </w:tr>
      <w:tr>
        <w:trPr>
          <w:trHeight w:val="243"/>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warrant liability</w:t>
            </w:r>
          </w:p>
        </w:tc>
        <w:tc>
          <w:tcPr>
            <w:tcW w:w="32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390</w:t>
            </w:r>
          </w:p>
        </w:tc>
        <w:tc>
          <w:tcPr>
            <w:tcW w:w="420" w:type="dxa"/>
            <w:vAlign w:val="bottom"/>
          </w:tcPr>
          <w:p>
            <w:pPr>
              <w:spacing w:after="0"/>
              <w:rPr>
                <w:sz w:val="21"/>
                <w:szCs w:val="21"/>
                <w:color w:val="auto"/>
              </w:rPr>
            </w:pPr>
          </w:p>
        </w:tc>
        <w:tc>
          <w:tcPr>
            <w:tcW w:w="136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585</w:t>
            </w:r>
          </w:p>
        </w:tc>
      </w:tr>
      <w:tr>
        <w:trPr>
          <w:trHeight w:val="20"/>
        </w:trPr>
        <w:tc>
          <w:tcPr>
            <w:tcW w:w="5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tables summarize the changes in the fair value of the warrant liabilities (in thousands):</w:t>
      </w:r>
    </w:p>
    <w:p>
      <w:pPr>
        <w:spacing w:after="0" w:line="200" w:lineRule="exact"/>
        <w:rPr>
          <w:sz w:val="20"/>
          <w:szCs w:val="20"/>
          <w:color w:val="auto"/>
        </w:rPr>
      </w:pPr>
    </w:p>
    <w:p>
      <w:pPr>
        <w:spacing w:after="0" w:line="26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2060" w:type="dxa"/>
            <w:vAlign w:val="bottom"/>
            <w:gridSpan w:val="7"/>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040" w:type="dxa"/>
            <w:vAlign w:val="bottom"/>
            <w:gridSpan w:val="7"/>
          </w:tcPr>
          <w:p>
            <w:pPr>
              <w:ind w:lef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4100" w:type="dxa"/>
            <w:vAlign w:val="bottom"/>
          </w:tcPr>
          <w:p>
            <w:pPr>
              <w:spacing w:after="0"/>
              <w:rPr>
                <w:sz w:val="16"/>
                <w:szCs w:val="16"/>
                <w:color w:val="auto"/>
              </w:rPr>
            </w:pPr>
          </w:p>
        </w:tc>
        <w:tc>
          <w:tcPr>
            <w:tcW w:w="2060" w:type="dxa"/>
            <w:vAlign w:val="bottom"/>
            <w:gridSpan w:val="7"/>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20" w:type="dxa"/>
            <w:vAlign w:val="bottom"/>
          </w:tcPr>
          <w:p>
            <w:pPr>
              <w:spacing w:after="0"/>
              <w:rPr>
                <w:sz w:val="16"/>
                <w:szCs w:val="16"/>
                <w:color w:val="auto"/>
              </w:rPr>
            </w:pPr>
          </w:p>
        </w:tc>
        <w:tc>
          <w:tcPr>
            <w:tcW w:w="2040" w:type="dxa"/>
            <w:vAlign w:val="bottom"/>
            <w:gridSpan w:val="7"/>
          </w:tcPr>
          <w:p>
            <w:pPr>
              <w:ind w:left="3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100" w:type="dxa"/>
            <w:vAlign w:val="bottom"/>
          </w:tcPr>
          <w:p>
            <w:pPr>
              <w:spacing w:after="0"/>
              <w:rPr>
                <w:sz w:val="12"/>
                <w:szCs w:val="12"/>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300" w:type="dxa"/>
            <w:vAlign w:val="bottom"/>
          </w:tcPr>
          <w:p>
            <w:pPr>
              <w:spacing w:after="0"/>
              <w:rPr>
                <w:sz w:val="12"/>
                <w:szCs w:val="12"/>
                <w:color w:val="auto"/>
              </w:rPr>
            </w:pPr>
          </w:p>
        </w:tc>
        <w:tc>
          <w:tcPr>
            <w:tcW w:w="54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Private</w:t>
            </w:r>
          </w:p>
        </w:tc>
        <w:tc>
          <w:tcPr>
            <w:tcW w:w="240" w:type="dxa"/>
            <w:vAlign w:val="bottom"/>
          </w:tcPr>
          <w:p>
            <w:pPr>
              <w:spacing w:after="0"/>
              <w:rPr>
                <w:sz w:val="12"/>
                <w:szCs w:val="12"/>
                <w:color w:val="auto"/>
              </w:rPr>
            </w:pPr>
          </w:p>
        </w:tc>
        <w:tc>
          <w:tcPr>
            <w:tcW w:w="5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0"/>
              </w:rPr>
              <w:t>Warrant</w:t>
            </w:r>
          </w:p>
        </w:tc>
        <w:tc>
          <w:tcPr>
            <w:tcW w:w="220" w:type="dxa"/>
            <w:vAlign w:val="bottom"/>
          </w:tcPr>
          <w:p>
            <w:pPr>
              <w:spacing w:after="0"/>
              <w:rPr>
                <w:sz w:val="12"/>
                <w:szCs w:val="12"/>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Public</w:t>
            </w:r>
          </w:p>
        </w:tc>
        <w:tc>
          <w:tcPr>
            <w:tcW w:w="300" w:type="dxa"/>
            <w:vAlign w:val="bottom"/>
          </w:tcPr>
          <w:p>
            <w:pPr>
              <w:spacing w:after="0"/>
              <w:rPr>
                <w:sz w:val="12"/>
                <w:szCs w:val="12"/>
                <w:color w:val="auto"/>
              </w:rPr>
            </w:pPr>
          </w:p>
        </w:tc>
        <w:tc>
          <w:tcPr>
            <w:tcW w:w="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Private</w:t>
            </w:r>
          </w:p>
        </w:tc>
        <w:tc>
          <w:tcPr>
            <w:tcW w:w="220" w:type="dxa"/>
            <w:vAlign w:val="bottom"/>
          </w:tcPr>
          <w:p>
            <w:pPr>
              <w:spacing w:after="0"/>
              <w:rPr>
                <w:sz w:val="12"/>
                <w:szCs w:val="12"/>
                <w:color w:val="auto"/>
              </w:rPr>
            </w:pPr>
          </w:p>
        </w:tc>
        <w:tc>
          <w:tcPr>
            <w:tcW w:w="5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4"/>
              </w:rPr>
              <w:t>Warrant</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86"/>
              </w:rPr>
              <w:t>Placement</w:t>
            </w:r>
          </w:p>
        </w:tc>
        <w:tc>
          <w:tcPr>
            <w:tcW w:w="24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10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Warrants</w:t>
            </w:r>
          </w:p>
        </w:tc>
        <w:tc>
          <w:tcPr>
            <w:tcW w:w="300" w:type="dxa"/>
            <w:vAlign w:val="bottom"/>
          </w:tcPr>
          <w:p>
            <w:pPr>
              <w:spacing w:after="0"/>
              <w:rPr>
                <w:sz w:val="16"/>
                <w:szCs w:val="16"/>
                <w:color w:val="auto"/>
              </w:rPr>
            </w:pPr>
          </w:p>
        </w:tc>
        <w:tc>
          <w:tcPr>
            <w:tcW w:w="5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89"/>
              </w:rPr>
              <w:t>Warrants</w:t>
            </w:r>
          </w:p>
        </w:tc>
        <w:tc>
          <w:tcPr>
            <w:tcW w:w="240" w:type="dxa"/>
            <w:vAlign w:val="bottom"/>
          </w:tcPr>
          <w:p>
            <w:pPr>
              <w:spacing w:after="0"/>
              <w:rPr>
                <w:sz w:val="16"/>
                <w:szCs w:val="16"/>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86"/>
              </w:rPr>
              <w:t>Liabilities</w:t>
            </w:r>
          </w:p>
        </w:tc>
        <w:tc>
          <w:tcPr>
            <w:tcW w:w="22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Warrants</w:t>
            </w:r>
          </w:p>
        </w:tc>
        <w:tc>
          <w:tcPr>
            <w:tcW w:w="300" w:type="dxa"/>
            <w:vAlign w:val="bottom"/>
          </w:tcPr>
          <w:p>
            <w:pPr>
              <w:spacing w:after="0"/>
              <w:rPr>
                <w:sz w:val="16"/>
                <w:szCs w:val="16"/>
                <w:color w:val="auto"/>
              </w:rPr>
            </w:pPr>
          </w:p>
        </w:tc>
        <w:tc>
          <w:tcPr>
            <w:tcW w:w="5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82"/>
              </w:rPr>
              <w:t>Warrants</w:t>
            </w:r>
          </w:p>
        </w:tc>
        <w:tc>
          <w:tcPr>
            <w:tcW w:w="220" w:type="dxa"/>
            <w:vAlign w:val="bottom"/>
          </w:tcPr>
          <w:p>
            <w:pPr>
              <w:spacing w:after="0"/>
              <w:rPr>
                <w:sz w:val="16"/>
                <w:szCs w:val="16"/>
                <w:color w:val="auto"/>
              </w:rPr>
            </w:pPr>
          </w:p>
        </w:tc>
        <w:tc>
          <w:tcPr>
            <w:tcW w:w="5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0"/>
              </w:rPr>
              <w:t>Liabilities</w:t>
            </w: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4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$ 625</w:t>
            </w:r>
          </w:p>
        </w:tc>
        <w:tc>
          <w:tcPr>
            <w:tcW w:w="760" w:type="dxa"/>
            <w:vAlign w:val="bottom"/>
            <w:tcBorders>
              <w:left w:val="single" w:sz="8" w:color="CCEEFF"/>
              <w:right w:val="single" w:sz="8" w:color="CCEEFF"/>
            </w:tcBorders>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$ 350</w:t>
            </w:r>
          </w:p>
        </w:tc>
        <w:tc>
          <w:tcPr>
            <w:tcW w:w="80" w:type="dxa"/>
            <w:vAlign w:val="bottom"/>
            <w:tcBorders>
              <w:left w:val="single" w:sz="8" w:color="CCEEFF"/>
            </w:tcBorders>
            <w:shd w:val="clear" w:color="auto" w:fill="CCEEFF"/>
          </w:tcPr>
          <w:p>
            <w:pPr>
              <w:spacing w:after="0"/>
              <w:rPr>
                <w:sz w:val="21"/>
                <w:szCs w:val="21"/>
                <w:color w:val="auto"/>
              </w:rPr>
            </w:pPr>
          </w:p>
        </w:tc>
        <w:tc>
          <w:tcPr>
            <w:tcW w:w="680" w:type="dxa"/>
            <w:vAlign w:val="bottom"/>
            <w:tcBorders>
              <w:right w:val="single" w:sz="8" w:color="CCEEFF"/>
            </w:tcBorders>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$ 975</w:t>
            </w:r>
          </w:p>
        </w:tc>
        <w:tc>
          <w:tcPr>
            <w:tcW w:w="80" w:type="dxa"/>
            <w:vAlign w:val="bottom"/>
            <w:tcBorders>
              <w:left w:val="single" w:sz="8" w:color="CCEEFF"/>
            </w:tcBorders>
            <w:shd w:val="clear" w:color="auto" w:fill="CCEEFF"/>
          </w:tcPr>
          <w:p>
            <w:pPr>
              <w:spacing w:after="0"/>
              <w:rPr>
                <w:sz w:val="21"/>
                <w:szCs w:val="21"/>
                <w:color w:val="auto"/>
              </w:rPr>
            </w:pPr>
          </w:p>
        </w:tc>
        <w:tc>
          <w:tcPr>
            <w:tcW w:w="680" w:type="dxa"/>
            <w:vAlign w:val="bottom"/>
            <w:tcBorders>
              <w:right w:val="single" w:sz="8" w:color="CCEEFF"/>
            </w:tcBorders>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$ 375</w:t>
            </w:r>
          </w:p>
        </w:tc>
        <w:tc>
          <w:tcPr>
            <w:tcW w:w="720" w:type="dxa"/>
            <w:vAlign w:val="bottom"/>
            <w:tcBorders>
              <w:left w:val="single" w:sz="8" w:color="CCEEFF"/>
              <w:right w:val="single" w:sz="8" w:color="CCEEFF"/>
            </w:tcBorders>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$210</w:t>
            </w:r>
          </w:p>
        </w:tc>
        <w:tc>
          <w:tcPr>
            <w:tcW w:w="80" w:type="dxa"/>
            <w:vAlign w:val="bottom"/>
            <w:shd w:val="clear" w:color="auto" w:fill="CCEEFF"/>
          </w:tcPr>
          <w:p>
            <w:pPr>
              <w:spacing w:after="0"/>
              <w:rPr>
                <w:sz w:val="21"/>
                <w:szCs w:val="21"/>
                <w:color w:val="auto"/>
              </w:rPr>
            </w:pPr>
          </w:p>
        </w:tc>
        <w:tc>
          <w:tcPr>
            <w:tcW w:w="660" w:type="dxa"/>
            <w:vAlign w:val="bottom"/>
            <w:tcBorders>
              <w:right w:val="single" w:sz="8" w:color="CCEEFF"/>
            </w:tcBorders>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$ 585</w:t>
            </w:r>
          </w:p>
        </w:tc>
        <w:tc>
          <w:tcPr>
            <w:tcW w:w="12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(210)</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(585)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20"/>
                <w:szCs w:val="20"/>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31"/>
        </w:trPr>
        <w:tc>
          <w:tcPr>
            <w:tcW w:w="4100" w:type="dxa"/>
            <w:vAlign w:val="bottom"/>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1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end of period</w:t>
            </w:r>
          </w:p>
        </w:tc>
        <w:tc>
          <w:tcPr>
            <w:tcW w:w="4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$ 250</w:t>
            </w:r>
          </w:p>
        </w:tc>
        <w:tc>
          <w:tcPr>
            <w:tcW w:w="300" w:type="dxa"/>
            <w:vAlign w:val="bottom"/>
            <w:tcBorders>
              <w:left w:val="single" w:sz="8" w:color="CCEEFF"/>
              <w:right w:val="single" w:sz="8" w:color="CCEEFF"/>
            </w:tcBorders>
            <w:shd w:val="clear" w:color="auto" w:fill="CCEEFF"/>
          </w:tcPr>
          <w:p>
            <w:pPr>
              <w:spacing w:after="0"/>
              <w:rPr>
                <w:sz w:val="24"/>
                <w:szCs w:val="24"/>
                <w:color w:val="auto"/>
              </w:rPr>
            </w:pPr>
          </w:p>
        </w:tc>
        <w:tc>
          <w:tcPr>
            <w:tcW w:w="4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$ 140</w:t>
            </w:r>
          </w:p>
        </w:tc>
        <w:tc>
          <w:tcPr>
            <w:tcW w:w="80" w:type="dxa"/>
            <w:vAlign w:val="bottom"/>
            <w:tcBorders>
              <w:left w:val="single" w:sz="8" w:color="CCEEFF"/>
            </w:tcBorders>
            <w:shd w:val="clear" w:color="auto" w:fill="CCEEFF"/>
          </w:tcPr>
          <w:p>
            <w:pPr>
              <w:spacing w:after="0"/>
              <w:rPr>
                <w:sz w:val="24"/>
                <w:szCs w:val="24"/>
                <w:color w:val="auto"/>
              </w:rPr>
            </w:pPr>
          </w:p>
        </w:tc>
        <w:tc>
          <w:tcPr>
            <w:tcW w:w="680" w:type="dxa"/>
            <w:vAlign w:val="bottom"/>
            <w:tcBorders>
              <w:right w:val="single" w:sz="8" w:color="CCEEFF"/>
            </w:tcBorders>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$ 390</w:t>
            </w:r>
          </w:p>
        </w:tc>
        <w:tc>
          <w:tcPr>
            <w:tcW w:w="80" w:type="dxa"/>
            <w:vAlign w:val="bottom"/>
            <w:tcBorders>
              <w:left w:val="single" w:sz="8" w:color="CCEEFF"/>
            </w:tcBorders>
            <w:shd w:val="clear" w:color="auto" w:fill="CCEEFF"/>
          </w:tcPr>
          <w:p>
            <w:pPr>
              <w:spacing w:after="0"/>
              <w:rPr>
                <w:sz w:val="24"/>
                <w:szCs w:val="24"/>
                <w:color w:val="auto"/>
              </w:rPr>
            </w:pPr>
          </w:p>
        </w:tc>
        <w:tc>
          <w:tcPr>
            <w:tcW w:w="680" w:type="dxa"/>
            <w:vAlign w:val="bottom"/>
            <w:tcBorders>
              <w:right w:val="single" w:sz="8" w:color="CCEEFF"/>
            </w:tcBorders>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$ 250</w:t>
            </w:r>
          </w:p>
        </w:tc>
        <w:tc>
          <w:tcPr>
            <w:tcW w:w="720" w:type="dxa"/>
            <w:vAlign w:val="bottom"/>
            <w:tcBorders>
              <w:left w:val="single" w:sz="8" w:color="CCEEFF"/>
              <w:right w:val="single" w:sz="8" w:color="CCEEFF"/>
            </w:tcBorders>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140</w:t>
            </w:r>
          </w:p>
        </w:tc>
        <w:tc>
          <w:tcPr>
            <w:tcW w:w="80" w:type="dxa"/>
            <w:vAlign w:val="bottom"/>
            <w:shd w:val="clear" w:color="auto" w:fill="CCEEFF"/>
          </w:tcPr>
          <w:p>
            <w:pPr>
              <w:spacing w:after="0"/>
              <w:rPr>
                <w:sz w:val="24"/>
                <w:szCs w:val="24"/>
                <w:color w:val="auto"/>
              </w:rPr>
            </w:pPr>
          </w:p>
        </w:tc>
        <w:tc>
          <w:tcPr>
            <w:tcW w:w="660" w:type="dxa"/>
            <w:vAlign w:val="bottom"/>
            <w:tcBorders>
              <w:right w:val="single" w:sz="8" w:color="CCEEFF"/>
            </w:tcBorders>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$ 390</w:t>
            </w:r>
          </w:p>
        </w:tc>
        <w:tc>
          <w:tcPr>
            <w:tcW w:w="120" w:type="dxa"/>
            <w:vAlign w:val="bottom"/>
            <w:tcBorders>
              <w:left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30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30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4100" w:type="dxa"/>
            <w:vAlign w:val="bottom"/>
          </w:tcPr>
          <w:p>
            <w:pPr>
              <w:spacing w:after="0"/>
              <w:rPr>
                <w:sz w:val="24"/>
                <w:szCs w:val="24"/>
                <w:color w:val="auto"/>
              </w:rPr>
            </w:pPr>
          </w:p>
        </w:tc>
        <w:tc>
          <w:tcPr>
            <w:tcW w:w="2060" w:type="dxa"/>
            <w:vAlign w:val="bottom"/>
            <w:gridSpan w:val="7"/>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24"/>
                <w:szCs w:val="24"/>
                <w:color w:val="auto"/>
              </w:rPr>
            </w:pPr>
          </w:p>
        </w:tc>
        <w:tc>
          <w:tcPr>
            <w:tcW w:w="2040" w:type="dxa"/>
            <w:vAlign w:val="bottom"/>
            <w:gridSpan w:val="7"/>
          </w:tcPr>
          <w:p>
            <w:pPr>
              <w:ind w:lef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4100" w:type="dxa"/>
            <w:vAlign w:val="bottom"/>
          </w:tcPr>
          <w:p>
            <w:pPr>
              <w:spacing w:after="0"/>
              <w:rPr>
                <w:sz w:val="16"/>
                <w:szCs w:val="16"/>
                <w:color w:val="auto"/>
              </w:rPr>
            </w:pPr>
          </w:p>
        </w:tc>
        <w:tc>
          <w:tcPr>
            <w:tcW w:w="2060" w:type="dxa"/>
            <w:vAlign w:val="bottom"/>
            <w:gridSpan w:val="7"/>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20" w:type="dxa"/>
            <w:vAlign w:val="bottom"/>
          </w:tcPr>
          <w:p>
            <w:pPr>
              <w:spacing w:after="0"/>
              <w:rPr>
                <w:sz w:val="16"/>
                <w:szCs w:val="16"/>
                <w:color w:val="auto"/>
              </w:rPr>
            </w:pPr>
          </w:p>
        </w:tc>
        <w:tc>
          <w:tcPr>
            <w:tcW w:w="2040" w:type="dxa"/>
            <w:vAlign w:val="bottom"/>
            <w:gridSpan w:val="7"/>
          </w:tcPr>
          <w:p>
            <w:pPr>
              <w:ind w:left="38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100" w:type="dxa"/>
            <w:vAlign w:val="bottom"/>
          </w:tcPr>
          <w:p>
            <w:pPr>
              <w:spacing w:after="0"/>
              <w:rPr>
                <w:sz w:val="12"/>
                <w:szCs w:val="12"/>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300" w:type="dxa"/>
            <w:vAlign w:val="bottom"/>
          </w:tcPr>
          <w:p>
            <w:pPr>
              <w:spacing w:after="0"/>
              <w:rPr>
                <w:sz w:val="12"/>
                <w:szCs w:val="12"/>
                <w:color w:val="auto"/>
              </w:rPr>
            </w:pPr>
          </w:p>
        </w:tc>
        <w:tc>
          <w:tcPr>
            <w:tcW w:w="54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Private</w:t>
            </w:r>
          </w:p>
        </w:tc>
        <w:tc>
          <w:tcPr>
            <w:tcW w:w="240" w:type="dxa"/>
            <w:vAlign w:val="bottom"/>
          </w:tcPr>
          <w:p>
            <w:pPr>
              <w:spacing w:after="0"/>
              <w:rPr>
                <w:sz w:val="12"/>
                <w:szCs w:val="12"/>
                <w:color w:val="auto"/>
              </w:rPr>
            </w:pPr>
          </w:p>
        </w:tc>
        <w:tc>
          <w:tcPr>
            <w:tcW w:w="5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0"/>
              </w:rPr>
              <w:t>Warrant</w:t>
            </w:r>
          </w:p>
        </w:tc>
        <w:tc>
          <w:tcPr>
            <w:tcW w:w="220" w:type="dxa"/>
            <w:vAlign w:val="bottom"/>
          </w:tcPr>
          <w:p>
            <w:pPr>
              <w:spacing w:after="0"/>
              <w:rPr>
                <w:sz w:val="12"/>
                <w:szCs w:val="12"/>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Public</w:t>
            </w:r>
          </w:p>
        </w:tc>
        <w:tc>
          <w:tcPr>
            <w:tcW w:w="300" w:type="dxa"/>
            <w:vAlign w:val="bottom"/>
          </w:tcPr>
          <w:p>
            <w:pPr>
              <w:spacing w:after="0"/>
              <w:rPr>
                <w:sz w:val="12"/>
                <w:szCs w:val="12"/>
                <w:color w:val="auto"/>
              </w:rPr>
            </w:pPr>
          </w:p>
        </w:tc>
        <w:tc>
          <w:tcPr>
            <w:tcW w:w="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Private</w:t>
            </w:r>
          </w:p>
        </w:tc>
        <w:tc>
          <w:tcPr>
            <w:tcW w:w="220" w:type="dxa"/>
            <w:vAlign w:val="bottom"/>
          </w:tcPr>
          <w:p>
            <w:pPr>
              <w:spacing w:after="0"/>
              <w:rPr>
                <w:sz w:val="12"/>
                <w:szCs w:val="12"/>
                <w:color w:val="auto"/>
              </w:rPr>
            </w:pPr>
          </w:p>
        </w:tc>
        <w:tc>
          <w:tcPr>
            <w:tcW w:w="5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4"/>
              </w:rPr>
              <w:t>Warrant</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86"/>
              </w:rPr>
              <w:t>Placement</w:t>
            </w:r>
          </w:p>
        </w:tc>
        <w:tc>
          <w:tcPr>
            <w:tcW w:w="24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10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Warrants</w:t>
            </w:r>
          </w:p>
        </w:tc>
        <w:tc>
          <w:tcPr>
            <w:tcW w:w="300" w:type="dxa"/>
            <w:vAlign w:val="bottom"/>
          </w:tcPr>
          <w:p>
            <w:pPr>
              <w:spacing w:after="0"/>
              <w:rPr>
                <w:sz w:val="16"/>
                <w:szCs w:val="16"/>
                <w:color w:val="auto"/>
              </w:rPr>
            </w:pPr>
          </w:p>
        </w:tc>
        <w:tc>
          <w:tcPr>
            <w:tcW w:w="5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89"/>
              </w:rPr>
              <w:t>Warrants</w:t>
            </w:r>
          </w:p>
        </w:tc>
        <w:tc>
          <w:tcPr>
            <w:tcW w:w="240" w:type="dxa"/>
            <w:vAlign w:val="bottom"/>
          </w:tcPr>
          <w:p>
            <w:pPr>
              <w:spacing w:after="0"/>
              <w:rPr>
                <w:sz w:val="16"/>
                <w:szCs w:val="16"/>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86"/>
              </w:rPr>
              <w:t>Liabilities</w:t>
            </w:r>
          </w:p>
        </w:tc>
        <w:tc>
          <w:tcPr>
            <w:tcW w:w="22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Warrants</w:t>
            </w:r>
          </w:p>
        </w:tc>
        <w:tc>
          <w:tcPr>
            <w:tcW w:w="300" w:type="dxa"/>
            <w:vAlign w:val="bottom"/>
          </w:tcPr>
          <w:p>
            <w:pPr>
              <w:spacing w:after="0"/>
              <w:rPr>
                <w:sz w:val="16"/>
                <w:szCs w:val="16"/>
                <w:color w:val="auto"/>
              </w:rPr>
            </w:pPr>
          </w:p>
        </w:tc>
        <w:tc>
          <w:tcPr>
            <w:tcW w:w="5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82"/>
              </w:rPr>
              <w:t>Warrants</w:t>
            </w:r>
          </w:p>
        </w:tc>
        <w:tc>
          <w:tcPr>
            <w:tcW w:w="220" w:type="dxa"/>
            <w:vAlign w:val="bottom"/>
          </w:tcPr>
          <w:p>
            <w:pPr>
              <w:spacing w:after="0"/>
              <w:rPr>
                <w:sz w:val="16"/>
                <w:szCs w:val="16"/>
                <w:color w:val="auto"/>
              </w:rPr>
            </w:pPr>
          </w:p>
        </w:tc>
        <w:tc>
          <w:tcPr>
            <w:tcW w:w="5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0"/>
              </w:rPr>
              <w:t>Liabilities</w:t>
            </w: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4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$1,500</w:t>
            </w:r>
          </w:p>
        </w:tc>
        <w:tc>
          <w:tcPr>
            <w:tcW w:w="760" w:type="dxa"/>
            <w:vAlign w:val="bottom"/>
            <w:tcBorders>
              <w:left w:val="single" w:sz="8" w:color="CCEEFF"/>
              <w:right w:val="single" w:sz="8" w:color="CCEEFF"/>
            </w:tcBorders>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  910</w:t>
            </w:r>
          </w:p>
        </w:tc>
        <w:tc>
          <w:tcPr>
            <w:tcW w:w="80" w:type="dxa"/>
            <w:vAlign w:val="bottom"/>
            <w:tcBorders>
              <w:left w:val="single" w:sz="8" w:color="CCEEFF"/>
            </w:tcBorders>
            <w:shd w:val="clear" w:color="auto" w:fill="CCEEFF"/>
          </w:tcPr>
          <w:p>
            <w:pPr>
              <w:spacing w:after="0"/>
              <w:rPr>
                <w:sz w:val="21"/>
                <w:szCs w:val="21"/>
                <w:color w:val="auto"/>
              </w:rPr>
            </w:pPr>
          </w:p>
        </w:tc>
        <w:tc>
          <w:tcPr>
            <w:tcW w:w="680" w:type="dxa"/>
            <w:vAlign w:val="bottom"/>
            <w:tcBorders>
              <w:right w:val="single" w:sz="8" w:color="CCEEFF"/>
            </w:tcBorders>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$2,410</w:t>
            </w:r>
          </w:p>
        </w:tc>
        <w:tc>
          <w:tcPr>
            <w:tcW w:w="80" w:type="dxa"/>
            <w:vAlign w:val="bottom"/>
            <w:tcBorders>
              <w:left w:val="single" w:sz="8" w:color="CCEEFF"/>
            </w:tcBorders>
            <w:shd w:val="clear" w:color="auto" w:fill="CCEEFF"/>
          </w:tcPr>
          <w:p>
            <w:pPr>
              <w:spacing w:after="0"/>
              <w:rPr>
                <w:sz w:val="21"/>
                <w:szCs w:val="21"/>
                <w:color w:val="auto"/>
              </w:rPr>
            </w:pPr>
          </w:p>
        </w:tc>
        <w:tc>
          <w:tcPr>
            <w:tcW w:w="680" w:type="dxa"/>
            <w:vAlign w:val="bottom"/>
            <w:tcBorders>
              <w:right w:val="single" w:sz="8" w:color="CCEEFF"/>
            </w:tcBorders>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$1,250</w:t>
            </w:r>
          </w:p>
        </w:tc>
        <w:tc>
          <w:tcPr>
            <w:tcW w:w="800" w:type="dxa"/>
            <w:vAlign w:val="bottom"/>
            <w:tcBorders>
              <w:left w:val="single" w:sz="8" w:color="CCEEFF"/>
            </w:tcBorders>
            <w:gridSpan w:val="3"/>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  840</w:t>
            </w:r>
          </w:p>
        </w:tc>
        <w:tc>
          <w:tcPr>
            <w:tcW w:w="660" w:type="dxa"/>
            <w:vAlign w:val="bottom"/>
            <w:tcBorders>
              <w:right w:val="single" w:sz="8" w:color="CCEEFF"/>
            </w:tcBorders>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$2,090</w:t>
            </w:r>
          </w:p>
        </w:tc>
        <w:tc>
          <w:tcPr>
            <w:tcW w:w="12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3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4100" w:type="dxa"/>
            <w:vAlign w:val="bottom"/>
            <w:tcBorders>
              <w:right w:val="single" w:sz="8" w:color="auto"/>
            </w:tcBorders>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1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end of period</w:t>
            </w:r>
          </w:p>
        </w:tc>
        <w:tc>
          <w:tcPr>
            <w:tcW w:w="4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1,750</w:t>
            </w:r>
          </w:p>
        </w:tc>
        <w:tc>
          <w:tcPr>
            <w:tcW w:w="760" w:type="dxa"/>
            <w:vAlign w:val="bottom"/>
            <w:tcBorders>
              <w:left w:val="single" w:sz="8" w:color="CCEEFF"/>
              <w:right w:val="single" w:sz="8" w:color="CCEEFF"/>
            </w:tcBorders>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1,120</w:t>
            </w:r>
          </w:p>
        </w:tc>
        <w:tc>
          <w:tcPr>
            <w:tcW w:w="80" w:type="dxa"/>
            <w:vAlign w:val="bottom"/>
            <w:tcBorders>
              <w:left w:val="single" w:sz="8" w:color="CCEEFF"/>
            </w:tcBorders>
            <w:shd w:val="clear" w:color="auto" w:fill="CCEEFF"/>
          </w:tcPr>
          <w:p>
            <w:pPr>
              <w:spacing w:after="0"/>
              <w:rPr>
                <w:sz w:val="24"/>
                <w:szCs w:val="24"/>
                <w:color w:val="auto"/>
              </w:rPr>
            </w:pPr>
          </w:p>
        </w:tc>
        <w:tc>
          <w:tcPr>
            <w:tcW w:w="680" w:type="dxa"/>
            <w:vAlign w:val="bottom"/>
            <w:tcBorders>
              <w:right w:val="single" w:sz="8" w:color="CCEEFF"/>
            </w:tcBorders>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2,870</w:t>
            </w:r>
          </w:p>
        </w:tc>
        <w:tc>
          <w:tcPr>
            <w:tcW w:w="80" w:type="dxa"/>
            <w:vAlign w:val="bottom"/>
            <w:tcBorders>
              <w:left w:val="single" w:sz="8" w:color="CCEEFF"/>
            </w:tcBorders>
            <w:shd w:val="clear" w:color="auto" w:fill="CCEEFF"/>
          </w:tcPr>
          <w:p>
            <w:pPr>
              <w:spacing w:after="0"/>
              <w:rPr>
                <w:sz w:val="24"/>
                <w:szCs w:val="24"/>
                <w:color w:val="auto"/>
              </w:rPr>
            </w:pPr>
          </w:p>
        </w:tc>
        <w:tc>
          <w:tcPr>
            <w:tcW w:w="680" w:type="dxa"/>
            <w:vAlign w:val="bottom"/>
            <w:tcBorders>
              <w:right w:val="single" w:sz="8" w:color="CCEEFF"/>
            </w:tcBorders>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1,750</w:t>
            </w:r>
          </w:p>
        </w:tc>
        <w:tc>
          <w:tcPr>
            <w:tcW w:w="800" w:type="dxa"/>
            <w:vAlign w:val="bottom"/>
            <w:tcBorders>
              <w:left w:val="single" w:sz="8" w:color="CCEEFF"/>
            </w:tcBorders>
            <w:gridSpan w:val="3"/>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1,120</w:t>
            </w:r>
          </w:p>
        </w:tc>
        <w:tc>
          <w:tcPr>
            <w:tcW w:w="660" w:type="dxa"/>
            <w:vAlign w:val="bottom"/>
            <w:tcBorders>
              <w:right w:val="single" w:sz="8" w:color="CCEEFF"/>
            </w:tcBorders>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2,870</w:t>
            </w:r>
          </w:p>
        </w:tc>
        <w:tc>
          <w:tcPr>
            <w:tcW w:w="120" w:type="dxa"/>
            <w:vAlign w:val="bottom"/>
            <w:tcBorders>
              <w:left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Company determined the fair value of the Public Warrants, based on the publicly listed trading price of such warrants as of the valuation date. Accordingly, the Public Warrants are classified as Level 1 financial instruments. The fair value of the Public Warrants was $0.3 million and $0.4 million as of September 30, 2024 and December 31, 2023, respectively.</w:t>
      </w:r>
    </w:p>
    <w:p>
      <w:pPr>
        <w:spacing w:after="0" w:line="3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estimated fair value of the Private Placement Warrants is determined with Level 3 inputs using the Black-Scholes model. The significant inputs and assumptions in this method are the stock price, exercise price, volatility, risk-free rate, and term or maturity. The underlying stock price input is the closing stock price as of each valuation date and the exercise price is the price as stated in the warrant agreement. The volatility input was determined using the historical volatility of comparable publicly traded companies which operate in a similar industry or compete directly against the Company. Volatility for each comparable publicly traded company is calculated as the annualized standard deviation of daily continuously compounded returns. The Black-Scholes analysis is performed in a risk-neutral framework, which requires a risk-free rate assumption based upon constant-maturity treasury yields, which are interpolated based on the remaining term of the Private Placement Warrants as of each valuation date. The term/maturity is the duration between each valuation date and the maturity date, which is five years following the date the Business Combination closed, or June 16, 2026.</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0" w:name="page161"/>
    <w:bookmarkEnd w:id="1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292" w:right="311"/>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inputs at their measurement dates:</w:t>
      </w:r>
    </w:p>
    <w:p>
      <w:pPr>
        <w:spacing w:after="0" w:line="47"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582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r>
      <w:tr>
        <w:trPr>
          <w:trHeight w:val="25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20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$11.50</w:t>
            </w:r>
          </w:p>
        </w:tc>
        <w:tc>
          <w:tcPr>
            <w:tcW w:w="1400" w:type="dxa"/>
            <w:vAlign w:val="bottom"/>
            <w:gridSpan w:val="3"/>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$11.50</w:t>
            </w: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0.87</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0.72</w:t>
            </w:r>
          </w:p>
        </w:tc>
      </w:tr>
      <w:tr>
        <w:trPr>
          <w:trHeight w:val="247"/>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480" w:type="dxa"/>
            <w:vAlign w:val="bottom"/>
            <w:shd w:val="clear" w:color="auto" w:fill="CCEEFF"/>
          </w:tcPr>
          <w:p>
            <w:pPr>
              <w:spacing w:after="0"/>
              <w:rPr>
                <w:sz w:val="21"/>
                <w:szCs w:val="21"/>
                <w:color w:val="auto"/>
              </w:rPr>
            </w:pPr>
          </w:p>
        </w:tc>
        <w:tc>
          <w:tcPr>
            <w:tcW w:w="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93.0%</w:t>
            </w:r>
          </w:p>
        </w:tc>
        <w:tc>
          <w:tcPr>
            <w:tcW w:w="2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87.5%</w:t>
            </w: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Term (years)</w:t>
            </w:r>
          </w:p>
        </w:tc>
        <w:tc>
          <w:tcPr>
            <w:tcW w:w="480" w:type="dxa"/>
            <w:vAlign w:val="bottom"/>
          </w:tcPr>
          <w:p>
            <w:pPr>
              <w:spacing w:after="0"/>
              <w:rPr>
                <w:sz w:val="20"/>
                <w:szCs w:val="20"/>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1.71</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2.46</w:t>
            </w:r>
          </w:p>
        </w:tc>
      </w:tr>
      <w:tr>
        <w:trPr>
          <w:trHeight w:val="234"/>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80" w:type="dxa"/>
            <w:vAlign w:val="bottom"/>
            <w:shd w:val="clear" w:color="auto" w:fill="CCEEFF"/>
          </w:tcPr>
          <w:p>
            <w:pPr>
              <w:spacing w:after="0"/>
              <w:rPr>
                <w:sz w:val="20"/>
                <w:szCs w:val="20"/>
                <w:color w:val="auto"/>
              </w:rPr>
            </w:pPr>
          </w:p>
        </w:tc>
        <w:tc>
          <w:tcPr>
            <w:tcW w:w="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3.75%</w:t>
            </w: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4.13%</w:t>
            </w:r>
          </w:p>
        </w:tc>
      </w:tr>
      <w:tr>
        <w:trPr>
          <w:trHeight w:val="54"/>
        </w:trPr>
        <w:tc>
          <w:tcPr>
            <w:tcW w:w="582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r>
    </w:tbl>
    <w:p>
      <w:pPr>
        <w:spacing w:after="0" w:line="103"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Significant changes in the volatility would result in a significant lower or higher fair value measurement, respectively.</w:t>
      </w:r>
    </w:p>
    <w:p>
      <w:pPr>
        <w:spacing w:after="0" w:line="54"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fair value of the Private Placement Warrants was $0.1 million and $0.2 million as of September 30, 2024 and December 31, 2023, respectively. There were no transfers in or out of Level 3 from other levels in the fair value hierarchy.</w:t>
      </w:r>
    </w:p>
    <w:p>
      <w:pPr>
        <w:spacing w:after="0" w:line="172" w:lineRule="exact"/>
        <w:rPr>
          <w:sz w:val="20"/>
          <w:szCs w:val="20"/>
          <w:color w:val="auto"/>
        </w:rPr>
      </w:pPr>
    </w:p>
    <w:p>
      <w:pPr>
        <w:ind w:left="640" w:hanging="348"/>
        <w:spacing w:after="0"/>
        <w:tabs>
          <w:tab w:leader="none" w:pos="64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Intangible assets consisted of the following as of September 30, 2024 and December 31, 2023 (in thousands):</w:t>
      </w:r>
    </w:p>
    <w:p>
      <w:pPr>
        <w:spacing w:after="0" w:line="200" w:lineRule="exact"/>
        <w:rPr>
          <w:sz w:val="20"/>
          <w:szCs w:val="20"/>
          <w:color w:val="auto"/>
        </w:rPr>
      </w:pPr>
    </w:p>
    <w:p>
      <w:pPr>
        <w:spacing w:after="0" w:line="26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860" w:type="dxa"/>
            <w:vAlign w:val="bottom"/>
          </w:tcPr>
          <w:p>
            <w:pPr>
              <w:spacing w:after="0"/>
              <w:rPr>
                <w:sz w:val="12"/>
                <w:szCs w:val="12"/>
                <w:color w:val="auto"/>
              </w:rPr>
            </w:pPr>
          </w:p>
        </w:tc>
        <w:tc>
          <w:tcPr>
            <w:tcW w:w="8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2"/>
                <w:szCs w:val="12"/>
                <w:color w:val="auto"/>
              </w:rPr>
            </w:pPr>
          </w:p>
        </w:tc>
        <w:tc>
          <w:tcPr>
            <w:tcW w:w="560" w:type="dxa"/>
            <w:vAlign w:val="bottom"/>
            <w:vMerge w:val="restart"/>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9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Intangible</w:t>
            </w: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1"/>
              </w:rPr>
              <w:t>Intangible</w:t>
            </w:r>
          </w:p>
        </w:tc>
        <w:tc>
          <w:tcPr>
            <w:tcW w:w="1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8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18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domain names</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w:t>
            </w:r>
          </w:p>
        </w:tc>
        <w:tc>
          <w:tcPr>
            <w:tcW w:w="740" w:type="dxa"/>
            <w:vAlign w:val="bottom"/>
            <w:tcBorders>
              <w:right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$7,256</w:t>
            </w:r>
          </w:p>
        </w:tc>
        <w:tc>
          <w:tcPr>
            <w:tcW w:w="9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$(5,370)</w:t>
            </w:r>
          </w:p>
        </w:tc>
        <w:tc>
          <w:tcPr>
            <w:tcW w:w="10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$1,886</w:t>
            </w:r>
          </w:p>
        </w:tc>
        <w:tc>
          <w:tcPr>
            <w:tcW w:w="0" w:type="dxa"/>
            <w:vAlign w:val="bottom"/>
          </w:tcPr>
          <w:p>
            <w:pPr>
              <w:spacing w:after="0"/>
              <w:rPr>
                <w:sz w:val="1"/>
                <w:szCs w:val="1"/>
                <w:color w:val="auto"/>
              </w:rPr>
            </w:pPr>
          </w:p>
        </w:tc>
      </w:tr>
      <w:tr>
        <w:trPr>
          <w:trHeight w:val="23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880" w:type="dxa"/>
            <w:vAlign w:val="bottom"/>
          </w:tcPr>
          <w:p>
            <w:pPr>
              <w:jc w:val="right"/>
              <w:ind w:right="219"/>
              <w:spacing w:after="0"/>
              <w:rPr>
                <w:sz w:val="20"/>
                <w:szCs w:val="20"/>
                <w:color w:val="auto"/>
              </w:rPr>
            </w:pPr>
            <w:r>
              <w:rPr>
                <w:rFonts w:ascii="Times New Roman" w:cs="Times New Roman" w:eastAsia="Times New Roman" w:hAnsi="Times New Roman"/>
                <w:sz w:val="18"/>
                <w:szCs w:val="18"/>
                <w:color w:val="auto"/>
              </w:rPr>
              <w:t>5.0</w:t>
            </w:r>
          </w:p>
        </w:tc>
        <w:tc>
          <w:tcPr>
            <w:tcW w:w="74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249</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20"/>
                <w:szCs w:val="20"/>
                <w:color w:val="auto"/>
              </w:rPr>
            </w:pPr>
          </w:p>
        </w:tc>
        <w:tc>
          <w:tcPr>
            <w:tcW w:w="10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41"/>
        </w:trPr>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88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560" w:type="dxa"/>
            <w:vAlign w:val="bottom"/>
            <w:tcBorders>
              <w:bottom w:val="single" w:sz="8" w:color="CCEEFF"/>
              <w:righ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170</w:t>
            </w:r>
          </w:p>
        </w:tc>
        <w:tc>
          <w:tcPr>
            <w:tcW w:w="9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w:t>
            </w: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intangible assets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14.5</w:t>
            </w:r>
          </w:p>
        </w:tc>
        <w:tc>
          <w:tcPr>
            <w:tcW w:w="7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7,675</w:t>
            </w:r>
          </w:p>
        </w:tc>
        <w:tc>
          <w:tcPr>
            <w:tcW w:w="9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(5,584)</w:t>
            </w:r>
          </w:p>
        </w:tc>
        <w:tc>
          <w:tcPr>
            <w:tcW w:w="10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2,091</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1"/>
        </w:trPr>
        <w:tc>
          <w:tcPr>
            <w:tcW w:w="4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860" w:type="dxa"/>
            <w:vAlign w:val="bottom"/>
          </w:tcPr>
          <w:p>
            <w:pPr>
              <w:spacing w:after="0"/>
              <w:rPr>
                <w:sz w:val="12"/>
                <w:szCs w:val="12"/>
                <w:color w:val="auto"/>
              </w:rPr>
            </w:pPr>
          </w:p>
        </w:tc>
        <w:tc>
          <w:tcPr>
            <w:tcW w:w="8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2"/>
                <w:szCs w:val="12"/>
                <w:color w:val="auto"/>
              </w:rPr>
            </w:pPr>
          </w:p>
        </w:tc>
        <w:tc>
          <w:tcPr>
            <w:tcW w:w="560" w:type="dxa"/>
            <w:vAlign w:val="bottom"/>
            <w:vMerge w:val="restart"/>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9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Intangible</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1"/>
              </w:rPr>
              <w:t>Intangible</w:t>
            </w:r>
          </w:p>
        </w:tc>
        <w:tc>
          <w:tcPr>
            <w:tcW w:w="1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8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18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domain names</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w:t>
            </w:r>
          </w:p>
        </w:tc>
        <w:tc>
          <w:tcPr>
            <w:tcW w:w="740" w:type="dxa"/>
            <w:vAlign w:val="bottom"/>
            <w:tcBorders>
              <w:right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$7,256</w:t>
            </w:r>
          </w:p>
        </w:tc>
        <w:tc>
          <w:tcPr>
            <w:tcW w:w="9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$(5,008)</w:t>
            </w:r>
          </w:p>
        </w:tc>
        <w:tc>
          <w:tcPr>
            <w:tcW w:w="10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$2,248</w:t>
            </w:r>
          </w:p>
        </w:tc>
        <w:tc>
          <w:tcPr>
            <w:tcW w:w="0" w:type="dxa"/>
            <w:vAlign w:val="bottom"/>
          </w:tcPr>
          <w:p>
            <w:pPr>
              <w:spacing w:after="0"/>
              <w:rPr>
                <w:sz w:val="1"/>
                <w:szCs w:val="1"/>
                <w:color w:val="auto"/>
              </w:rPr>
            </w:pPr>
          </w:p>
        </w:tc>
      </w:tr>
      <w:tr>
        <w:trPr>
          <w:trHeight w:val="23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880" w:type="dxa"/>
            <w:vAlign w:val="bottom"/>
          </w:tcPr>
          <w:p>
            <w:pPr>
              <w:jc w:val="right"/>
              <w:ind w:right="219"/>
              <w:spacing w:after="0"/>
              <w:rPr>
                <w:sz w:val="20"/>
                <w:szCs w:val="20"/>
                <w:color w:val="auto"/>
              </w:rPr>
            </w:pPr>
            <w:r>
              <w:rPr>
                <w:rFonts w:ascii="Times New Roman" w:cs="Times New Roman" w:eastAsia="Times New Roman" w:hAnsi="Times New Roman"/>
                <w:sz w:val="18"/>
                <w:szCs w:val="18"/>
                <w:color w:val="auto"/>
              </w:rPr>
              <w:t>5.0</w:t>
            </w:r>
          </w:p>
        </w:tc>
        <w:tc>
          <w:tcPr>
            <w:tcW w:w="74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249</w:t>
            </w:r>
          </w:p>
        </w:tc>
        <w:tc>
          <w:tcPr>
            <w:tcW w:w="9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(112)</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88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560" w:type="dxa"/>
            <w:vAlign w:val="bottom"/>
            <w:tcBorders>
              <w:bottom w:val="single" w:sz="8" w:color="CCEEFF"/>
              <w:righ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170</w:t>
            </w:r>
          </w:p>
        </w:tc>
        <w:tc>
          <w:tcPr>
            <w:tcW w:w="9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intangible assets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14.5</w:t>
            </w:r>
          </w:p>
        </w:tc>
        <w:tc>
          <w:tcPr>
            <w:tcW w:w="7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7,675</w:t>
            </w:r>
          </w:p>
        </w:tc>
        <w:tc>
          <w:tcPr>
            <w:tcW w:w="9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(5,168)</w:t>
            </w:r>
          </w:p>
        </w:tc>
        <w:tc>
          <w:tcPr>
            <w:tcW w:w="10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2,507</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Amortization expense for intangible assets was $0.1 million and $0.5 million during the three months ended September 30, 2024 and 2023, respectively. Amortization expense for intangible assets was $0.4 million and $1.6 million during the nine months ended September 30, 2024 and 2023, respectively.</w:t>
      </w:r>
    </w:p>
    <w:p>
      <w:pPr>
        <w:spacing w:after="0" w:line="6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Company recorded a non-cash intangible impairment charge of $6.1 million for the three and nine months ended September 30, 2023 related to certain product offerings that were sunset in December, 2023, which is included in asset impairment charges in the condensed consolidated statements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1" w:name="page162"/>
    <w:bookmarkEnd w:id="1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292" w:right="311"/>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The estimated future amortization expense of intangible assets as of September 30, 2024 is as follows (in thousands):</w:t>
      </w:r>
    </w:p>
    <w:p>
      <w:pPr>
        <w:spacing w:after="0" w:line="328" w:lineRule="exact"/>
        <w:rPr>
          <w:sz w:val="20"/>
          <w:szCs w:val="20"/>
          <w:color w:val="auto"/>
        </w:rPr>
      </w:pPr>
    </w:p>
    <w:tbl>
      <w:tblPr>
        <w:tblLayout w:type="fixed"/>
        <w:tblInd w:w="300" w:type="dxa"/>
        <w:tblCellMar>
          <w:top w:w="0" w:type="dxa"/>
          <w:left w:w="0" w:type="dxa"/>
          <w:bottom w:w="0" w:type="dxa"/>
          <w:right w:w="0" w:type="dxa"/>
        </w:tblCellMar>
      </w:tblPr>
      <w:tr>
        <w:trPr>
          <w:trHeight w:val="338"/>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period in 2024 (three months)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shd w:val="clear" w:color="auto" w:fill="CCEEFF"/>
          </w:tcPr>
          <w:p>
            <w:pPr>
              <w:spacing w:after="0"/>
              <w:rPr>
                <w:sz w:val="24"/>
                <w:szCs w:val="24"/>
                <w:color w:val="auto"/>
              </w:rPr>
            </w:pPr>
          </w:p>
        </w:tc>
      </w:tr>
      <w:tr>
        <w:trPr>
          <w:trHeight w:val="23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555</w:t>
            </w:r>
          </w:p>
        </w:tc>
        <w:tc>
          <w:tcPr>
            <w:tcW w:w="20" w:type="dxa"/>
            <w:vAlign w:val="bottom"/>
          </w:tcPr>
          <w:p>
            <w:pPr>
              <w:spacing w:after="0"/>
              <w:rPr>
                <w:sz w:val="20"/>
                <w:szCs w:val="20"/>
                <w:color w:val="auto"/>
              </w:rPr>
            </w:pPr>
          </w:p>
        </w:tc>
      </w:tr>
      <w:tr>
        <w:trPr>
          <w:trHeight w:val="247"/>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2026</w:t>
            </w: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543</w:t>
            </w:r>
          </w:p>
        </w:tc>
        <w:tc>
          <w:tcPr>
            <w:tcW w:w="20" w:type="dxa"/>
            <w:vAlign w:val="bottom"/>
            <w:shd w:val="clear" w:color="auto" w:fill="CCEEFF"/>
          </w:tcPr>
          <w:p>
            <w:pPr>
              <w:spacing w:after="0"/>
              <w:rPr>
                <w:sz w:val="21"/>
                <w:szCs w:val="21"/>
                <w:color w:val="auto"/>
              </w:rPr>
            </w:pPr>
          </w:p>
        </w:tc>
      </w:tr>
      <w:tr>
        <w:trPr>
          <w:trHeight w:val="23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2027</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505</w:t>
            </w:r>
          </w:p>
        </w:tc>
        <w:tc>
          <w:tcPr>
            <w:tcW w:w="20" w:type="dxa"/>
            <w:vAlign w:val="bottom"/>
          </w:tcPr>
          <w:p>
            <w:pPr>
              <w:spacing w:after="0"/>
              <w:rPr>
                <w:sz w:val="20"/>
                <w:szCs w:val="20"/>
                <w:color w:val="auto"/>
              </w:rPr>
            </w:pPr>
          </w:p>
        </w:tc>
      </w:tr>
      <w:tr>
        <w:trPr>
          <w:trHeight w:val="247"/>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2028</w:t>
            </w: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w:t>
            </w:r>
          </w:p>
        </w:tc>
        <w:tc>
          <w:tcPr>
            <w:tcW w:w="20" w:type="dxa"/>
            <w:vAlign w:val="bottom"/>
            <w:shd w:val="clear" w:color="auto" w:fill="CCEEFF"/>
          </w:tcPr>
          <w:p>
            <w:pPr>
              <w:spacing w:after="0"/>
              <w:rPr>
                <w:sz w:val="21"/>
                <w:szCs w:val="21"/>
                <w:color w:val="auto"/>
              </w:rPr>
            </w:pPr>
          </w:p>
        </w:tc>
      </w:tr>
      <w:tr>
        <w:trPr>
          <w:trHeight w:val="23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tcPr>
          <w:p>
            <w:pPr>
              <w:spacing w:after="0"/>
              <w:rPr>
                <w:sz w:val="20"/>
                <w:szCs w:val="20"/>
                <w:color w:val="auto"/>
              </w:rPr>
            </w:pPr>
          </w:p>
        </w:tc>
      </w:tr>
      <w:tr>
        <w:trPr>
          <w:trHeight w:val="31"/>
        </w:trPr>
        <w:tc>
          <w:tcPr>
            <w:tcW w:w="7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91"/>
        </w:trPr>
        <w:tc>
          <w:tcPr>
            <w:tcW w:w="7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2,091</w:t>
            </w:r>
          </w:p>
        </w:tc>
        <w:tc>
          <w:tcPr>
            <w:tcW w:w="20" w:type="dxa"/>
            <w:vAlign w:val="bottom"/>
            <w:tcBorders>
              <w:bottom w:val="single" w:sz="8" w:color="CCEEFF"/>
            </w:tcBorders>
            <w:shd w:val="clear" w:color="auto" w:fill="CCEEFF"/>
          </w:tcPr>
          <w:p>
            <w:pPr>
              <w:spacing w:after="0"/>
              <w:rPr>
                <w:sz w:val="24"/>
                <w:szCs w:val="24"/>
                <w:color w:val="auto"/>
              </w:rPr>
            </w:pPr>
          </w:p>
        </w:tc>
      </w:tr>
    </w:tbl>
    <w:p>
      <w:pPr>
        <w:spacing w:after="0" w:line="194" w:lineRule="exact"/>
        <w:rPr>
          <w:sz w:val="20"/>
          <w:szCs w:val="20"/>
          <w:color w:val="auto"/>
        </w:rPr>
      </w:pPr>
    </w:p>
    <w:p>
      <w:pPr>
        <w:ind w:left="640" w:hanging="348"/>
        <w:spacing w:after="0"/>
        <w:tabs>
          <w:tab w:leader="none" w:pos="64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Prepaid expenses and other current assets as of September 30, 2024 and December 31, 2023 consisted of the following (in thousands):</w:t>
      </w:r>
    </w:p>
    <w:p>
      <w:pPr>
        <w:spacing w:after="0" w:line="39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00" w:type="dxa"/>
            <w:vAlign w:val="bottom"/>
          </w:tcPr>
          <w:p>
            <w:pPr>
              <w:spacing w:after="0"/>
              <w:rPr>
                <w:sz w:val="16"/>
                <w:szCs w:val="16"/>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5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5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360" w:type="dxa"/>
            <w:vAlign w:val="bottom"/>
            <w:shd w:val="clear" w:color="auto" w:fill="CCEEFF"/>
          </w:tcPr>
          <w:p>
            <w:pPr>
              <w:spacing w:after="0"/>
              <w:rPr>
                <w:sz w:val="21"/>
                <w:szCs w:val="21"/>
                <w:color w:val="auto"/>
              </w:rPr>
            </w:pPr>
          </w:p>
        </w:tc>
        <w:tc>
          <w:tcPr>
            <w:tcW w:w="1500" w:type="dxa"/>
            <w:vAlign w:val="bottom"/>
            <w:gridSpan w:val="4"/>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$1,530</w:t>
            </w:r>
          </w:p>
        </w:tc>
      </w:tr>
      <w:tr>
        <w:trPr>
          <w:trHeight w:val="239"/>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Prepaid marketing</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360" w:type="dxa"/>
            <w:vAlign w:val="bottom"/>
          </w:tcPr>
          <w:p>
            <w:pPr>
              <w:spacing w:after="0"/>
              <w:rPr>
                <w:sz w:val="20"/>
                <w:szCs w:val="20"/>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387</w:t>
            </w:r>
          </w:p>
        </w:tc>
        <w:tc>
          <w:tcPr>
            <w:tcW w:w="360" w:type="dxa"/>
            <w:vAlign w:val="bottom"/>
          </w:tcPr>
          <w:p>
            <w:pPr>
              <w:spacing w:after="0"/>
              <w:rPr>
                <w:sz w:val="20"/>
                <w:szCs w:val="20"/>
                <w:color w:val="auto"/>
              </w:rPr>
            </w:pPr>
          </w:p>
        </w:tc>
      </w:tr>
      <w:tr>
        <w:trPr>
          <w:trHeight w:val="247"/>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software</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36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2,406</w:t>
            </w:r>
          </w:p>
        </w:tc>
        <w:tc>
          <w:tcPr>
            <w:tcW w:w="360" w:type="dxa"/>
            <w:vAlign w:val="bottom"/>
            <w:shd w:val="clear" w:color="auto" w:fill="CCEEFF"/>
          </w:tcPr>
          <w:p>
            <w:pPr>
              <w:spacing w:after="0"/>
              <w:rPr>
                <w:sz w:val="21"/>
                <w:szCs w:val="21"/>
                <w:color w:val="auto"/>
              </w:rPr>
            </w:pPr>
          </w:p>
        </w:tc>
      </w:tr>
      <w:tr>
        <w:trPr>
          <w:trHeight w:val="23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360" w:type="dxa"/>
            <w:vAlign w:val="bottom"/>
          </w:tcPr>
          <w:p>
            <w:pPr>
              <w:spacing w:after="0"/>
              <w:rPr>
                <w:sz w:val="20"/>
                <w:szCs w:val="20"/>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1,655</w:t>
            </w:r>
          </w:p>
        </w:tc>
        <w:tc>
          <w:tcPr>
            <w:tcW w:w="360" w:type="dxa"/>
            <w:vAlign w:val="bottom"/>
          </w:tcPr>
          <w:p>
            <w:pPr>
              <w:spacing w:after="0"/>
              <w:rPr>
                <w:sz w:val="20"/>
                <w:szCs w:val="20"/>
                <w:color w:val="auto"/>
              </w:rPr>
            </w:pPr>
          </w:p>
        </w:tc>
      </w:tr>
      <w:tr>
        <w:trPr>
          <w:trHeight w:val="22"/>
        </w:trPr>
        <w:tc>
          <w:tcPr>
            <w:tcW w:w="5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70"/>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6,409</w:t>
            </w:r>
          </w:p>
        </w:tc>
        <w:tc>
          <w:tcPr>
            <w:tcW w:w="360" w:type="dxa"/>
            <w:vAlign w:val="bottom"/>
            <w:shd w:val="clear" w:color="auto" w:fill="CCEEFF"/>
          </w:tcPr>
          <w:p>
            <w:pPr>
              <w:spacing w:after="0"/>
              <w:rPr>
                <w:sz w:val="23"/>
                <w:szCs w:val="23"/>
                <w:color w:val="auto"/>
              </w:rPr>
            </w:pPr>
          </w:p>
        </w:tc>
        <w:tc>
          <w:tcPr>
            <w:tcW w:w="1500" w:type="dxa"/>
            <w:vAlign w:val="bottom"/>
            <w:gridSpan w:val="4"/>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5,978</w:t>
            </w:r>
          </w:p>
        </w:tc>
      </w:tr>
      <w:tr>
        <w:trPr>
          <w:trHeight w:val="20"/>
        </w:trPr>
        <w:tc>
          <w:tcPr>
            <w:tcW w:w="57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r>
    </w:tbl>
    <w:p>
      <w:pPr>
        <w:spacing w:after="0" w:line="9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Company capitalizes implementation costs incurred in cloud computing arrangements that are service contracts if they meet certain requirements. Those requirements are similar to the requirements for capitalizing implementation costs incurred to develop internal-use software. Amortization is computed using the straight-line method over the term of the associated hosting arrangement. These implementation costs are classified on the balance sheet in prepaid and other current assets, and the related cash flows are presented as cash outflows from operations. Impairment is recognized and measured when it is no longer probable that the computer software project will be completed and placed in service.</w:t>
      </w:r>
    </w:p>
    <w:p>
      <w:pPr>
        <w:spacing w:after="0" w:line="185" w:lineRule="exact"/>
        <w:rPr>
          <w:sz w:val="20"/>
          <w:szCs w:val="20"/>
          <w:color w:val="auto"/>
        </w:rPr>
      </w:pPr>
    </w:p>
    <w:p>
      <w:pPr>
        <w:ind w:left="640" w:hanging="348"/>
        <w:spacing w:after="0"/>
        <w:tabs>
          <w:tab w:leader="none" w:pos="64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Payable and Accrued Expenses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Accounts payable and accrued expenses as of September 30, 2024 and December 31, 2023 consisted of the following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00" w:type="dxa"/>
            <w:vAlign w:val="bottom"/>
          </w:tcPr>
          <w:p>
            <w:pPr>
              <w:spacing w:after="0"/>
              <w:rPr>
                <w:sz w:val="16"/>
                <w:szCs w:val="16"/>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5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5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$ 6,932</w:t>
            </w:r>
          </w:p>
        </w:tc>
        <w:tc>
          <w:tcPr>
            <w:tcW w:w="32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$ 7,323</w:t>
            </w:r>
          </w:p>
        </w:tc>
        <w:tc>
          <w:tcPr>
            <w:tcW w:w="320" w:type="dxa"/>
            <w:vAlign w:val="bottom"/>
            <w:shd w:val="clear" w:color="auto" w:fill="CCEEFF"/>
          </w:tcPr>
          <w:p>
            <w:pPr>
              <w:spacing w:after="0"/>
              <w:rPr>
                <w:sz w:val="21"/>
                <w:szCs w:val="21"/>
                <w:color w:val="auto"/>
              </w:rPr>
            </w:pPr>
          </w:p>
        </w:tc>
      </w:tr>
      <w:tr>
        <w:trPr>
          <w:trHeight w:val="25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expenses</w:t>
            </w:r>
          </w:p>
        </w:tc>
        <w:tc>
          <w:tcPr>
            <w:tcW w:w="320" w:type="dxa"/>
            <w:vAlign w:val="bottom"/>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9,601</w:t>
            </w:r>
          </w:p>
        </w:tc>
        <w:tc>
          <w:tcPr>
            <w:tcW w:w="320" w:type="dxa"/>
            <w:vAlign w:val="bottom"/>
          </w:tcPr>
          <w:p>
            <w:pPr>
              <w:spacing w:after="0"/>
              <w:rPr>
                <w:sz w:val="21"/>
                <w:szCs w:val="21"/>
                <w:color w:val="auto"/>
              </w:rPr>
            </w:pPr>
          </w:p>
        </w:tc>
        <w:tc>
          <w:tcPr>
            <w:tcW w:w="600" w:type="dxa"/>
            <w:vAlign w:val="bottom"/>
            <w:gridSpan w:val="2"/>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13,859</w:t>
            </w:r>
          </w:p>
        </w:tc>
        <w:tc>
          <w:tcPr>
            <w:tcW w:w="320" w:type="dxa"/>
            <w:vAlign w:val="bottom"/>
          </w:tcPr>
          <w:p>
            <w:pPr>
              <w:spacing w:after="0"/>
              <w:rPr>
                <w:sz w:val="21"/>
                <w:szCs w:val="21"/>
                <w:color w:val="auto"/>
              </w:rPr>
            </w:pPr>
          </w:p>
        </w:tc>
      </w:tr>
      <w:tr>
        <w:trPr>
          <w:trHeight w:val="277"/>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16,533</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21,182</w:t>
            </w:r>
          </w:p>
        </w:tc>
        <w:tc>
          <w:tcPr>
            <w:tcW w:w="320" w:type="dxa"/>
            <w:vAlign w:val="bottom"/>
            <w:shd w:val="clear" w:color="auto" w:fill="CCEEFF"/>
          </w:tcPr>
          <w:p>
            <w:pPr>
              <w:spacing w:after="0"/>
              <w:rPr>
                <w:sz w:val="24"/>
                <w:szCs w:val="24"/>
                <w:color w:val="auto"/>
              </w:rPr>
            </w:pPr>
          </w:p>
        </w:tc>
      </w:tr>
      <w:tr>
        <w:trPr>
          <w:trHeight w:val="20"/>
        </w:trPr>
        <w:tc>
          <w:tcPr>
            <w:tcW w:w="5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bl>
    <w:p>
      <w:pPr>
        <w:spacing w:after="0" w:line="90"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Accrued employee expenses include accrued bonuses and commission of $4.2 million and $7.4 million as of September 30, 2024 and December 31, 2023, respectively. Accounts payable and other accrued liabilities as of September 30, 2024 include $1.5 million in potential SEC settlement. See Note 4, “Commitments and Contingencies” to these condensed consolidated financial statements for further information.</w:t>
      </w:r>
    </w:p>
    <w:p>
      <w:pPr>
        <w:spacing w:after="0" w:line="176" w:lineRule="exact"/>
        <w:rPr>
          <w:sz w:val="20"/>
          <w:szCs w:val="20"/>
          <w:color w:val="auto"/>
        </w:rPr>
      </w:pPr>
    </w:p>
    <w:p>
      <w:pPr>
        <w:ind w:left="640" w:hanging="348"/>
        <w:spacing w:after="0"/>
        <w:tabs>
          <w:tab w:leader="none" w:pos="64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 Liability</w:t>
      </w:r>
    </w:p>
    <w:p>
      <w:pPr>
        <w:spacing w:after="0" w:line="121"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At September 30, 2024, there were 12,499,973 Public Warrants outstanding and 7,000,000 Private Placement Warrants outstanding.</w:t>
      </w:r>
    </w:p>
    <w:p>
      <w:pPr>
        <w:spacing w:after="0" w:line="54"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The Public Warrants entitle the holder thereof to purchase one share of Class A Common Stock at a price of $11.50 per share, subject to adjustments. The Public Warrants may be exercised only for a whole number of shares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2" w:name="page163"/>
    <w:bookmarkEnd w:id="1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of Class A Common Stock. No fractional shares will be issued upon exercise of the warrants. The Public Warrants will expire at 5:00 p.m. New York City time on June 16, 2026, or earlier upon redemption or liquidation. The Public Warrants are listed on the NYSE under the symbol “MAPSW.”</w:t>
      </w:r>
    </w:p>
    <w:p>
      <w:pPr>
        <w:spacing w:after="0" w:line="6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 may redeem the Public Warrants starting July 16, 2021, in whole and not in part, at a price of $0.01 per Public Warrant, upon not less than 30 days’ prior written notice of redemption to each holder of Public Warrants, and if, and only if, the reported last sales price of the Company’s Class A Common Stock equals or exceeds $18.00 per share (as adjusted for share splits, share dividends, rights issuances, subdivisions, reorganizations, recapitalization and the like) for any 20 trading days within a 30-trading day period ending on the third trading day prior to the date the Company sends the notice of redemption to the holders of Public Warrants.</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Private Placement Warrant is exercisable for one share of Class A Common Stock at a price of $11.50 per share, subject to adjustment. The Private Placement Warrants (including the shares of Class A Common Stock issuable upon exercise of the Private Placement Warrants) are not transferable, assignable or salable until 30 days after the completion of the Business Combination, subject to certain exceptions, and they are nonredeemable as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the Company and exercisable by the holders on the same basis as the Public Warrants.</w:t>
      </w:r>
    </w:p>
    <w:p>
      <w:pPr>
        <w:spacing w:after="0" w:line="86"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may exercise its redemption right even if it is unable to register or qualify the underlying securities for sale under all applicable state securities laws. If the Company calls the Public Warrants for redemption, management will have the option to require all holders that wish to exercise the Public Warrants to do so on a “cashless basis,” as described in the warrant agreement. The exercise price and number of Class A Common Stock issuable upon exercise of the Public Warrants may be adjusted in certain circumstances including in the event of a share dividend, extraordinary dividend or recapitalization, reorganization, merger or consolidation. However, the Public Warrants will not be adjusted for issuances of shares of Class A Common Stock at a price below its exercise price. Additionally, in no event will the Company be required to net cash settle the Public Warrants.</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concluded the Public Warrants and Private Placement Warrants, or the Warrants, meet the definition of a derivative under ASC 815- Derivatives and Hedging and are recorded as liabilities. Upon the Closing, the fair value of the Warrants was recorded on the balance sheet. The fair value of the Warrants are remeasured as of each balance sheet date, which resulted in a non-cash gain of $0.6 million and $0.2 million in the condensed consolidated statements of operations for the three and nine months ended September 30, 2024, respectively, and a non-cash loss of $0.5 million and $0.8 million in the condensed consolidated statements of operations for the three and nine months ended September 30, 2023, respectively. See Note 5, “Fair Value Measurements” to these condensed consolidated financial statements for additional information.</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10.  Equity</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3" w:name="page164"/>
    <w:bookmarkEnd w:id="1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shares of Class A Common Stock are entitled to receive ratably such dividends, if any, as may be declared from time to time by the Company’s board of directors out of funds legally available therefor.</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the shares of Class A Common Stock are entitled to share ratably in all assets remaining after payment of the Company’s debts and other liabilities, subject to prior distribution rights of preferred stock or any class or series of stock having a preference over the shares of Class A Common Stock, then outstanding, if any.</w:t>
      </w:r>
    </w:p>
    <w:p>
      <w:pPr>
        <w:spacing w:after="0" w:line="2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the Company may issue in the future.</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V Common Stock</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holders of the Class V Common Stock will not participate in any dividends declared by the Company’s board of directors.</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V Common Stock are not entitled to receive any of the Company’s assets.</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holders of shares of Class V Common Stock do not have preemptive, subscription, redemption or conversion rights. There will be no redemption or sinking fund provisions applicable to the Class V Common Stock.</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Issuance and Retirement of Class V Common Stock</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the event that any outstanding share of Class V Common Stock ceases to be held directly or indirectly by a holder of Class A Units, such share will automatically be transferred to us for no consideration and thereupon will be retired. The Company will not issue additional shares of Class V Common Stock other than in connection with the valid issuance or transfer of Units in accordance with the governing documents of WMH LLC.</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4" w:name="page165"/>
    <w:bookmarkEnd w:id="1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Pursuant to the amended and restated certificate of incorporation in effect as of June 15, 2021, the Company was authorized to issue 75,000,000 shares of preferred stock with such designations, voting and other rights and preferences as may be determined from time to time by the Company’s board of directors. As of September 30, 2024, there were no shares of preferred stock issued or outstanding.</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The noncontrolling interest represents the Units held by holders other than the Company. As of September 30, 2024, the noncontrolling interests owned 36.9% of the Units outstanding. The noncontrolling interests’ ownership percentage can fluctuate over time, including as the WMH LLC equity holders elect to exchange Units for Class A Common Stock. The Company has consolidated the financial position and results of operations of WMH LLC and reflected the proportionate interest held by the WMH LLC Unit equity holders as noncontrolling interests.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WM Holding Company, LLC Equity Incentive Plan</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accounted for the issuance of Class A-3 and Class B Units issued under WM Holding Company, LLC’s Equity Incentive Plan in accordance with ASC 718 – </w:t>
      </w:r>
      <w:r>
        <w:rPr>
          <w:rFonts w:ascii="Times New Roman" w:cs="Times New Roman" w:eastAsia="Times New Roman" w:hAnsi="Times New Roman"/>
          <w:sz w:val="18"/>
          <w:szCs w:val="18"/>
          <w:i w:val="1"/>
          <w:iCs w:val="1"/>
          <w:color w:val="auto"/>
        </w:rPr>
        <w:t>Stock Based Compensation</w:t>
      </w:r>
      <w:r>
        <w:rPr>
          <w:rFonts w:ascii="Times New Roman" w:cs="Times New Roman" w:eastAsia="Times New Roman" w:hAnsi="Times New Roman"/>
          <w:sz w:val="18"/>
          <w:szCs w:val="18"/>
          <w:color w:val="auto"/>
        </w:rPr>
        <w:t>. The Company considers the limitation on the exercisability of the Class A-3 and Class B Units to be a performance condition and records compensation cost when it becomes probable that the performance condition will be met.</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each of the Class A-3 Units outstanding prior to the Business Combination were cancelled, and the holder thereof received a number of Class A units representing limited liability company interests of WMH LLC (the “Class A Units”) and an equivalent number of shares of Class V Common Stock, par value $0.0001 per share (together with the Class A Units, the “Paired Interests”), and each of the Class B Units outstanding prior to the Business Combination were cancelled and holders thereof received a number of Class P units representing limited liability company interests of WMH LLC (the “Class P Units” and together with the Class A Units, the “Units”), each in accordance with the Merger Agreement.</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Concurrently with the closing of the Business Combination, the Unit holders entered into an exchange agreement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summary of the Class P Unit activity for the nine months ended September 30, 2024 is as follows:</w:t>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106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Number of Units</w:t>
            </w:r>
          </w:p>
        </w:tc>
      </w:tr>
      <w:tr>
        <w:trPr>
          <w:trHeight w:val="23"/>
        </w:trPr>
        <w:tc>
          <w:tcPr>
            <w:tcW w:w="7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5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Class P Units, December 31, 2023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14,804,507</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9"/>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Cancellations</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80" w:type="dxa"/>
            <w:vAlign w:val="bottom"/>
          </w:tcPr>
          <w:p>
            <w:pPr>
              <w:spacing w:after="0"/>
              <w:rPr>
                <w:sz w:val="20"/>
                <w:szCs w:val="20"/>
                <w:color w:val="auto"/>
              </w:rPr>
            </w:pPr>
          </w:p>
        </w:tc>
      </w:tr>
      <w:tr>
        <w:trPr>
          <w:trHeight w:val="254"/>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Exchanged for Class A Common Stock</w:t>
            </w:r>
          </w:p>
        </w:tc>
        <w:tc>
          <w:tcPr>
            <w:tcW w:w="12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(125,000)</w:t>
            </w:r>
          </w:p>
        </w:tc>
      </w:tr>
      <w:tr>
        <w:trPr>
          <w:trHeight w:val="243"/>
        </w:trPr>
        <w:tc>
          <w:tcPr>
            <w:tcW w:w="73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Class P Units, September 30, 2024</w:t>
            </w:r>
          </w:p>
        </w:tc>
        <w:tc>
          <w:tcPr>
            <w:tcW w:w="120" w:type="dxa"/>
            <w:vAlign w:val="bottom"/>
            <w:tcBorders>
              <w:top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14,678,732</w:t>
            </w:r>
          </w:p>
        </w:tc>
        <w:tc>
          <w:tcPr>
            <w:tcW w:w="4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r>
      <w:tr>
        <w:trPr>
          <w:trHeight w:val="28"/>
        </w:trPr>
        <w:tc>
          <w:tcPr>
            <w:tcW w:w="7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304"/>
        </w:trPr>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September 30, 2024</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14,659,364</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bl>
    <w:p>
      <w:pPr>
        <w:spacing w:after="0" w:line="9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of September 30, 2024, unrecognized stock-based compensation expense for non-vested Class P Units was $0.04 million which is expected to be recognized over a weighted-average period of 0.2 years. For the three months ended September 30, 2024 and 2023, the Company recorded stock-based compensation expense for the Class P Units of $0.1 million and $0.1 million, respectively. For the nine months ended September 30, 2024 and 2023, the Company recorded stock-based compensation expense for the Class P Units of $0.2 million and $0.5 million, respectively.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5" w:name="page166"/>
    <w:bookmarkEnd w:id="1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WM Technology, Inc. Equity Incentive Plan</w:t>
      </w:r>
    </w:p>
    <w:p>
      <w:pPr>
        <w:spacing w:after="0" w:line="11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connection with the Business Combination, the Company adopted the WM Technology, Inc. 2021 Equity Incentive Plan (the “2021 Plan”). The 2021 Plan permits the granting of incentive stock options to employees and for the grant of nonstatutory stock options, stock appreciation rights, restricted stock awards, restricted stock unit awards, performance awards and other forms of stock awards to employees, directors and consultants. As of September 30, 2024, 40,639,882 shares of Class A Common Stock were authorized for issuance pursuant to awards under the 2021 Plan. The number of shares of Class A Common stock reserved for issuance under the 2021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w:t>
      </w:r>
    </w:p>
    <w:p>
      <w:pPr>
        <w:spacing w:after="0" w:line="6" w:lineRule="exact"/>
        <w:rPr>
          <w:sz w:val="20"/>
          <w:szCs w:val="20"/>
          <w:color w:val="auto"/>
        </w:rPr>
      </w:pPr>
    </w:p>
    <w:p>
      <w:pPr>
        <w:jc w:val="both"/>
        <w:ind w:left="300" w:right="299"/>
        <w:spacing w:after="0" w:line="221" w:lineRule="auto"/>
        <w:rPr>
          <w:sz w:val="20"/>
          <w:szCs w:val="20"/>
          <w:color w:val="auto"/>
        </w:rPr>
      </w:pPr>
      <w:r>
        <w:rPr>
          <w:rFonts w:ascii="Times New Roman" w:cs="Times New Roman" w:eastAsia="Times New Roman" w:hAnsi="Times New Roman"/>
          <w:sz w:val="18"/>
          <w:szCs w:val="18"/>
          <w:color w:val="auto"/>
        </w:rPr>
        <w:t>may act prior to January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of a given year to provide that the increase for such year will be a lesser number of shares of Common Stock. As of September 30, 2024, 27,621,566 shares of Class A Common Stock were available for future issuance.</w:t>
      </w:r>
    </w:p>
    <w:p>
      <w:pPr>
        <w:spacing w:after="0" w:line="130"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 summary of the restricted stock unit (“RSU”) activity for the nine months ended September 30, 2024 is as follows:</w:t>
      </w:r>
    </w:p>
    <w:p>
      <w:pPr>
        <w:spacing w:after="0" w:line="39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5920" w:type="dxa"/>
            <w:vAlign w:val="bottom"/>
          </w:tcPr>
          <w:p>
            <w:pPr>
              <w:spacing w:after="0"/>
              <w:rPr>
                <w:sz w:val="12"/>
                <w:szCs w:val="12"/>
                <w:color w:val="auto"/>
              </w:rPr>
            </w:pPr>
          </w:p>
        </w:tc>
        <w:tc>
          <w:tcPr>
            <w:tcW w:w="10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3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0"/>
        </w:trPr>
        <w:tc>
          <w:tcPr>
            <w:tcW w:w="5920" w:type="dxa"/>
            <w:vAlign w:val="bottom"/>
          </w:tcPr>
          <w:p>
            <w:pPr>
              <w:spacing w:after="0"/>
              <w:rPr>
                <w:sz w:val="16"/>
                <w:szCs w:val="16"/>
                <w:color w:val="auto"/>
              </w:rPr>
            </w:pPr>
          </w:p>
        </w:tc>
        <w:tc>
          <w:tcPr>
            <w:tcW w:w="1060" w:type="dxa"/>
            <w:vAlign w:val="bottom"/>
            <w:gridSpan w:val="4"/>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3"/>
        </w:trPr>
        <w:tc>
          <w:tcPr>
            <w:tcW w:w="5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7,683,598</w:t>
            </w:r>
          </w:p>
        </w:tc>
        <w:tc>
          <w:tcPr>
            <w:tcW w:w="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8"/>
              </w:rPr>
              <w:t>$2.96</w:t>
            </w:r>
          </w:p>
        </w:tc>
        <w:tc>
          <w:tcPr>
            <w:tcW w:w="0" w:type="dxa"/>
            <w:vAlign w:val="bottom"/>
          </w:tcPr>
          <w:p>
            <w:pPr>
              <w:spacing w:after="0"/>
              <w:rPr>
                <w:sz w:val="1"/>
                <w:szCs w:val="1"/>
                <w:color w:val="auto"/>
              </w:rPr>
            </w:pPr>
          </w:p>
        </w:tc>
      </w:tr>
      <w:tr>
        <w:trPr>
          <w:trHeight w:val="23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906,232</w:t>
            </w:r>
          </w:p>
        </w:tc>
        <w:tc>
          <w:tcPr>
            <w:tcW w:w="80" w:type="dxa"/>
            <w:vAlign w:val="bottom"/>
          </w:tcPr>
          <w:p>
            <w:pPr>
              <w:spacing w:after="0"/>
              <w:rPr>
                <w:sz w:val="20"/>
                <w:szCs w:val="20"/>
                <w:color w:val="auto"/>
              </w:rPr>
            </w:pPr>
          </w:p>
        </w:tc>
        <w:tc>
          <w:tcPr>
            <w:tcW w:w="14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8"/>
              </w:rPr>
              <w:t>$1.03</w:t>
            </w:r>
          </w:p>
        </w:tc>
        <w:tc>
          <w:tcPr>
            <w:tcW w:w="0" w:type="dxa"/>
            <w:vAlign w:val="bottom"/>
          </w:tcPr>
          <w:p>
            <w:pPr>
              <w:spacing w:after="0"/>
              <w:rPr>
                <w:sz w:val="1"/>
                <w:szCs w:val="1"/>
                <w:color w:val="auto"/>
              </w:rPr>
            </w:pPr>
          </w:p>
        </w:tc>
      </w:tr>
      <w:tr>
        <w:trPr>
          <w:trHeight w:val="247"/>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(2,897,408)</w:t>
            </w:r>
          </w:p>
        </w:tc>
        <w:tc>
          <w:tcPr>
            <w:tcW w:w="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8"/>
              </w:rPr>
              <w:t>$2.97</w:t>
            </w:r>
          </w:p>
        </w:tc>
        <w:tc>
          <w:tcPr>
            <w:tcW w:w="0" w:type="dxa"/>
            <w:vAlign w:val="bottom"/>
          </w:tcPr>
          <w:p>
            <w:pPr>
              <w:spacing w:after="0"/>
              <w:rPr>
                <w:sz w:val="1"/>
                <w:szCs w:val="1"/>
                <w:color w:val="auto"/>
              </w:rPr>
            </w:pPr>
          </w:p>
        </w:tc>
      </w:tr>
      <w:tr>
        <w:trPr>
          <w:trHeight w:val="25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40" w:type="dxa"/>
            <w:vAlign w:val="bottom"/>
          </w:tcPr>
          <w:p>
            <w:pPr>
              <w:spacing w:after="0"/>
              <w:rPr>
                <w:sz w:val="21"/>
                <w:szCs w:val="21"/>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(1,328,501)</w:t>
            </w:r>
          </w:p>
        </w:tc>
        <w:tc>
          <w:tcPr>
            <w:tcW w:w="80" w:type="dxa"/>
            <w:vAlign w:val="bottom"/>
          </w:tcPr>
          <w:p>
            <w:pPr>
              <w:spacing w:after="0"/>
              <w:rPr>
                <w:sz w:val="21"/>
                <w:szCs w:val="21"/>
                <w:color w:val="auto"/>
              </w:rPr>
            </w:pPr>
          </w:p>
        </w:tc>
        <w:tc>
          <w:tcPr>
            <w:tcW w:w="14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8"/>
              </w:rPr>
              <w:t>$2.87</w:t>
            </w:r>
          </w:p>
        </w:tc>
        <w:tc>
          <w:tcPr>
            <w:tcW w:w="0" w:type="dxa"/>
            <w:vAlign w:val="bottom"/>
          </w:tcPr>
          <w:p>
            <w:pPr>
              <w:spacing w:after="0"/>
              <w:rPr>
                <w:sz w:val="1"/>
                <w:szCs w:val="1"/>
                <w:color w:val="auto"/>
              </w:rPr>
            </w:pPr>
          </w:p>
        </w:tc>
      </w:tr>
      <w:tr>
        <w:trPr>
          <w:trHeight w:val="297"/>
        </w:trPr>
        <w:tc>
          <w:tcPr>
            <w:tcW w:w="5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September 30, 2024</w:t>
            </w: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4,363,921</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8"/>
              </w:rPr>
              <w:t>$2.57</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As of September 30, 2024, unrecognized stock-based compensation expense for non-vested RSUs was $10.0 million, which is expected to be recognized over a weighted-average period of 1.2 years. For the three months ended September 30, 2024 and 2023, the Company recorded stock-based compensation expense for the RSUs of $1.5 million and $2.7 million, respectively. For the nine months ended September 30, 2024 and 2023, the Company recorded stock-based compensation expense for the RSUs of $6.9 million and $10.1 million, respectively.</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 grants performance-based restricted stock units (“PRSUs”) with performance and service-based vesting conditions. The level of achievement of such goals may cause the actual number of units that ultimately vest to range from 0% to 200% of the original units granted. The Company recognizes expense ratably over the vesting period for the PRSUs when it is probable that the performance criteria specified will be achieved. The fair value is equal to the market price of the Company’s common stock on the date of grant.</w:t>
      </w:r>
    </w:p>
    <w:p>
      <w:pPr>
        <w:spacing w:after="0" w:line="200" w:lineRule="exact"/>
        <w:rPr>
          <w:sz w:val="20"/>
          <w:szCs w:val="20"/>
          <w:color w:val="auto"/>
        </w:rPr>
      </w:pPr>
    </w:p>
    <w:p>
      <w:pPr>
        <w:spacing w:after="0" w:line="22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11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PRSUs</w:t>
            </w:r>
          </w:p>
        </w:tc>
        <w:tc>
          <w:tcPr>
            <w:tcW w:w="2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0"/>
        </w:trPr>
        <w:tc>
          <w:tcPr>
            <w:tcW w:w="590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3"/>
        </w:trPr>
        <w:tc>
          <w:tcPr>
            <w:tcW w:w="5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234,375</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$6.40</w:t>
            </w:r>
          </w:p>
        </w:tc>
        <w:tc>
          <w:tcPr>
            <w:tcW w:w="0" w:type="dxa"/>
            <w:vAlign w:val="bottom"/>
          </w:tcPr>
          <w:p>
            <w:pPr>
              <w:spacing w:after="0"/>
              <w:rPr>
                <w:sz w:val="1"/>
                <w:szCs w:val="1"/>
                <w:color w:val="auto"/>
              </w:rPr>
            </w:pPr>
          </w:p>
        </w:tc>
      </w:tr>
      <w:tr>
        <w:trPr>
          <w:trHeight w:val="239"/>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7"/>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(58,594)</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$6.40</w:t>
            </w:r>
          </w:p>
        </w:tc>
        <w:tc>
          <w:tcPr>
            <w:tcW w:w="0" w:type="dxa"/>
            <w:vAlign w:val="bottom"/>
          </w:tcPr>
          <w:p>
            <w:pPr>
              <w:spacing w:after="0"/>
              <w:rPr>
                <w:sz w:val="1"/>
                <w:szCs w:val="1"/>
                <w:color w:val="auto"/>
              </w:rPr>
            </w:pPr>
          </w:p>
        </w:tc>
      </w:tr>
      <w:tr>
        <w:trPr>
          <w:trHeight w:val="25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4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(175,781)</w:t>
            </w:r>
          </w:p>
        </w:tc>
        <w:tc>
          <w:tcPr>
            <w:tcW w:w="13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$6.40</w:t>
            </w:r>
          </w:p>
        </w:tc>
        <w:tc>
          <w:tcPr>
            <w:tcW w:w="0" w:type="dxa"/>
            <w:vAlign w:val="bottom"/>
          </w:tcPr>
          <w:p>
            <w:pPr>
              <w:spacing w:after="0"/>
              <w:rPr>
                <w:sz w:val="1"/>
                <w:szCs w:val="1"/>
                <w:color w:val="auto"/>
              </w:rPr>
            </w:pPr>
          </w:p>
        </w:tc>
      </w:tr>
      <w:tr>
        <w:trPr>
          <w:trHeight w:val="264"/>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September 30, 2024</w:t>
            </w:r>
          </w:p>
        </w:tc>
        <w:tc>
          <w:tcPr>
            <w:tcW w:w="240" w:type="dxa"/>
            <w:vAlign w:val="bottom"/>
            <w:shd w:val="clear" w:color="auto" w:fill="CCEEFF"/>
          </w:tcPr>
          <w:p>
            <w:pPr>
              <w:spacing w:after="0"/>
              <w:rPr>
                <w:sz w:val="22"/>
                <w:szCs w:val="22"/>
                <w:color w:val="auto"/>
              </w:rPr>
            </w:pP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59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auto"/>
              <w:right w:val="single" w:sz="8" w:color="CCEEFF"/>
            </w:tcBorders>
            <w:shd w:val="clear" w:color="auto" w:fill="000000"/>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of September 30, 2024, the Company has no outstanding grants for PRSUs. For the three months ended September 30, 2024, the Company recorded no stock-based compensation expense for PRSUs. For the three months ended September 30, 2023, the Company recorded stock-based compensation credit of for PRSUs $0.5 million. For the nine months ended September 30, 2024 and 2023, the Company recorded stock-based compensation expense for PRSUs of $0.1 million and stock-based compensation credit for PRSUs of $0.2 million, respectively.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6" w:name="page167"/>
    <w:bookmarkEnd w:id="1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cost related to the Class P Units, RSUs and PRSUs in the following expense categories on the accompanying condensed consolidated statements of operations (in thousands):</w:t>
      </w:r>
    </w:p>
    <w:p>
      <w:pPr>
        <w:spacing w:after="0" w:line="39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480" w:type="dxa"/>
            <w:vAlign w:val="bottom"/>
            <w:gridSpan w:val="5"/>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Pr>
          <w:p>
            <w:pPr>
              <w:spacing w:after="0"/>
              <w:rPr>
                <w:sz w:val="16"/>
                <w:szCs w:val="16"/>
                <w:color w:val="auto"/>
              </w:rPr>
            </w:pPr>
          </w:p>
        </w:tc>
        <w:tc>
          <w:tcPr>
            <w:tcW w:w="1460" w:type="dxa"/>
            <w:vAlign w:val="bottom"/>
            <w:tcBorders>
              <w:bottom w:val="single" w:sz="8" w:color="auto"/>
            </w:tcBorders>
            <w:gridSpan w:val="3"/>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5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3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40" w:type="dxa"/>
            <w:vAlign w:val="bottom"/>
          </w:tcPr>
          <w:p>
            <w:pPr>
              <w:spacing w:after="0"/>
              <w:rPr>
                <w:sz w:val="17"/>
                <w:szCs w:val="17"/>
                <w:color w:val="auto"/>
              </w:rPr>
            </w:pPr>
          </w:p>
        </w:tc>
        <w:tc>
          <w:tcPr>
            <w:tcW w:w="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7"/>
                <w:szCs w:val="17"/>
                <w:color w:val="auto"/>
              </w:rPr>
            </w:pPr>
          </w:p>
        </w:tc>
        <w:tc>
          <w:tcPr>
            <w:tcW w:w="6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5"/>
        </w:trPr>
        <w:tc>
          <w:tcPr>
            <w:tcW w:w="5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$ 2,180</w:t>
            </w:r>
          </w:p>
        </w:tc>
      </w:tr>
      <w:tr>
        <w:trPr>
          <w:trHeight w:val="229"/>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3,226</w:t>
            </w:r>
          </w:p>
        </w:tc>
      </w:tr>
      <w:tr>
        <w:trPr>
          <w:trHeight w:val="229"/>
        </w:trPr>
        <w:tc>
          <w:tcPr>
            <w:tcW w:w="5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3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w:t>
            </w:r>
          </w:p>
        </w:tc>
      </w:tr>
      <w:tr>
        <w:trPr>
          <w:trHeight w:val="20"/>
        </w:trPr>
        <w:tc>
          <w:tcPr>
            <w:tcW w:w="5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7,172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10,389</w:t>
            </w:r>
          </w:p>
        </w:tc>
      </w:tr>
      <w:tr>
        <w:trPr>
          <w:trHeight w:val="236"/>
        </w:trPr>
        <w:tc>
          <w:tcPr>
            <w:tcW w:w="5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capitalized to software development</w:t>
            </w:r>
          </w:p>
        </w:tc>
        <w:tc>
          <w:tcPr>
            <w:tcW w:w="100" w:type="dxa"/>
            <w:vAlign w:val="bottom"/>
            <w:shd w:val="clear" w:color="auto" w:fill="CCEEFF"/>
          </w:tcPr>
          <w:p>
            <w:pPr>
              <w:spacing w:after="0"/>
              <w:rPr>
                <w:sz w:val="20"/>
                <w:szCs w:val="20"/>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3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r>
      <w:tr>
        <w:trPr>
          <w:trHeight w:val="20"/>
        </w:trPr>
        <w:tc>
          <w:tcPr>
            <w:tcW w:w="5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r>
      <w:tr>
        <w:trPr>
          <w:trHeight w:val="223"/>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 cost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1,817</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2,662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8,001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11,348</w:t>
            </w:r>
          </w:p>
        </w:tc>
      </w:tr>
      <w:tr>
        <w:trPr>
          <w:trHeight w:val="21"/>
        </w:trPr>
        <w:tc>
          <w:tcPr>
            <w:tcW w:w="5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Basic income (loss) per share of Class A Common Stock is computed by dividing net earnings (loss) attributable to WM Technology, Inc. by the weighted-average number of shares of Class A Common Stock outstanding during the period. Diluted income (loss) per share of Class A Common Stock adjusts basic net income (loss) per share of Class A Common Stock for the potentially dilutive impact of securities. For warrants that are liability-classified, during periods when the impact is dilutive, the Company assumes share settlement of the instruments as of the beginning of the reporting period and adjusts the numerator to remove the change in fair value of the warrant liability, net of the portion attributable to non-controlling interests, and adjusts the denominator to include the dilutive shares calculated using the treasury stock method.</w:t>
      </w:r>
    </w:p>
    <w:p>
      <w:pPr>
        <w:spacing w:after="0" w:line="84"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computation of income (loss) per share attributable to WM Technology, Inc. and weighted-average shares of the Company’s Class A Common Stock outstanding are as follows for the three and nine months ending September 30, 2024 and 2023 (in thousands, except for share and per share amounts):</w:t>
      </w:r>
    </w:p>
    <w:p>
      <w:pPr>
        <w:spacing w:after="0" w:line="40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7"/>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8"/>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7"/>
          </w:tcPr>
          <w:p>
            <w:pPr>
              <w:ind w:lef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8"/>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55"/>
        </w:trPr>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30"/>
        </w:trPr>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20" w:type="dxa"/>
            <w:vAlign w:val="bottom"/>
          </w:tcPr>
          <w:p>
            <w:pPr>
              <w:spacing w:after="0"/>
              <w:rPr>
                <w:sz w:val="19"/>
                <w:szCs w:val="19"/>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8,471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20" w:type="dxa"/>
            <w:vAlign w:val="bottom"/>
          </w:tcPr>
          <w:p>
            <w:pPr>
              <w:spacing w:after="0"/>
              <w:rPr>
                <w:sz w:val="19"/>
                <w:szCs w:val="19"/>
                <w:color w:val="auto"/>
              </w:rPr>
            </w:pPr>
          </w:p>
        </w:tc>
      </w:tr>
      <w:tr>
        <w:trPr>
          <w:trHeight w:val="198"/>
        </w:trPr>
        <w:tc>
          <w:tcPr>
            <w:tcW w:w="43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Less: net income (loss) attributable to noncontrolling</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61"/>
        </w:trPr>
        <w:tc>
          <w:tcPr>
            <w:tcW w:w="120" w:type="dxa"/>
            <w:vAlign w:val="bottom"/>
            <w:tcBorders>
              <w:bottom w:val="single" w:sz="8" w:color="CCEEFF"/>
            </w:tcBorders>
            <w:shd w:val="clear" w:color="auto" w:fill="CCEEFF"/>
          </w:tcPr>
          <w:p>
            <w:pPr>
              <w:spacing w:after="0"/>
              <w:rPr>
                <w:sz w:val="22"/>
                <w:szCs w:val="22"/>
                <w:color w:val="auto"/>
              </w:rPr>
            </w:pPr>
          </w:p>
        </w:tc>
        <w:tc>
          <w:tcPr>
            <w:tcW w:w="42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interests</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5"/>
        </w:trPr>
        <w:tc>
          <w:tcPr>
            <w:tcW w:w="434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auto"/>
              </w:rPr>
              <w:t>Net income (loss) attributable to WM Technology, Inc.</w:t>
            </w: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4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Class A Common Stock – 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20" w:type="dxa"/>
            <w:vAlign w:val="bottom"/>
          </w:tcPr>
          <w:p>
            <w:pPr>
              <w:spacing w:after="0"/>
              <w:rPr>
                <w:sz w:val="20"/>
                <w:szCs w:val="20"/>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20" w:type="dxa"/>
            <w:vAlign w:val="bottom"/>
          </w:tcPr>
          <w:p>
            <w:pPr>
              <w:spacing w:after="0"/>
              <w:rPr>
                <w:sz w:val="20"/>
                <w:szCs w:val="20"/>
                <w:color w:val="auto"/>
              </w:rPr>
            </w:pPr>
          </w:p>
        </w:tc>
      </w:tr>
      <w:tr>
        <w:trPr>
          <w:trHeight w:val="20"/>
        </w:trPr>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198"/>
        </w:trPr>
        <w:tc>
          <w:tcPr>
            <w:tcW w:w="43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Weighted average of shares of Class A Common Stock</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1"/>
        </w:trPr>
        <w:tc>
          <w:tcPr>
            <w:tcW w:w="120" w:type="dxa"/>
            <w:vAlign w:val="bottom"/>
          </w:tcPr>
          <w:p>
            <w:pPr>
              <w:spacing w:after="0"/>
              <w:rPr>
                <w:sz w:val="20"/>
                <w:szCs w:val="20"/>
                <w:color w:val="auto"/>
              </w:rPr>
            </w:pPr>
          </w:p>
        </w:tc>
        <w:tc>
          <w:tcPr>
            <w:tcW w:w="4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outstanding – basic</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97,166,788</w:t>
            </w:r>
          </w:p>
        </w:tc>
        <w:tc>
          <w:tcPr>
            <w:tcW w:w="2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93,651,871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95,743,064</w:t>
            </w:r>
          </w:p>
        </w:tc>
        <w:tc>
          <w:tcPr>
            <w:tcW w:w="2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92,947,191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effect of dilutive securities:</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30"/>
        </w:trPr>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Acquisition holdback shares</w:t>
            </w: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340" w:type="dxa"/>
            <w:vAlign w:val="bottom"/>
            <w:gridSpan w:val="3"/>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Restricted stock units</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644,463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1,016,101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1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3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of shares of Class A Common Stock</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75"/>
        </w:trPr>
        <w:tc>
          <w:tcPr>
            <w:tcW w:w="120" w:type="dxa"/>
            <w:vAlign w:val="bottom"/>
            <w:shd w:val="clear" w:color="auto" w:fill="CCEEFF"/>
          </w:tcPr>
          <w:p>
            <w:pPr>
              <w:spacing w:after="0"/>
              <w:rPr>
                <w:sz w:val="23"/>
                <w:szCs w:val="23"/>
                <w:color w:val="auto"/>
              </w:rPr>
            </w:pPr>
          </w:p>
        </w:tc>
        <w:tc>
          <w:tcPr>
            <w:tcW w:w="4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outstanding – diluted</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97,811,251</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93,651,871</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96,761,731</w:t>
            </w:r>
          </w:p>
        </w:tc>
        <w:tc>
          <w:tcPr>
            <w:tcW w:w="20" w:type="dxa"/>
            <w:vAlign w:val="bottom"/>
            <w:shd w:val="clear" w:color="auto" w:fill="CCEEFF"/>
          </w:tcPr>
          <w:p>
            <w:pPr>
              <w:spacing w:after="0"/>
              <w:rPr>
                <w:sz w:val="23"/>
                <w:szCs w:val="23"/>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92,947,191</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32"/>
        </w:trPr>
        <w:tc>
          <w:tcPr>
            <w:tcW w:w="434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Net income (loss) per share of Class A Common Stock –</w:t>
            </w: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r>
      <w:tr>
        <w:trPr>
          <w:trHeight w:val="234"/>
        </w:trPr>
        <w:tc>
          <w:tcPr>
            <w:tcW w:w="120" w:type="dxa"/>
            <w:vAlign w:val="bottom"/>
          </w:tcPr>
          <w:p>
            <w:pPr>
              <w:spacing w:after="0"/>
              <w:rPr>
                <w:sz w:val="20"/>
                <w:szCs w:val="20"/>
                <w:color w:val="auto"/>
              </w:rPr>
            </w:pPr>
          </w:p>
        </w:tc>
        <w:tc>
          <w:tcPr>
            <w:tcW w:w="4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 w:type="dxa"/>
            <w:vAlign w:val="bottom"/>
          </w:tcPr>
          <w:p>
            <w:pPr>
              <w:spacing w:after="0"/>
              <w:rPr>
                <w:sz w:val="20"/>
                <w:szCs w:val="20"/>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0" w:type="dxa"/>
            <w:vAlign w:val="bottom"/>
          </w:tcPr>
          <w:p>
            <w:pPr>
              <w:spacing w:after="0"/>
              <w:rPr>
                <w:sz w:val="20"/>
                <w:szCs w:val="20"/>
                <w:color w:val="auto"/>
              </w:rPr>
            </w:pPr>
          </w:p>
        </w:tc>
      </w:tr>
      <w:tr>
        <w:trPr>
          <w:trHeight w:val="21"/>
        </w:trPr>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 of Class A Common Stock –</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75"/>
        </w:trPr>
        <w:tc>
          <w:tcPr>
            <w:tcW w:w="120" w:type="dxa"/>
            <w:vAlign w:val="bottom"/>
            <w:shd w:val="clear" w:color="auto" w:fill="CCEEFF"/>
          </w:tcPr>
          <w:p>
            <w:pPr>
              <w:spacing w:after="0"/>
              <w:rPr>
                <w:sz w:val="23"/>
                <w:szCs w:val="23"/>
                <w:color w:val="auto"/>
              </w:rPr>
            </w:pPr>
          </w:p>
        </w:tc>
        <w:tc>
          <w:tcPr>
            <w:tcW w:w="4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0" w:type="dxa"/>
            <w:vAlign w:val="bottom"/>
            <w:shd w:val="clear" w:color="auto" w:fill="CCEEFF"/>
          </w:tcPr>
          <w:p>
            <w:pPr>
              <w:spacing w:after="0"/>
              <w:rPr>
                <w:sz w:val="23"/>
                <w:szCs w:val="23"/>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 w:type="dxa"/>
            <w:vAlign w:val="bottom"/>
            <w:shd w:val="clear" w:color="auto" w:fill="CCEEFF"/>
          </w:tcPr>
          <w:p>
            <w:pPr>
              <w:spacing w:after="0"/>
              <w:rPr>
                <w:sz w:val="23"/>
                <w:szCs w:val="23"/>
                <w:color w:val="auto"/>
              </w:rPr>
            </w:pP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0" w:type="dxa"/>
            <w:vAlign w:val="bottom"/>
            <w:shd w:val="clear" w:color="auto" w:fill="CCEEFF"/>
          </w:tcPr>
          <w:p>
            <w:pPr>
              <w:spacing w:after="0"/>
              <w:rPr>
                <w:sz w:val="23"/>
                <w:szCs w:val="23"/>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0" w:type="dxa"/>
            <w:vAlign w:val="bottom"/>
            <w:shd w:val="clear" w:color="auto" w:fill="CCEEFF"/>
          </w:tcPr>
          <w:p>
            <w:pPr>
              <w:spacing w:after="0"/>
              <w:rPr>
                <w:sz w:val="23"/>
                <w:szCs w:val="23"/>
                <w:color w:val="auto"/>
              </w:rPr>
            </w:pPr>
          </w:p>
        </w:tc>
      </w:tr>
      <w:tr>
        <w:trPr>
          <w:trHeight w:val="155"/>
        </w:trPr>
        <w:tc>
          <w:tcPr>
            <w:tcW w:w="120" w:type="dxa"/>
            <w:vAlign w:val="bottom"/>
            <w:tcBorders>
              <w:top w:val="single" w:sz="8" w:color="CCEEFF"/>
              <w:bottom w:val="single" w:sz="8" w:color="auto"/>
            </w:tcBorders>
          </w:tcPr>
          <w:p>
            <w:pPr>
              <w:spacing w:after="0"/>
              <w:rPr>
                <w:sz w:val="13"/>
                <w:szCs w:val="13"/>
                <w:color w:val="auto"/>
              </w:rPr>
            </w:pPr>
          </w:p>
        </w:tc>
        <w:tc>
          <w:tcPr>
            <w:tcW w:w="1160" w:type="dxa"/>
            <w:vAlign w:val="bottom"/>
            <w:tcBorders>
              <w:top w:val="single" w:sz="8" w:color="CCEEFF"/>
              <w:bottom w:val="single" w:sz="8" w:color="auto"/>
            </w:tcBorders>
          </w:tcPr>
          <w:p>
            <w:pPr>
              <w:spacing w:after="0"/>
              <w:rPr>
                <w:sz w:val="13"/>
                <w:szCs w:val="13"/>
                <w:color w:val="auto"/>
              </w:rPr>
            </w:pPr>
          </w:p>
        </w:tc>
        <w:tc>
          <w:tcPr>
            <w:tcW w:w="306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r>
      <w:tr>
        <w:trPr>
          <w:trHeight w:val="213"/>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1</w:t>
            </w:r>
          </w:p>
        </w:tc>
        <w:tc>
          <w:tcPr>
            <w:tcW w:w="42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Calculated using the treasury stock method.</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7" w:name="page168"/>
    <w:bookmarkEnd w:id="1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WM TECHNOLOGY, INC. AND SUBSIDIARIES NOTES TO CONDENSED CONSOLIDATED FINANCIAL STATEMENTS (Unaudited)</w:t>
      </w:r>
    </w:p>
    <w:p>
      <w:pPr>
        <w:spacing w:after="0" w:line="10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Shares of the Class V Common Stock do not participate in the earnings or losses of the Company and are therefore not participating securities. As such, separate presentation of basic and diluted earnings per share of Class V Common Stock under the two-class method has not been presented. However, shares of the Class V Common Stock outstanding for the period are considered potentially dilutive shares of Class A common stock under application of the if-converted method and are included in the computation of diluted earnings (loss) per share, except when the effect would be anti-dilutive.</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 excluded the following securities from its computation of diluted shares outstanding for the periods presented, as their effect would have been anti-dilutive:</w:t>
      </w:r>
    </w:p>
    <w:p>
      <w:pPr>
        <w:spacing w:after="0" w:line="39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8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8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4520" w:type="dxa"/>
            <w:vAlign w:val="bottom"/>
          </w:tcPr>
          <w:p>
            <w:pPr>
              <w:spacing w:after="0"/>
              <w:rPr>
                <w:sz w:val="16"/>
                <w:szCs w:val="16"/>
                <w:color w:val="auto"/>
              </w:rPr>
            </w:pPr>
          </w:p>
        </w:tc>
        <w:tc>
          <w:tcPr>
            <w:tcW w:w="184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84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3"/>
        </w:trPr>
        <w:tc>
          <w:tcPr>
            <w:tcW w:w="45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6"/>
        </w:trPr>
        <w:tc>
          <w:tcPr>
            <w:tcW w:w="45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gridSpan w:val="2"/>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40" w:type="dxa"/>
            <w:vAlign w:val="bottom"/>
            <w:gridSpan w:val="2"/>
          </w:tcPr>
          <w:p>
            <w:pPr>
              <w:jc w:val="center"/>
              <w:ind w:left="1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5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V Units</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55,486,361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55,486,361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55,486,361</w:t>
            </w:r>
          </w:p>
        </w:tc>
        <w:tc>
          <w:tcPr>
            <w:tcW w:w="104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8"/>
                <w:szCs w:val="18"/>
                <w:color w:val="auto"/>
              </w:rPr>
              <w:t>55,486,361</w:t>
            </w:r>
          </w:p>
        </w:tc>
      </w:tr>
      <w:tr>
        <w:trPr>
          <w:trHeight w:val="239"/>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Class P Units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14,678,732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14,966,127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14,678,732</w:t>
            </w:r>
          </w:p>
        </w:tc>
        <w:tc>
          <w:tcPr>
            <w:tcW w:w="1040" w:type="dxa"/>
            <w:vAlign w:val="bottom"/>
            <w:gridSpan w:val="2"/>
          </w:tcPr>
          <w:p>
            <w:pPr>
              <w:jc w:val="center"/>
              <w:ind w:left="133"/>
              <w:spacing w:after="0"/>
              <w:rPr>
                <w:sz w:val="20"/>
                <w:szCs w:val="20"/>
                <w:color w:val="auto"/>
              </w:rPr>
            </w:pPr>
            <w:r>
              <w:rPr>
                <w:rFonts w:ascii="Times New Roman" w:cs="Times New Roman" w:eastAsia="Times New Roman" w:hAnsi="Times New Roman"/>
                <w:sz w:val="18"/>
                <w:szCs w:val="18"/>
                <w:color w:val="auto"/>
              </w:rPr>
              <w:t>14,966,127</w:t>
            </w:r>
          </w:p>
        </w:tc>
      </w:tr>
      <w:tr>
        <w:trPr>
          <w:trHeight w:val="247"/>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2,813,084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7,173,708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2,964,600</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7,173,708</w:t>
            </w:r>
          </w:p>
        </w:tc>
      </w:tr>
      <w:tr>
        <w:trPr>
          <w:trHeight w:val="239"/>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PRSUs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234,375</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234,375</w:t>
            </w:r>
          </w:p>
        </w:tc>
      </w:tr>
      <w:tr>
        <w:trPr>
          <w:trHeight w:val="247"/>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12,499,973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12,499,973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12,499,973</w:t>
            </w:r>
          </w:p>
        </w:tc>
        <w:tc>
          <w:tcPr>
            <w:tcW w:w="104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8"/>
                <w:szCs w:val="18"/>
                <w:color w:val="auto"/>
              </w:rPr>
              <w:t>12,499,973</w:t>
            </w:r>
          </w:p>
        </w:tc>
      </w:t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7,000,000</w:t>
            </w:r>
          </w:p>
        </w:tc>
      </w:tr>
    </w:tbl>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During the second quarter of 2022, the Company entered into a sublease agreement with an affiliate of the Chief Executive Officer. The sublease commenced on June 1, 2022, and the term is for the remainder of the amended lease term which expired on October 31, 2024. The monthly base rent, after the rent abatement period for the first four months, is $69,000. As of September 30, 2024 and December 31, 2023, rent receivable was $0.2 million and $0.7 million, respectively, and these amounts are included in prepaid expenses and other current assets on the accompanying condensed balance sheets. The Company expects to collect the remaining rent receivable balance which was $0.2 million as of September 30, 2024 in the fourth quarter of 2024. Rent receivable of $0.7 million from December 31, 2023 was subsequently collected in April 2024. For the three and nine months ended September 30, 2024, income on the sublease with a related party was $0.2 million and $0.5 million, respectively. For the three and nine months ended September 30, 2023, income on the sublease with a related party was $0.2 million and $0.5 million, respectively. The income on sublease is netted with rent expense and included in general and administrative expenses on the condensed consolidated statements of operations.</w:t>
      </w:r>
    </w:p>
    <w:p>
      <w:pPr>
        <w:spacing w:after="0" w:line="8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connection with the Business Combination, the Company paid $1.1 million in certain transaction costs reimbursable by Silver Spike’s sponsor (“Silver Spike Sponsor”), an affiliate to a member of the board of directors. On March 16, 2023, Silver Spike Holdings, an affiliate of Silver Spike Sponsor, entered into a promissory note with the Company and agreed to pay the principal amount of $1.1 million in 12 equal quarterly installments commencing on March 31, 2023. The promissory note bears interest at a rate of 5% per annum commencing on March 31, 2023. In an event of default, the outstanding principal amount shall bear interest for the entire period during which the principal balance is unpaid at a rate which is equal to 10% per annum. As of September 30, 2024, the remaining balance of the promissory note receivable was the $0.4 million of which $0.3 million was included in prepaid expenses and other current assets and $0.1 million was included in other assets on the condensed consolidated balance sheets. As of December 31, 2023, the remaining balance of the promissory note receivable was $0.7 million of which $0.4 million was included in prepaid expenses and other current assets and $0.3 million was included in other assets on the consolidated balance sheets. For the three and nine ended September 30, 2024 and 2023, interest income on the promissory note was less than $0.1 million, which is included in other income (expense), net on the accompanying condensed consolidated statements of operations.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8" w:name="page169"/>
    <w:bookmarkEnd w:id="1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WM Technology, Inc.</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WM Technology, Inc. (the “Company”) as of December 31, 2023, the related consolidated statements of operations, equity and cash flows for the year ended December 31, 2023, and the related notes (collectively referred to as the “consolidated financial statements”).</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our opinion, the consolidated financial statements present fairly, in all material respects, the consolidated financial position of the Company as of December 31, 2023, and the consolidated results of its operations and its cash flows for the year ended December 31, 2023, in conformity with accounting principles generally accepted in the United States of America.</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May 24, 2024 expressed an adverse opinion on the Company’s internal control over financial reporting due to material weaknesses.</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Restatement of Financial Statements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certain quarterly financial statements for the quarters ended March 31, 2023, June 30, 2023, and September 30, 2023 have been restated to correct a misstatement.</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6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 a reasonable basis for our opinion.</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w:t>
      </w:r>
    </w:p>
    <w:p>
      <w:pPr>
        <w:jc w:val="both"/>
        <w:ind w:left="300" w:right="299" w:hanging="8"/>
        <w:spacing w:after="0" w:line="253" w:lineRule="auto"/>
        <w:tabs>
          <w:tab w:leader="none" w:pos="56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a separate opinion on the critical audit matters or on the accounts or disclosures to which they relate.</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Allowance for Credit Losses on Accounts Receivable</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the Company maintains an allowance for credit losses that management believes to be sufficient to absorb estimated losses in the accounts receivable portfolio. As of December 31, 2023, the allowance for credit losses was $8.7 million. We identified the Company’s assessment 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9" w:name="page170"/>
    <w:bookmarkEnd w:id="1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expected credit losses on its trade accounts receivable, as a critical audit matter. The determination of the allowance for credit losses involves significant judgment by management in assessing the likelihood of collection of a customer’s accounts receivable including assessment of various factors such as communications from the customer, historical collections, and the number of days accounts receivables have been outstanding. Auditing the significant assumptions and judgements used by management involved a high degree of auditor judgment and increased extent of effort when performing audit procedures and evaluating the results of those procedures. Additionally, as described in the “Basis for Opinions” section, a material weakness was identified in relation to this matter.</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117" w:lineRule="exact"/>
        <w:rPr>
          <w:sz w:val="20"/>
          <w:szCs w:val="20"/>
          <w:color w:val="auto"/>
        </w:rPr>
      </w:pPr>
    </w:p>
    <w:p>
      <w:pPr>
        <w:ind w:left="1000" w:right="299" w:hanging="348"/>
        <w:spacing w:after="0" w:line="282" w:lineRule="auto"/>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 understanding of management's processes and assumptions for developing the allowance for credit losses.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methods and significant assumptions used by management including:</w:t>
      </w:r>
    </w:p>
    <w:p>
      <w:pPr>
        <w:sectPr>
          <w:pgSz w:w="11900" w:h="16838" w:orient="portrait"/>
          <w:cols w:equalWidth="0" w:num="1">
            <w:col w:w="9019"/>
          </w:cols>
          <w:pgMar w:left="1440" w:top="263" w:right="1440" w:bottom="1440" w:gutter="0" w:footer="0" w:header="0"/>
        </w:sectPr>
      </w:pP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both"/>
        <w:ind w:right="319"/>
        <w:spacing w:after="0" w:line="266" w:lineRule="auto"/>
        <w:rPr>
          <w:sz w:val="20"/>
          <w:szCs w:val="20"/>
          <w:color w:val="auto"/>
        </w:rPr>
      </w:pPr>
      <w:r>
        <w:rPr>
          <w:rFonts w:ascii="Times New Roman" w:cs="Times New Roman" w:eastAsia="Times New Roman" w:hAnsi="Times New Roman"/>
          <w:sz w:val="18"/>
          <w:szCs w:val="18"/>
          <w:color w:val="auto"/>
        </w:rPr>
        <w:t>For customers that share similar risk characteristics, we evaluated the underlying assumptions in the determination of the allowance for credit losses including the historical credit loss rates and their application to a provisional matrix based on days outstanding;</w:t>
      </w:r>
    </w:p>
    <w:p>
      <w:pPr>
        <w:spacing w:after="0" w:line="68" w:lineRule="exact"/>
        <w:rPr>
          <w:sz w:val="20"/>
          <w:szCs w:val="20"/>
          <w:color w:val="auto"/>
        </w:rPr>
      </w:pPr>
    </w:p>
    <w:p>
      <w:pPr>
        <w:jc w:val="both"/>
        <w:ind w:right="319"/>
        <w:spacing w:after="0" w:line="258" w:lineRule="auto"/>
        <w:rPr>
          <w:sz w:val="20"/>
          <w:szCs w:val="20"/>
          <w:color w:val="auto"/>
        </w:rPr>
      </w:pPr>
      <w:r>
        <w:rPr>
          <w:rFonts w:ascii="Times New Roman" w:cs="Times New Roman" w:eastAsia="Times New Roman" w:hAnsi="Times New Roman"/>
          <w:sz w:val="18"/>
          <w:szCs w:val="18"/>
          <w:color w:val="auto"/>
        </w:rPr>
        <w:t>For customers that lack similar risk characteristics, we evaluated the rationale for establishing a specific customer allowance for credit losses and assessed the reasonable of management’s estimate of the specific customer allowance by evaluating historical credit loss rates for these specific customers, historical and current collection trends, and the number of days accounts receivables have been outstanding.</w:t>
      </w:r>
    </w:p>
    <w:p>
      <w:pPr>
        <w:spacing w:after="0" w:line="75" w:lineRule="exact"/>
        <w:rPr>
          <w:sz w:val="20"/>
          <w:szCs w:val="20"/>
          <w:color w:val="auto"/>
        </w:rPr>
      </w:pPr>
    </w:p>
    <w:p>
      <w:pPr>
        <w:sectPr>
          <w:pgSz w:w="11900" w:h="16838" w:orient="portrait"/>
          <w:cols w:equalWidth="0" w:num="2">
            <w:col w:w="1080" w:space="280"/>
            <w:col w:w="7659"/>
          </w:cols>
          <w:pgMar w:left="1440" w:top="263" w:right="1440" w:bottom="1440" w:gutter="0" w:footer="0" w:header="0"/>
          <w:type w:val="continuous"/>
        </w:sectPr>
      </w:pPr>
    </w:p>
    <w:p>
      <w:pPr>
        <w:ind w:left="1000" w:right="319" w:hanging="348"/>
        <w:spacing w:after="0" w:line="282" w:lineRule="auto"/>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completeness and accuracy of the underlying data and evaluating the relevance and reliability of the sources of the data used by management.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subsequent collections and write-offs occurring after the balance sheet date for select customers and considering the impact of potential subsequent events on the estimate of the specific customer allowance.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the Company has a certain subset of customers for whom management determined it was no longer probable that the Company will collect the consideration to which it will be entitled resulting in revenue not being recognized until the contract is completed and payment is received in accordance with ASC 606. The Company refers to customers in this situation as customers that have been placed on “cash basis”. We identified the Company’s evaluation of when a customer is placed on “cash basis” as a critical audit matter because of the significant judgment required by management in both making that determination as well as the timing of such determination. Management’s evaluation is based on the best information available to the Company and takes into consideration industry-specific circumstances, current discussions with the customers, as well as historical and current collection trends. This, in turn, led to a high degree of auditor judgment, subjectivity, and effort in performing procedures and evaluating audit evidence related to the Company’s “cash basis” determination. Additionally, as described in the “Basis for Opinions” section, a material weakness was identified in relation to this matter.</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117" w:lineRule="exact"/>
        <w:rPr>
          <w:sz w:val="20"/>
          <w:szCs w:val="20"/>
          <w:color w:val="auto"/>
        </w:rPr>
      </w:pPr>
    </w:p>
    <w:p>
      <w:pPr>
        <w:jc w:val="both"/>
        <w:ind w:left="1000" w:right="319" w:hanging="348"/>
        <w:spacing w:after="0" w:line="266"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 understanding of management’s process for evaluating whether it is probable the Company will collect the consideration to which it will be entitled for purposes of determining whether a contract exists under ASC 606.</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judgments made by management in determining whether to place a customer on a “cash basis” because it was no longer probable that the Company will collect the consideration to which it will be entitled.</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reasonableness of the date at which management determined that it was no longer probable that the Company would collect the consideration to which it will be entitled. This included evaluating management’s assertions regarding collectability of outstanding accounts receivable for these customers.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70" w:name="page171"/>
    <w:bookmarkEnd w:id="1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6" w:lineRule="auto"/>
        <w:tabs>
          <w:tab w:leader="none" w:pos="10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whether the population of customers placed on a “cash basis” was complete as of December 31, 2023. This included comparing actual cash collections and write-offs to the assumptions made as of the determination date in order to evaluate the reasonableness of management’s estimate.</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completeness and accuracy of the underlying data used in management’s analysis.</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Moss Adams LLP</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May 24, 2024</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1" w:name="page172"/>
    <w:bookmarkEnd w:id="1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To the stockholders and board of directors of WM Technology, Inc.:</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ind w:left="300" w:right="319"/>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WM Technology, Inc. (the “Company”) as of December 31, 2022, the related consolidated statements of operations, changes in stockholders’ equity and cash flows for the years ended December 31, 2022 and 2021, and the related notes (collectively referred to as the “consolidated financial statements”). In our opinion, the consolidated financial statements present fairly, in all material respects, the financial position of the Company as of December 31, 2022, and the results of its operations and its cash flows for years ended December 31, 2022 and 2021, in conformity with accounting principles generally accepted in the United States of America.</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6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Emphasis of Matter Related to the Company’s Operations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 is an organization that provides online directory services to legalized cannabis companies. As discussed in Note 2, the Company operates in an industry where laws and regulations vary significantly by jurisdiction. Currently, several states permit medicinal or recreational use of cannabis; however, the use of cannabis is prohibited on a federal level in the United States. If any of the states that permit use of cannabis were to change their laws or the federal government was to actively enforce such prohibition, the Company’s business could be adversely affected.</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Baker Tilly US, LLP</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served as the Company's auditor from 2014 to 2023.</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March 16, 2023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2" w:name="page173"/>
    <w:bookmarkEnd w:id="172"/>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3060" w:type="dxa"/>
            <w:vAlign w:val="bottom"/>
            <w:gridSpan w:val="8"/>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50"/>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7"/>
        </w:trPr>
        <w:tc>
          <w:tcPr>
            <w:tcW w:w="130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50"/>
        </w:trPr>
        <w:tc>
          <w:tcPr>
            <w:tcW w:w="1300" w:type="dxa"/>
            <w:vAlign w:val="bottom"/>
          </w:tcPr>
          <w:p>
            <w:pPr>
              <w:spacing w:after="0"/>
              <w:rPr>
                <w:sz w:val="4"/>
                <w:szCs w:val="4"/>
                <w:color w:val="auto"/>
              </w:rPr>
            </w:pPr>
          </w:p>
        </w:tc>
        <w:tc>
          <w:tcPr>
            <w:tcW w:w="666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$ 34,350</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$ 28,583</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11,158</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17,438</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7"/>
        </w:trPr>
        <w:tc>
          <w:tcPr>
            <w:tcW w:w="1300" w:type="dxa"/>
            <w:vAlign w:val="bottom"/>
          </w:tcPr>
          <w:p>
            <w:pPr>
              <w:spacing w:after="0"/>
              <w:rPr>
                <w:sz w:val="22"/>
                <w:szCs w:val="22"/>
                <w:color w:val="auto"/>
              </w:rPr>
            </w:pPr>
          </w:p>
        </w:tc>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w:t>
            </w:r>
          </w:p>
        </w:tc>
        <w:tc>
          <w:tcPr>
            <w:tcW w:w="80" w:type="dxa"/>
            <w:vAlign w:val="bottom"/>
            <w:tcBorders>
              <w:right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66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83"/>
        </w:trPr>
        <w:tc>
          <w:tcPr>
            <w:tcW w:w="1300" w:type="dxa"/>
            <w:vAlign w:val="bottom"/>
          </w:tcPr>
          <w:p>
            <w:pPr>
              <w:spacing w:after="0"/>
              <w:rPr>
                <w:sz w:val="24"/>
                <w:szCs w:val="24"/>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51,486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54,983</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24,255</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24,928</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68,368</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68,368</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10,339</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15,629</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31,447</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7"/>
        </w:trPr>
        <w:tc>
          <w:tcPr>
            <w:tcW w:w="1300" w:type="dxa"/>
            <w:vAlign w:val="bottom"/>
          </w:tcPr>
          <w:p>
            <w:pPr>
              <w:spacing w:after="0"/>
              <w:rPr>
                <w:sz w:val="22"/>
                <w:szCs w:val="22"/>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8,970</w:t>
            </w:r>
          </w:p>
        </w:tc>
        <w:tc>
          <w:tcPr>
            <w:tcW w:w="80" w:type="dxa"/>
            <w:vAlign w:val="bottom"/>
            <w:tcBorders>
              <w:right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66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167,021</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199,035</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66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318"/>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$ 21,182</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$ 33,635</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6,256</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receivable agreement liability, current</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40" w:type="dxa"/>
            <w:vAlign w:val="bottom"/>
            <w:gridSpan w:val="3"/>
          </w:tcPr>
          <w:p>
            <w:pPr>
              <w:jc w:val="right"/>
              <w:ind w:right="138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6"/>
        </w:trPr>
        <w:tc>
          <w:tcPr>
            <w:tcW w:w="1300" w:type="dxa"/>
            <w:vAlign w:val="bottom"/>
          </w:tcPr>
          <w:p>
            <w:pPr>
              <w:spacing w:after="0"/>
              <w:rPr>
                <w:sz w:val="22"/>
                <w:szCs w:val="22"/>
                <w:color w:val="auto"/>
              </w:rPr>
            </w:pPr>
          </w:p>
        </w:tc>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7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Borders>
              <w:right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66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84"/>
        </w:trPr>
        <w:tc>
          <w:tcPr>
            <w:tcW w:w="1300" w:type="dxa"/>
            <w:vAlign w:val="bottom"/>
          </w:tcPr>
          <w:p>
            <w:pPr>
              <w:spacing w:after="0"/>
              <w:rPr>
                <w:sz w:val="24"/>
                <w:szCs w:val="24"/>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33,715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46,323</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26,550</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33,043</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Tax receivable agreement liability, non-current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7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585</w:t>
            </w: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7"/>
        </w:trPr>
        <w:tc>
          <w:tcPr>
            <w:tcW w:w="1300" w:type="dxa"/>
            <w:vAlign w:val="bottom"/>
          </w:tcPr>
          <w:p>
            <w:pPr>
              <w:spacing w:after="0"/>
              <w:rPr>
                <w:sz w:val="22"/>
                <w:szCs w:val="22"/>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66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318"/>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63,870</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84,258</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2"/>
        </w:trPr>
        <w:tc>
          <w:tcPr>
            <w:tcW w:w="1300" w:type="dxa"/>
            <w:vAlign w:val="bottom"/>
          </w:tcPr>
          <w:p>
            <w:pPr>
              <w:spacing w:after="0"/>
              <w:rPr>
                <w:sz w:val="21"/>
                <w:szCs w:val="21"/>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 $0.0001 par value; 75,000,000 shares authorized; no shares issued</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outstanding at December 31, 2023 and December 31, 2022</w:t>
            </w: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040" w:type="dxa"/>
            <w:vAlign w:val="bottom"/>
            <w:gridSpan w:val="3"/>
          </w:tcPr>
          <w:p>
            <w:pPr>
              <w:jc w:val="right"/>
              <w:ind w:right="138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2"/>
        </w:trPr>
        <w:tc>
          <w:tcPr>
            <w:tcW w:w="1300" w:type="dxa"/>
            <w:vAlign w:val="bottom"/>
          </w:tcPr>
          <w:p>
            <w:pPr>
              <w:spacing w:after="0"/>
              <w:rPr>
                <w:sz w:val="21"/>
                <w:szCs w:val="21"/>
                <w:color w:val="auto"/>
              </w:rPr>
            </w:pPr>
          </w:p>
        </w:tc>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Common Stock - $0.0001 par value; 1,500,000,000 shares authorized;</w:t>
            </w:r>
          </w:p>
        </w:tc>
        <w:tc>
          <w:tcPr>
            <w:tcW w:w="6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216"/>
        </w:trPr>
        <w:tc>
          <w:tcPr>
            <w:tcW w:w="1300" w:type="dxa"/>
            <w:vAlign w:val="bottom"/>
          </w:tcPr>
          <w:p>
            <w:pPr>
              <w:spacing w:after="0"/>
              <w:rPr>
                <w:sz w:val="18"/>
                <w:szCs w:val="18"/>
                <w:color w:val="auto"/>
              </w:rPr>
            </w:pPr>
          </w:p>
        </w:tc>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94,383,053 shares issued and outstanding at December 31, 2023 and 92,062,468</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268"/>
        </w:trPr>
        <w:tc>
          <w:tcPr>
            <w:tcW w:w="1300" w:type="dxa"/>
            <w:vAlign w:val="bottom"/>
          </w:tcPr>
          <w:p>
            <w:pPr>
              <w:spacing w:after="0"/>
              <w:rPr>
                <w:sz w:val="23"/>
                <w:szCs w:val="23"/>
                <w:color w:val="auto"/>
              </w:rPr>
            </w:pPr>
          </w:p>
        </w:tc>
        <w:tc>
          <w:tcPr>
            <w:tcW w:w="6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issued and outstanding at December 31, 2022</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right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r>
      <w:tr>
        <w:trPr>
          <w:trHeight w:val="252"/>
        </w:trPr>
        <w:tc>
          <w:tcPr>
            <w:tcW w:w="1300" w:type="dxa"/>
            <w:vAlign w:val="bottom"/>
          </w:tcPr>
          <w:p>
            <w:pPr>
              <w:spacing w:after="0"/>
              <w:rPr>
                <w:sz w:val="21"/>
                <w:szCs w:val="21"/>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V Common Stock - $0.0001 par value; 500,000,000 shares authorized,</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6"/>
        </w:trPr>
        <w:tc>
          <w:tcPr>
            <w:tcW w:w="1300" w:type="dxa"/>
            <w:vAlign w:val="bottom"/>
          </w:tcPr>
          <w:p>
            <w:pPr>
              <w:spacing w:after="0"/>
              <w:rPr>
                <w:sz w:val="18"/>
                <w:szCs w:val="18"/>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55,486,361 shares issued and outstanding at December 31, 2023 and December 31,</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796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2022</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80,884</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67,986</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7"/>
        </w:trPr>
        <w:tc>
          <w:tcPr>
            <w:tcW w:w="1300" w:type="dxa"/>
            <w:vAlign w:val="bottom"/>
          </w:tcPr>
          <w:p>
            <w:pPr>
              <w:spacing w:after="0"/>
              <w:rPr>
                <w:sz w:val="22"/>
                <w:szCs w:val="22"/>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(64,518)</w:t>
            </w:r>
          </w:p>
        </w:tc>
        <w:tc>
          <w:tcPr>
            <w:tcW w:w="20" w:type="dxa"/>
            <w:vAlign w:val="bottom"/>
          </w:tcPr>
          <w:p>
            <w:pPr>
              <w:spacing w:after="0"/>
              <w:rPr>
                <w:sz w:val="22"/>
                <w:szCs w:val="22"/>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(54,620)</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66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300" w:type="dxa"/>
            <w:vAlign w:val="bottom"/>
          </w:tcPr>
          <w:p>
            <w:pPr>
              <w:spacing w:after="0"/>
              <w:rPr>
                <w:sz w:val="5"/>
                <w:szCs w:val="5"/>
                <w:color w:val="auto"/>
              </w:rPr>
            </w:pPr>
          </w:p>
        </w:tc>
      </w:tr>
      <w:tr>
        <w:trPr>
          <w:trHeight w:val="318"/>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WM Technology, Inc. stockholders’ equity</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16,380</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13,380</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86,771</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101,397</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66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103,151</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114,777</w:t>
            </w:r>
          </w:p>
        </w:tc>
        <w:tc>
          <w:tcPr>
            <w:tcW w:w="80" w:type="dxa"/>
            <w:vAlign w:val="bottom"/>
            <w:tcBorders>
              <w:right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66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167,021</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199,035</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0"/>
        </w:trPr>
        <w:tc>
          <w:tcPr>
            <w:tcW w:w="130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79"/>
        </w:trPr>
        <w:tc>
          <w:tcPr>
            <w:tcW w:w="1300" w:type="dxa"/>
            <w:vAlign w:val="bottom"/>
          </w:tcPr>
          <w:p>
            <w:pPr>
              <w:spacing w:after="0"/>
              <w:rPr>
                <w:sz w:val="24"/>
                <w:szCs w:val="24"/>
                <w:color w:val="auto"/>
              </w:rPr>
            </w:pPr>
          </w:p>
        </w:tc>
        <w:tc>
          <w:tcPr>
            <w:tcW w:w="7400" w:type="dxa"/>
            <w:vAlign w:val="bottom"/>
            <w:gridSpan w:val="5"/>
          </w:tcPr>
          <w:p>
            <w:pPr>
              <w:ind w:left="10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6660" w:type="dxa"/>
            <w:vAlign w:val="bottom"/>
          </w:tcPr>
          <w:p>
            <w:pPr>
              <w:ind w:left="4040"/>
              <w:spacing w:after="0"/>
              <w:rPr>
                <w:sz w:val="20"/>
                <w:szCs w:val="20"/>
                <w:color w:val="auto"/>
              </w:rPr>
            </w:pPr>
            <w:r>
              <w:rPr>
                <w:rFonts w:ascii="Times New Roman" w:cs="Times New Roman" w:eastAsia="Times New Roman" w:hAnsi="Times New Roman"/>
                <w:sz w:val="18"/>
                <w:szCs w:val="18"/>
                <w:color w:val="auto"/>
              </w:rPr>
              <w:t>F-34</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66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5526405</wp:posOffset>
            </wp:positionH>
            <wp:positionV relativeFrom="paragraph">
              <wp:posOffset>-8923020</wp:posOffset>
            </wp:positionV>
            <wp:extent cx="17145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4969510</wp:posOffset>
            </wp:positionH>
            <wp:positionV relativeFrom="paragraph">
              <wp:posOffset>-8923020</wp:posOffset>
            </wp:positionV>
            <wp:extent cx="8572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020"/>
          </w:cols>
          <w:pgMar w:left="440" w:top="114" w:right="439" w:bottom="393" w:gutter="0" w:footer="0" w:header="0"/>
        </w:sectPr>
      </w:pPr>
    </w:p>
    <w:bookmarkStart w:id="173" w:name="page174"/>
    <w:bookmarkEnd w:id="1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20" w:type="dxa"/>
            <w:vAlign w:val="bottom"/>
            <w:gridSpan w:val="8"/>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0"/>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7"/>
        </w:trPr>
        <w:tc>
          <w:tcPr>
            <w:tcW w:w="4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0"/>
        </w:trPr>
        <w:tc>
          <w:tcPr>
            <w:tcW w:w="456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187,993</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215,531</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193,146</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2"/>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 (exclusive of depreciation and</w:t>
            </w: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68"/>
        </w:trPr>
        <w:tc>
          <w:tcPr>
            <w:tcW w:w="4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shown separately below)</w:t>
            </w:r>
          </w:p>
        </w:tc>
        <w:tc>
          <w:tcPr>
            <w:tcW w:w="3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12,527</w:t>
            </w:r>
          </w:p>
        </w:tc>
        <w:tc>
          <w:tcPr>
            <w:tcW w:w="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15,407</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7,938</w:t>
            </w: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r>
      <w:tr>
        <w:trPr>
          <w:trHeight w:val="27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47,073</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82,624</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56,119</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4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36,001</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50,520</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35,395</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74,313</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120,787</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95,075</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4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11,498</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57"/>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3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61"/>
        </w:trPr>
        <w:tc>
          <w:tcPr>
            <w:tcW w:w="4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4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206,450</w:t>
            </w:r>
          </w:p>
        </w:tc>
        <w:tc>
          <w:tcPr>
            <w:tcW w:w="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285,153</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201,324</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61"/>
        </w:trPr>
        <w:tc>
          <w:tcPr>
            <w:tcW w:w="45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8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(18,457)</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(69,622)</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(8,178)</w:t>
            </w:r>
          </w:p>
        </w:tc>
        <w:tc>
          <w:tcPr>
            <w:tcW w:w="20" w:type="dxa"/>
            <w:vAlign w:val="bottom"/>
          </w:tcPr>
          <w:p>
            <w:pPr>
              <w:spacing w:after="0"/>
              <w:rPr>
                <w:sz w:val="24"/>
                <w:szCs w:val="24"/>
                <w:color w:val="auto"/>
              </w:rPr>
            </w:pPr>
          </w:p>
        </w:tc>
      </w:tr>
      <w:tr>
        <w:trPr>
          <w:trHeight w:val="54"/>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(expenses), net</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25,370</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166,518</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4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(1,256)</w:t>
            </w: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142,352</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(6,723)</w:t>
            </w:r>
          </w:p>
        </w:tc>
        <w:tc>
          <w:tcPr>
            <w:tcW w:w="20" w:type="dxa"/>
            <w:vAlign w:val="bottom"/>
          </w:tcPr>
          <w:p>
            <w:pPr>
              <w:spacing w:after="0"/>
              <w:rPr>
                <w:sz w:val="22"/>
                <w:szCs w:val="22"/>
                <w:color w:val="auto"/>
              </w:rPr>
            </w:pPr>
          </w:p>
        </w:tc>
      </w:tr>
      <w:tr>
        <w:trPr>
          <w:trHeight w:val="61"/>
        </w:trPr>
        <w:tc>
          <w:tcPr>
            <w:tcW w:w="4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318"/>
        </w:trPr>
        <w:tc>
          <w:tcPr>
            <w:tcW w:w="4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(15,634)</w:t>
            </w: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96,426</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151,617</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5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179,077</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0" w:type="dxa"/>
            <w:vAlign w:val="bottom"/>
          </w:tcPr>
          <w:p>
            <w:pPr>
              <w:spacing w:after="0"/>
              <w:rPr>
                <w:sz w:val="22"/>
                <w:szCs w:val="22"/>
                <w:color w:val="auto"/>
              </w:rPr>
            </w:pPr>
          </w:p>
        </w:tc>
      </w:tr>
      <w:tr>
        <w:trPr>
          <w:trHeight w:val="61"/>
        </w:trPr>
        <w:tc>
          <w:tcPr>
            <w:tcW w:w="4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318"/>
        </w:trPr>
        <w:tc>
          <w:tcPr>
            <w:tcW w:w="4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(15,727)</w:t>
            </w: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(82,651)</w:t>
            </w: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152,218</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5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3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(5,829)</w:t>
            </w:r>
          </w:p>
        </w:tc>
        <w:tc>
          <w:tcPr>
            <w:tcW w:w="3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33,338</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91,835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61"/>
        </w:trPr>
        <w:tc>
          <w:tcPr>
            <w:tcW w:w="4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WM Technology, Inc.</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(9,898)</w:t>
            </w:r>
          </w:p>
        </w:tc>
        <w:tc>
          <w:tcPr>
            <w:tcW w:w="3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(115,989)</w:t>
            </w: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60,383</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61"/>
        </w:trPr>
        <w:tc>
          <w:tcPr>
            <w:tcW w:w="45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338"/>
        </w:trPr>
        <w:tc>
          <w:tcPr>
            <w:tcW w:w="4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3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4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0" w:type="dxa"/>
            <w:vAlign w:val="bottom"/>
            <w:tcBorders>
              <w:bottom w:val="single" w:sz="8" w:color="CCEEFF"/>
            </w:tcBorders>
            <w:shd w:val="clear" w:color="auto" w:fill="CCEEFF"/>
          </w:tcPr>
          <w:p>
            <w:pPr>
              <w:spacing w:after="0"/>
              <w:rPr>
                <w:sz w:val="24"/>
                <w:szCs w:val="24"/>
                <w:color w:val="auto"/>
              </w:rPr>
            </w:pPr>
          </w:p>
        </w:tc>
      </w:tr>
      <w:tr>
        <w:trPr>
          <w:trHeight w:val="324"/>
        </w:trPr>
        <w:tc>
          <w:tcPr>
            <w:tcW w:w="4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12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93,244,911</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85,027,120</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65,013,517</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12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93,244,911</w:t>
            </w:r>
          </w:p>
        </w:tc>
        <w:tc>
          <w:tcPr>
            <w:tcW w:w="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85,027,120</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66,813,417</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54"/>
        </w:trPr>
        <w:tc>
          <w:tcPr>
            <w:tcW w:w="456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4711700</wp:posOffset>
            </wp:positionH>
            <wp:positionV relativeFrom="paragraph">
              <wp:posOffset>-5811520</wp:posOffset>
            </wp:positionV>
            <wp:extent cx="20574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-5811520</wp:posOffset>
            </wp:positionV>
            <wp:extent cx="20574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-5811520</wp:posOffset>
            </wp:positionV>
            <wp:extent cx="10287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6"/>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2"/>
                <w:szCs w:val="12"/>
                <w:color w:val="auto"/>
              </w:rPr>
            </w:pPr>
          </w:p>
        </w:tc>
        <w:tc>
          <w:tcPr>
            <w:tcW w:w="1360" w:type="dxa"/>
            <w:vAlign w:val="bottom"/>
            <w:gridSpan w:val="7"/>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6"/>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40" w:type="dxa"/>
            <w:vAlign w:val="bottom"/>
            <w:gridSpan w:val="6"/>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Total WM</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4"/>
          </w:tcPr>
          <w:p>
            <w:pPr>
              <w:jc w:val="right"/>
              <w:ind w:right="24"/>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5"/>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Class V</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2"/>
                <w:szCs w:val="12"/>
                <w:color w:val="auto"/>
              </w:rPr>
            </w:pPr>
          </w:p>
        </w:tc>
        <w:tc>
          <w:tcPr>
            <w:tcW w:w="800" w:type="dxa"/>
            <w:vAlign w:val="bottom"/>
            <w:gridSpan w:val="5"/>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40" w:type="dxa"/>
            <w:vAlign w:val="bottom"/>
            <w:gridSpan w:val="6"/>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Technology, Inc.</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4"/>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Non-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174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68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vMerge w:val="restart"/>
          </w:tcPr>
          <w:p>
            <w:pPr>
              <w:spacing w:after="0"/>
              <w:rPr>
                <w:sz w:val="7"/>
                <w:szCs w:val="7"/>
                <w:color w:val="auto"/>
              </w:rPr>
            </w:pPr>
          </w:p>
        </w:tc>
        <w:tc>
          <w:tcPr>
            <w:tcW w:w="800" w:type="dxa"/>
            <w:vAlign w:val="bottom"/>
            <w:gridSpan w:val="5"/>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4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760" w:type="dxa"/>
            <w:vAlign w:val="bottom"/>
            <w:gridSpan w:val="6"/>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controlling</w:t>
            </w:r>
          </w:p>
        </w:tc>
        <w:tc>
          <w:tcPr>
            <w:tcW w:w="700" w:type="dxa"/>
            <w:vAlign w:val="bottom"/>
            <w:gridSpan w:val="6"/>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Members’</w:t>
            </w: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680" w:type="dxa"/>
            <w:vAlign w:val="bottom"/>
            <w:gridSpan w:val="4"/>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800" w:type="dxa"/>
            <w:vAlign w:val="bottom"/>
            <w:gridSpan w:val="5"/>
            <w:vMerge w:val="continue"/>
          </w:tcPr>
          <w:p>
            <w:pPr>
              <w:spacing w:after="0"/>
              <w:rPr>
                <w:sz w:val="3"/>
                <w:szCs w:val="3"/>
                <w:color w:val="auto"/>
              </w:rPr>
            </w:pPr>
          </w:p>
        </w:tc>
        <w:tc>
          <w:tcPr>
            <w:tcW w:w="1040" w:type="dxa"/>
            <w:vAlign w:val="bottom"/>
            <w:gridSpan w:val="6"/>
            <w:vMerge w:val="continue"/>
          </w:tcPr>
          <w:p>
            <w:pPr>
              <w:spacing w:after="0"/>
              <w:rPr>
                <w:sz w:val="3"/>
                <w:szCs w:val="3"/>
                <w:color w:val="auto"/>
              </w:rPr>
            </w:pPr>
          </w:p>
        </w:tc>
        <w:tc>
          <w:tcPr>
            <w:tcW w:w="760" w:type="dxa"/>
            <w:vAlign w:val="bottom"/>
            <w:gridSpan w:val="6"/>
            <w:vMerge w:val="continue"/>
          </w:tcPr>
          <w:p>
            <w:pPr>
              <w:spacing w:after="0"/>
              <w:rPr>
                <w:sz w:val="3"/>
                <w:szCs w:val="3"/>
                <w:color w:val="auto"/>
              </w:rPr>
            </w:pPr>
          </w:p>
        </w:tc>
        <w:tc>
          <w:tcPr>
            <w:tcW w:w="700" w:type="dxa"/>
            <w:vAlign w:val="bottom"/>
            <w:gridSpan w:val="6"/>
            <w:vMerge w:val="continue"/>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1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Par Value</w:t>
            </w:r>
          </w:p>
        </w:tc>
        <w:tc>
          <w:tcPr>
            <w:tcW w:w="80" w:type="dxa"/>
            <w:vAlign w:val="bottom"/>
          </w:tcPr>
          <w:p>
            <w:pPr>
              <w:spacing w:after="0"/>
              <w:rPr>
                <w:sz w:val="15"/>
                <w:szCs w:val="15"/>
                <w:color w:val="auto"/>
              </w:rPr>
            </w:pPr>
          </w:p>
        </w:tc>
        <w:tc>
          <w:tcPr>
            <w:tcW w:w="78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Par Value</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5"/>
                <w:szCs w:val="15"/>
                <w:color w:val="auto"/>
              </w:rPr>
            </w:pPr>
          </w:p>
        </w:tc>
        <w:tc>
          <w:tcPr>
            <w:tcW w:w="80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4"/>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60" w:type="dxa"/>
            <w:vAlign w:val="bottom"/>
          </w:tcPr>
          <w:p>
            <w:pPr>
              <w:spacing w:after="0"/>
              <w:rPr>
                <w:sz w:val="15"/>
                <w:szCs w:val="15"/>
                <w:color w:val="auto"/>
              </w:rPr>
            </w:pPr>
          </w:p>
        </w:tc>
        <w:tc>
          <w:tcPr>
            <w:tcW w:w="700" w:type="dxa"/>
            <w:vAlign w:val="bottom"/>
            <w:gridSpan w:val="5"/>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0" w:type="dxa"/>
            <w:vAlign w:val="bottom"/>
          </w:tcPr>
          <w:p>
            <w:pPr>
              <w:spacing w:after="0"/>
              <w:rPr>
                <w:sz w:val="1"/>
                <w:szCs w:val="1"/>
                <w:color w:val="auto"/>
              </w:rPr>
            </w:pPr>
          </w:p>
        </w:tc>
      </w:tr>
      <w:tr>
        <w:trPr>
          <w:trHeight w:val="55"/>
        </w:trPr>
        <w:tc>
          <w:tcPr>
            <w:tcW w:w="17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 of December 31, 2020</w:t>
            </w: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76"/>
              </w:rPr>
              <w:t>—</w:t>
            </w: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29,271</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$ 29,271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Stock-based compensation</w:t>
            </w:r>
          </w:p>
        </w:tc>
        <w:tc>
          <w:tcPr>
            <w:tcW w:w="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9,570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20,853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30,423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Distributions</w:t>
            </w:r>
          </w:p>
        </w:tc>
        <w:tc>
          <w:tcPr>
            <w:tcW w:w="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(888)</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4"/>
              </w:rPr>
              <w:t>(18,110)</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(18,998)</w:t>
            </w:r>
          </w:p>
        </w:tc>
        <w:tc>
          <w:tcPr>
            <w:tcW w:w="0" w:type="dxa"/>
            <w:vAlign w:val="bottom"/>
          </w:tcPr>
          <w:p>
            <w:pPr>
              <w:spacing w:after="0"/>
              <w:rPr>
                <w:sz w:val="1"/>
                <w:szCs w:val="1"/>
                <w:color w:val="auto"/>
              </w:rPr>
            </w:pPr>
          </w:p>
        </w:tc>
      </w:tr>
      <w:tr>
        <w:trPr>
          <w:trHeight w:val="190"/>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Repurchase of Class B</w:t>
            </w: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Units</w:t>
            </w:r>
          </w:p>
        </w:tc>
        <w:tc>
          <w:tcPr>
            <w:tcW w:w="4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4"/>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(5,565)</w:t>
            </w:r>
          </w:p>
        </w:tc>
        <w:tc>
          <w:tcPr>
            <w:tcW w:w="80" w:type="dxa"/>
            <w:vAlign w:val="bottom"/>
          </w:tcPr>
          <w:p>
            <w:pPr>
              <w:spacing w:after="0"/>
              <w:rPr>
                <w:sz w:val="15"/>
                <w:szCs w:val="15"/>
                <w:color w:val="auto"/>
              </w:rPr>
            </w:pP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(5,565)</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Proceeds and shares issued</w:t>
            </w: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in the Business</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Combination</w:t>
            </w: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63,738,563</w:t>
            </w: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65,502,347</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8"/>
              </w:rPr>
              <w:t>(20,118)</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986</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(19,119)</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(44,928)</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8"/>
              </w:rPr>
              <w:t>(20,674)</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(84,721)</w:t>
            </w:r>
          </w:p>
        </w:tc>
        <w:tc>
          <w:tcPr>
            <w:tcW w:w="0" w:type="dxa"/>
            <w:vAlign w:val="bottom"/>
          </w:tcPr>
          <w:p>
            <w:pPr>
              <w:spacing w:after="0"/>
              <w:rPr>
                <w:sz w:val="1"/>
                <w:szCs w:val="1"/>
                <w:color w:val="auto"/>
              </w:rPr>
            </w:pPr>
          </w:p>
        </w:tc>
      </w:tr>
      <w:tr>
        <w:trPr>
          <w:trHeight w:val="190"/>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Issuance of common stock</w:t>
            </w: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for acquisitions</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1,938,798</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12,721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12,722</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16,590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29,312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income</w:t>
            </w: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60,383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60,383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76,757</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15,078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152,218</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7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 of December 31, 2021</w:t>
            </w:r>
          </w:p>
        </w:tc>
        <w:tc>
          <w:tcPr>
            <w:tcW w:w="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65,677,361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65,502,347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w:t>
            </w:r>
          </w:p>
        </w:tc>
        <w:tc>
          <w:tcPr>
            <w:tcW w:w="18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2,173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61,369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63,556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68,384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$131,940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Stock-based compensation</w:t>
            </w:r>
          </w:p>
        </w:tc>
        <w:tc>
          <w:tcPr>
            <w:tcW w:w="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22,862</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22,862</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2,298</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25,160</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Distributions</w:t>
            </w:r>
          </w:p>
        </w:tc>
        <w:tc>
          <w:tcPr>
            <w:tcW w:w="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(2,448)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(2,448)</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Issuance of common stock -</w:t>
            </w: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vesting of restricted</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stock units, net of shares</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withheld for employee</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taxes</w:t>
            </w: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3,447,946</w:t>
            </w: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90"/>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Issuance of common stock</w:t>
            </w: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for acquisitions</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4,721,706</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12,836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12,836</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15,889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28,725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Issuance of common stock -</w:t>
            </w: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warrants exercised</w:t>
            </w: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20</w:t>
            </w: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0"/>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Class A Common shares</w:t>
            </w: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issued - Class A Unit</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exchange</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10,015,986</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0" w:type="dxa"/>
            <w:vAlign w:val="bottom"/>
          </w:tcPr>
          <w:p>
            <w:pPr>
              <w:spacing w:after="0"/>
              <w:rPr>
                <w:sz w:val="15"/>
                <w:szCs w:val="15"/>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(10,015,986)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w w:val="92"/>
              </w:rPr>
              <w:t>(2)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8,993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8,993</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(8,993)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Class A Common shares</w:t>
            </w: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issued - Class P Unit</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exchange</w:t>
            </w: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8,199,449</w:t>
            </w: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7,064</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7,064</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(7,064)</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0"/>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Impact of tax receivable</w:t>
            </w: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agreement due to</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exchanges of Class A</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Units</w:t>
            </w:r>
          </w:p>
        </w:tc>
        <w:tc>
          <w:tcPr>
            <w:tcW w:w="4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14,064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14,064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4"/>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14,064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income (loss)</w:t>
            </w:r>
          </w:p>
        </w:tc>
        <w:tc>
          <w:tcPr>
            <w:tcW w:w="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8"/>
              </w:rPr>
              <w:t>(115,989)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8"/>
              </w:rPr>
              <w:t>(115,989)</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33,338</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(82,651)</w:t>
            </w:r>
          </w:p>
        </w:tc>
        <w:tc>
          <w:tcPr>
            <w:tcW w:w="0" w:type="dxa"/>
            <w:vAlign w:val="bottom"/>
          </w:tcPr>
          <w:p>
            <w:pPr>
              <w:spacing w:after="0"/>
              <w:rPr>
                <w:sz w:val="1"/>
                <w:szCs w:val="1"/>
                <w:color w:val="auto"/>
              </w:rPr>
            </w:pPr>
          </w:p>
        </w:tc>
      </w:tr>
      <w:tr>
        <w:trPr>
          <w:trHeight w:val="203"/>
        </w:trPr>
        <w:tc>
          <w:tcPr>
            <w:tcW w:w="1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 of December 31, 2022</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92,062,468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20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55,486,361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w:t>
            </w:r>
          </w:p>
        </w:tc>
        <w:tc>
          <w:tcPr>
            <w:tcW w:w="18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67,986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(54,620)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13,380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101,397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114,777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74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Stock-based compensation</w:t>
            </w: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14,385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14,385</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14,901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Distributions</w:t>
            </w:r>
          </w:p>
        </w:tc>
        <w:tc>
          <w:tcPr>
            <w:tcW w:w="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(7,187)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(7,187)</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Issuance of common stock -</w:t>
            </w: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vesting of restricted</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stock units, net of shares</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withheld for employee</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taxes</w:t>
            </w: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2,242,930</w:t>
            </w: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90"/>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Discharge of holdback</w:t>
            </w: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obligation related to</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prior acquisition</w:t>
            </w:r>
          </w:p>
        </w:tc>
        <w:tc>
          <w:tcPr>
            <w:tcW w:w="4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(1,612)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(1,612)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(1,995)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(3,607)</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Class A Common shares</w:t>
            </w: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issued - Class P Unit</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exchange</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77,655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131</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131</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(131)</w:t>
            </w: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3"/>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income (loss)</w:t>
            </w:r>
          </w:p>
        </w:tc>
        <w:tc>
          <w:tcPr>
            <w:tcW w:w="4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(9,898)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(9,898)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(5,829)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(15,727)</w:t>
            </w:r>
          </w:p>
        </w:tc>
        <w:tc>
          <w:tcPr>
            <w:tcW w:w="0" w:type="dxa"/>
            <w:vAlign w:val="bottom"/>
          </w:tcPr>
          <w:p>
            <w:pPr>
              <w:spacing w:after="0"/>
              <w:rPr>
                <w:sz w:val="1"/>
                <w:szCs w:val="1"/>
                <w:color w:val="auto"/>
              </w:rPr>
            </w:pPr>
          </w:p>
        </w:tc>
      </w:tr>
      <w:tr>
        <w:trPr>
          <w:trHeight w:val="48"/>
        </w:trPr>
        <w:tc>
          <w:tcPr>
            <w:tcW w:w="174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 of December 31, 2023</w:t>
            </w: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94,383,053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55,486,361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w:t>
            </w:r>
          </w:p>
        </w:tc>
        <w:tc>
          <w:tcPr>
            <w:tcW w:w="18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80,884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(64,518)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16,380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86,771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103,151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7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46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46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44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2437765</wp:posOffset>
            </wp:positionH>
            <wp:positionV relativeFrom="paragraph">
              <wp:posOffset>-6497320</wp:posOffset>
            </wp:positionV>
            <wp:extent cx="5143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1940560</wp:posOffset>
            </wp:positionH>
            <wp:positionV relativeFrom="paragraph">
              <wp:posOffset>-6497320</wp:posOffset>
            </wp:positionV>
            <wp:extent cx="5143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1520825</wp:posOffset>
            </wp:positionH>
            <wp:positionV relativeFrom="paragraph">
              <wp:posOffset>-6497320</wp:posOffset>
            </wp:positionV>
            <wp:extent cx="5143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1109345</wp:posOffset>
            </wp:positionH>
            <wp:positionV relativeFrom="paragraph">
              <wp:posOffset>-6497320</wp:posOffset>
            </wp:positionV>
            <wp:extent cx="2540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5515610</wp:posOffset>
            </wp:positionH>
            <wp:positionV relativeFrom="paragraph">
              <wp:posOffset>-6497320</wp:posOffset>
            </wp:positionV>
            <wp:extent cx="5143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-6497320</wp:posOffset>
            </wp:positionV>
            <wp:extent cx="5143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4589780</wp:posOffset>
            </wp:positionH>
            <wp:positionV relativeFrom="paragraph">
              <wp:posOffset>-6497320</wp:posOffset>
            </wp:positionV>
            <wp:extent cx="5143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3921125</wp:posOffset>
            </wp:positionH>
            <wp:positionV relativeFrom="paragraph">
              <wp:posOffset>-6497320</wp:posOffset>
            </wp:positionV>
            <wp:extent cx="5143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3329305</wp:posOffset>
            </wp:positionH>
            <wp:positionV relativeFrom="paragraph">
              <wp:posOffset>-6497320</wp:posOffset>
            </wp:positionV>
            <wp:extent cx="5143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-6497320</wp:posOffset>
            </wp:positionV>
            <wp:extent cx="5143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114" w:right="1199" w:bottom="1440" w:gutter="0" w:footer="0" w:header="0"/>
        </w:sectPr>
      </w:pPr>
    </w:p>
    <w:bookmarkStart w:id="175" w:name="page176"/>
    <w:bookmarkEnd w:id="175"/>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40" w:type="dxa"/>
            <w:vAlign w:val="bottom"/>
            <w:gridSpan w:val="14"/>
          </w:tcPr>
          <w:p>
            <w:pPr>
              <w:ind w:left="5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0"/>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7"/>
        </w:trPr>
        <w:tc>
          <w:tcPr>
            <w:tcW w:w="130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51"/>
        </w:trPr>
        <w:tc>
          <w:tcPr>
            <w:tcW w:w="1300" w:type="dxa"/>
            <w:vAlign w:val="bottom"/>
          </w:tcPr>
          <w:p>
            <w:pPr>
              <w:spacing w:after="0"/>
              <w:rPr>
                <w:sz w:val="4"/>
                <w:szCs w:val="4"/>
                <w:color w:val="auto"/>
              </w:rPr>
            </w:pPr>
          </w:p>
        </w:tc>
        <w:tc>
          <w:tcPr>
            <w:tcW w:w="546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$(15,727)</w:t>
            </w:r>
          </w:p>
        </w:tc>
        <w:tc>
          <w:tcPr>
            <w:tcW w:w="2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(82,651)</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152,218</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2"/>
        </w:trPr>
        <w:tc>
          <w:tcPr>
            <w:tcW w:w="1300" w:type="dxa"/>
            <w:vAlign w:val="bottom"/>
          </w:tcPr>
          <w:p>
            <w:pPr>
              <w:spacing w:after="0"/>
              <w:rPr>
                <w:sz w:val="21"/>
                <w:szCs w:val="21"/>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provided</w:t>
            </w: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268"/>
        </w:trPr>
        <w:tc>
          <w:tcPr>
            <w:tcW w:w="1300" w:type="dxa"/>
            <w:vAlign w:val="bottom"/>
          </w:tcPr>
          <w:p>
            <w:pPr>
              <w:spacing w:after="0"/>
              <w:rPr>
                <w:sz w:val="23"/>
                <w:szCs w:val="23"/>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by operating activities:</w:t>
            </w:r>
          </w:p>
        </w:tc>
        <w:tc>
          <w:tcPr>
            <w:tcW w:w="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11,498</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9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(25,370)</w:t>
            </w:r>
          </w:p>
        </w:tc>
        <w:tc>
          <w:tcPr>
            <w:tcW w:w="10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(166,518)</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3"/>
              </w:rPr>
              <w:t>1,256</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(142,352)</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80" w:type="dxa"/>
            <w:vAlign w:val="bottom"/>
            <w:gridSpan w:val="3"/>
          </w:tcPr>
          <w:p>
            <w:pPr>
              <w:jc w:val="right"/>
              <w:ind w:right="136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 -use lease assets</w:t>
            </w: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3"/>
              </w:rPr>
              <w:t>4,930</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23,493</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29,324</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asset</w:t>
            </w:r>
          </w:p>
        </w:tc>
        <w:tc>
          <w:tcPr>
            <w:tcW w:w="220" w:type="dxa"/>
            <w:vAlign w:val="bottom"/>
          </w:tcPr>
          <w:p>
            <w:pPr>
              <w:spacing w:after="0"/>
              <w:rPr>
                <w:sz w:val="23"/>
                <w:szCs w:val="23"/>
                <w:color w:val="auto"/>
              </w:rPr>
            </w:pPr>
          </w:p>
        </w:tc>
        <w:tc>
          <w:tcPr>
            <w:tcW w:w="9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179,077</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38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Discharge of holdback obligation related to prior acquisition</w:t>
            </w:r>
          </w:p>
        </w:tc>
        <w:tc>
          <w:tcPr>
            <w:tcW w:w="9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3"/>
              </w:rPr>
              <w:t>1,792</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17,216</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3"/>
              </w:rPr>
              <w:t>4,488</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(16,270)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(13,609)</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(43,323)</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3"/>
              </w:rPr>
              <w:t>3,335</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7,461</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8,235</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940" w:type="dxa"/>
            <w:vAlign w:val="bottom"/>
            <w:tcBorders>
              <w:bottom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(15,275)</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14,892</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9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(5,463)</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44,840</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5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22,928</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(11,621)</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30,190</w:t>
            </w:r>
          </w:p>
        </w:tc>
        <w:tc>
          <w:tcPr>
            <w:tcW w:w="80" w:type="dxa"/>
            <w:vAlign w:val="bottom"/>
            <w:shd w:val="clear" w:color="auto" w:fill="CCEEFF"/>
          </w:tcPr>
          <w:p>
            <w:pPr>
              <w:spacing w:after="0"/>
              <w:rPr>
                <w:sz w:val="23"/>
                <w:szCs w:val="23"/>
                <w:color w:val="auto"/>
              </w:rPr>
            </w:pP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54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338"/>
        </w:trPr>
        <w:tc>
          <w:tcPr>
            <w:tcW w:w="1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software and expenditures</w:t>
            </w: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(11,871)</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(16,055)</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(7,935)</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2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(16,000)</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acquisition holdback release</w:t>
            </w:r>
          </w:p>
        </w:tc>
        <w:tc>
          <w:tcPr>
            <w:tcW w:w="220" w:type="dxa"/>
            <w:vAlign w:val="bottom"/>
          </w:tcPr>
          <w:p>
            <w:pPr>
              <w:spacing w:after="0"/>
              <w:rPr>
                <w:sz w:val="23"/>
                <w:szCs w:val="23"/>
                <w:color w:val="auto"/>
              </w:rPr>
            </w:pPr>
          </w:p>
        </w:tc>
        <w:tc>
          <w:tcPr>
            <w:tcW w:w="9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80" w:type="dxa"/>
            <w:vAlign w:val="bottom"/>
            <w:gridSpan w:val="3"/>
          </w:tcPr>
          <w:p>
            <w:pPr>
              <w:jc w:val="right"/>
              <w:ind w:right="136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6"/>
        </w:trPr>
        <w:tc>
          <w:tcPr>
            <w:tcW w:w="1300" w:type="dxa"/>
            <w:vAlign w:val="bottom"/>
          </w:tcPr>
          <w:p>
            <w:pPr>
              <w:spacing w:after="0"/>
              <w:rPr>
                <w:sz w:val="22"/>
                <w:szCs w:val="22"/>
                <w:color w:val="auto"/>
              </w:rPr>
            </w:pPr>
          </w:p>
        </w:tc>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other investments</w:t>
            </w:r>
          </w:p>
        </w:tc>
        <w:tc>
          <w:tcPr>
            <w:tcW w:w="220" w:type="dxa"/>
            <w:vAlign w:val="bottom"/>
            <w:shd w:val="clear" w:color="auto" w:fill="CCEEFF"/>
          </w:tcPr>
          <w:p>
            <w:pPr>
              <w:spacing w:after="0"/>
              <w:rPr>
                <w:sz w:val="22"/>
                <w:szCs w:val="22"/>
                <w:color w:val="auto"/>
              </w:rPr>
            </w:pPr>
          </w:p>
        </w:tc>
        <w:tc>
          <w:tcPr>
            <w:tcW w:w="92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54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(11,871)</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(17,768)</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(30,435)</w:t>
            </w: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5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300" w:type="dxa"/>
            <w:vAlign w:val="bottom"/>
          </w:tcPr>
          <w:p>
            <w:pPr>
              <w:spacing w:after="0"/>
              <w:rPr>
                <w:sz w:val="5"/>
                <w:szCs w:val="5"/>
                <w:color w:val="auto"/>
              </w:rPr>
            </w:pPr>
          </w:p>
        </w:tc>
      </w:tr>
      <w:tr>
        <w:trPr>
          <w:trHeight w:val="338"/>
        </w:trPr>
        <w:tc>
          <w:tcPr>
            <w:tcW w:w="1300" w:type="dxa"/>
            <w:vAlign w:val="bottom"/>
          </w:tcPr>
          <w:p>
            <w:pPr>
              <w:spacing w:after="0"/>
              <w:rPr>
                <w:sz w:val="24"/>
                <w:szCs w:val="24"/>
                <w:color w:val="auto"/>
              </w:rPr>
            </w:pPr>
          </w:p>
        </w:tc>
        <w:tc>
          <w:tcPr>
            <w:tcW w:w="54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w:t>
            </w:r>
          </w:p>
        </w:tc>
        <w:tc>
          <w:tcPr>
            <w:tcW w:w="9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(18,998)</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insurance premium financing</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(7,344)</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38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9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collection of related party note receivable</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80" w:type="dxa"/>
            <w:vAlign w:val="bottom"/>
            <w:gridSpan w:val="3"/>
          </w:tcPr>
          <w:p>
            <w:pPr>
              <w:jc w:val="right"/>
              <w:ind w:right="136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business combination</w:t>
            </w:r>
          </w:p>
        </w:tc>
        <w:tc>
          <w:tcPr>
            <w:tcW w:w="2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79,969</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note payable</w:t>
            </w:r>
          </w:p>
        </w:tc>
        <w:tc>
          <w:tcPr>
            <w:tcW w:w="220" w:type="dxa"/>
            <w:vAlign w:val="bottom"/>
          </w:tcPr>
          <w:p>
            <w:pPr>
              <w:spacing w:after="0"/>
              <w:rPr>
                <w:sz w:val="23"/>
                <w:szCs w:val="23"/>
                <w:color w:val="auto"/>
              </w:rPr>
            </w:pPr>
          </w:p>
        </w:tc>
        <w:tc>
          <w:tcPr>
            <w:tcW w:w="9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6"/>
        </w:trPr>
        <w:tc>
          <w:tcPr>
            <w:tcW w:w="1300" w:type="dxa"/>
            <w:vAlign w:val="bottom"/>
          </w:tcPr>
          <w:p>
            <w:pPr>
              <w:spacing w:after="0"/>
              <w:rPr>
                <w:sz w:val="22"/>
                <w:szCs w:val="22"/>
                <w:color w:val="auto"/>
              </w:rPr>
            </w:pPr>
          </w:p>
        </w:tc>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of Class B Units</w:t>
            </w:r>
          </w:p>
        </w:tc>
        <w:tc>
          <w:tcPr>
            <w:tcW w:w="220" w:type="dxa"/>
            <w:vAlign w:val="bottom"/>
            <w:shd w:val="clear" w:color="auto" w:fill="CCEEFF"/>
          </w:tcPr>
          <w:p>
            <w:pPr>
              <w:spacing w:after="0"/>
              <w:rPr>
                <w:sz w:val="22"/>
                <w:szCs w:val="22"/>
                <w:color w:val="auto"/>
              </w:rPr>
            </w:pPr>
          </w:p>
        </w:tc>
        <w:tc>
          <w:tcPr>
            <w:tcW w:w="92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54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(9,805)</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48,103</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5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317"/>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3"/>
              </w:rPr>
              <w:t>5,767</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(39,194)</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47,858</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7"/>
        </w:trPr>
        <w:tc>
          <w:tcPr>
            <w:tcW w:w="1300" w:type="dxa"/>
            <w:vAlign w:val="bottom"/>
          </w:tcPr>
          <w:p>
            <w:pPr>
              <w:spacing w:after="0"/>
              <w:rPr>
                <w:sz w:val="22"/>
                <w:szCs w:val="22"/>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Cash – beginning of year</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28,583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67,777</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19,919</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5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end of year</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$ 34,350</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28,583</w:t>
            </w:r>
          </w:p>
        </w:tc>
        <w:tc>
          <w:tcPr>
            <w:tcW w:w="20" w:type="dxa"/>
            <w:vAlign w:val="bottom"/>
            <w:shd w:val="clear" w:color="auto" w:fill="CCEEFF"/>
          </w:tcPr>
          <w:p>
            <w:pPr>
              <w:spacing w:after="0"/>
              <w:rPr>
                <w:sz w:val="23"/>
                <w:szCs w:val="23"/>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67,777</w:t>
            </w:r>
          </w:p>
        </w:tc>
        <w:tc>
          <w:tcPr>
            <w:tcW w:w="1300" w:type="dxa"/>
            <w:vAlign w:val="bottom"/>
          </w:tcPr>
          <w:p>
            <w:pPr>
              <w:spacing w:after="0"/>
              <w:rPr>
                <w:sz w:val="23"/>
                <w:szCs w:val="23"/>
                <w:color w:val="auto"/>
              </w:rPr>
            </w:pPr>
          </w:p>
        </w:tc>
      </w:tr>
      <w:tr>
        <w:trPr>
          <w:trHeight w:val="48"/>
        </w:trPr>
        <w:tc>
          <w:tcPr>
            <w:tcW w:w="1300" w:type="dxa"/>
            <w:vAlign w:val="bottom"/>
          </w:tcPr>
          <w:p>
            <w:pPr>
              <w:spacing w:after="0"/>
              <w:rPr>
                <w:sz w:val="4"/>
                <w:szCs w:val="4"/>
                <w:color w:val="auto"/>
              </w:rPr>
            </w:pPr>
          </w:p>
        </w:tc>
        <w:tc>
          <w:tcPr>
            <w:tcW w:w="5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300" w:type="dxa"/>
            <w:vAlign w:val="bottom"/>
          </w:tcPr>
          <w:p>
            <w:pPr>
              <w:spacing w:after="0"/>
              <w:rPr>
                <w:sz w:val="4"/>
                <w:szCs w:val="4"/>
                <w:color w:val="auto"/>
              </w:rPr>
            </w:pPr>
          </w:p>
        </w:tc>
      </w:tr>
      <w:tr>
        <w:trPr>
          <w:trHeight w:val="432"/>
        </w:trPr>
        <w:tc>
          <w:tcPr>
            <w:tcW w:w="1300" w:type="dxa"/>
            <w:vAlign w:val="bottom"/>
          </w:tcPr>
          <w:p>
            <w:pPr>
              <w:spacing w:after="0"/>
              <w:rPr>
                <w:sz w:val="24"/>
                <w:szCs w:val="24"/>
                <w:color w:val="auto"/>
              </w:rPr>
            </w:pPr>
          </w:p>
        </w:tc>
        <w:tc>
          <w:tcPr>
            <w:tcW w:w="7400" w:type="dxa"/>
            <w:vAlign w:val="bottom"/>
            <w:gridSpan w:val="11"/>
          </w:tcPr>
          <w:p>
            <w:pPr>
              <w:ind w:left="10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5460" w:type="dxa"/>
            <w:vAlign w:val="bottom"/>
          </w:tcPr>
          <w:p>
            <w:pPr>
              <w:ind w:left="4040"/>
              <w:spacing w:after="0"/>
              <w:rPr>
                <w:sz w:val="20"/>
                <w:szCs w:val="20"/>
                <w:color w:val="auto"/>
              </w:rPr>
            </w:pPr>
            <w:r>
              <w:rPr>
                <w:rFonts w:ascii="Times New Roman" w:cs="Times New Roman" w:eastAsia="Times New Roman" w:hAnsi="Times New Roman"/>
                <w:sz w:val="18"/>
                <w:szCs w:val="18"/>
                <w:color w:val="auto"/>
              </w:rPr>
              <w:t>F-37</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54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5526405</wp:posOffset>
            </wp:positionH>
            <wp:positionV relativeFrom="paragraph">
              <wp:posOffset>-9385935</wp:posOffset>
            </wp:positionV>
            <wp:extent cx="13716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4883785</wp:posOffset>
            </wp:positionH>
            <wp:positionV relativeFrom="paragraph">
              <wp:posOffset>-9385935</wp:posOffset>
            </wp:positionV>
            <wp:extent cx="13716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4360545</wp:posOffset>
            </wp:positionH>
            <wp:positionV relativeFrom="paragraph">
              <wp:posOffset>-9385935</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020"/>
          </w:cols>
          <w:pgMar w:left="440" w:top="114" w:right="439" w:bottom="0" w:gutter="0" w:footer="0" w:header="0"/>
        </w:sectPr>
      </w:pPr>
    </w:p>
    <w:bookmarkStart w:id="176" w:name="page177"/>
    <w:bookmarkEnd w:id="1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27"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7"/>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1"/>
        </w:trPr>
        <w:tc>
          <w:tcPr>
            <w:tcW w:w="5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227"/>
        </w:trPr>
        <w:tc>
          <w:tcPr>
            <w:tcW w:w="5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50"/>
        </w:trPr>
        <w:tc>
          <w:tcPr>
            <w:tcW w:w="566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311"/>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r>
      <w:tr>
        <w:trPr>
          <w:trHeight w:val="270"/>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(refunded from) paid for income taxes</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54"/>
        </w:trPr>
        <w:tc>
          <w:tcPr>
            <w:tcW w:w="5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24"/>
        </w:trPr>
        <w:tc>
          <w:tcPr>
            <w:tcW w:w="56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r>
      <w:tr>
        <w:trPr>
          <w:trHeight w:val="270"/>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54"/>
        </w:trPr>
        <w:tc>
          <w:tcPr>
            <w:tcW w:w="5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equity for acquisitions</w:t>
            </w:r>
          </w:p>
        </w:tc>
        <w:tc>
          <w:tcPr>
            <w:tcW w:w="3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$28,725</w:t>
            </w:r>
          </w:p>
        </w:tc>
        <w:tc>
          <w:tcPr>
            <w:tcW w:w="3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29,312</w:t>
            </w:r>
          </w:p>
        </w:tc>
      </w:tr>
      <w:tr>
        <w:trPr>
          <w:trHeight w:val="270"/>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premium financing</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3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11,205</w:t>
            </w:r>
          </w:p>
        </w:tc>
      </w:tr>
      <w:tr>
        <w:trPr>
          <w:trHeight w:val="54"/>
        </w:trPr>
        <w:tc>
          <w:tcPr>
            <w:tcW w:w="5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 assumed in connection with acquisition</w:t>
            </w:r>
          </w:p>
        </w:tc>
        <w:tc>
          <w:tcPr>
            <w:tcW w:w="3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3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70"/>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capitalized for software development</w:t>
            </w:r>
          </w:p>
        </w:tc>
        <w:tc>
          <w:tcPr>
            <w:tcW w:w="7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6"/>
              </w:rPr>
              <w:t>$1,386</w:t>
            </w:r>
          </w:p>
        </w:tc>
        <w:tc>
          <w:tcPr>
            <w:tcW w:w="32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3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r>
      <w:tr>
        <w:trPr>
          <w:trHeight w:val="54"/>
        </w:trPr>
        <w:tc>
          <w:tcPr>
            <w:tcW w:w="5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assets included in accounts payable and accrued expenses</w:t>
            </w:r>
          </w:p>
        </w:tc>
        <w:tc>
          <w:tcPr>
            <w:tcW w:w="78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6"/>
              </w:rPr>
              <w:t>$1,041</w:t>
            </w:r>
          </w:p>
        </w:tc>
        <w:tc>
          <w:tcPr>
            <w:tcW w:w="3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3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70"/>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Holdback liability recognized in connection with acquisition</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54"/>
        </w:trPr>
        <w:tc>
          <w:tcPr>
            <w:tcW w:w="5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gridSpan w:val="2"/>
          </w:tcPr>
          <w:p>
            <w:pPr>
              <w:spacing w:after="0"/>
              <w:rPr>
                <w:sz w:val="4"/>
                <w:szCs w:val="4"/>
                <w:color w:val="auto"/>
              </w:rPr>
            </w:pPr>
          </w:p>
        </w:tc>
      </w:tr>
      <w:tr>
        <w:trPr>
          <w:trHeight w:val="304"/>
        </w:trPr>
        <w:tc>
          <w:tcPr>
            <w:tcW w:w="5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Warranty liability assumed from the Business Combination</w:t>
            </w:r>
          </w:p>
        </w:tc>
        <w:tc>
          <w:tcPr>
            <w:tcW w:w="3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$193,978</w:t>
            </w:r>
          </w:p>
        </w:tc>
      </w:tr>
      <w:tr>
        <w:trPr>
          <w:trHeight w:val="252"/>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receivable agreement liability recognized in connection with the</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34"/>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Business Combination</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$128,567</w:t>
            </w:r>
          </w:p>
        </w:tc>
      </w:tr>
      <w:tr>
        <w:trPr>
          <w:trHeight w:val="54"/>
        </w:trPr>
        <w:tc>
          <w:tcPr>
            <w:tcW w:w="5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52"/>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assets recognized in connection with the Business</w:t>
            </w: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r>
      <w:tr>
        <w:trPr>
          <w:trHeight w:val="268"/>
        </w:trPr>
        <w:tc>
          <w:tcPr>
            <w:tcW w:w="5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Combination</w:t>
            </w:r>
          </w:p>
        </w:tc>
        <w:tc>
          <w:tcPr>
            <w:tcW w:w="3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$151,255</w:t>
            </w:r>
          </w:p>
        </w:tc>
      </w:tr>
      <w:tr>
        <w:trPr>
          <w:trHeight w:val="270"/>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 assumed from the Business Combination</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4900295</wp:posOffset>
            </wp:positionH>
            <wp:positionV relativeFrom="paragraph">
              <wp:posOffset>-3136900</wp:posOffset>
            </wp:positionV>
            <wp:extent cx="20574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-3136900</wp:posOffset>
            </wp:positionV>
            <wp:extent cx="20574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-3136900</wp:posOffset>
            </wp:positionV>
            <wp:extent cx="10287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7" w:name="page178"/>
    <w:bookmarkEnd w:id="1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40" w:hanging="348"/>
        <w:spacing w:after="0"/>
        <w:tabs>
          <w:tab w:leader="none" w:pos="64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and Organization</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(the “Company”) operates a leading online cannabis marketplace for consumers together with a comprehensive set of eCommerce and compliance software solutions for cannabis businesses, which are sold to both storefront locations and delivery operators (“retailers”) and brands in the U.S. states and U.S. territories legalized cannabis markets. The Company’s comprehensive business-to-consumer and business-to-business suite of products afford cannabis retailers and brands of all sizes integrated tools to compliantly run their businesses and to reach, convert, and retain consumers.</w:t>
      </w:r>
    </w:p>
    <w:p>
      <w:pPr>
        <w:spacing w:after="0" w:line="79" w:lineRule="exact"/>
        <w:rPr>
          <w:sz w:val="20"/>
          <w:szCs w:val="20"/>
          <w:color w:val="auto"/>
        </w:rPr>
      </w:pPr>
    </w:p>
    <w:p>
      <w:pPr>
        <w:jc w:val="both"/>
        <w:ind w:left="300" w:right="319"/>
        <w:spacing w:after="0" w:line="253" w:lineRule="auto"/>
        <w:rPr>
          <w:sz w:val="20"/>
          <w:szCs w:val="20"/>
          <w:color w:val="auto"/>
        </w:rPr>
      </w:pPr>
      <w:r>
        <w:rPr>
          <w:rFonts w:ascii="Times New Roman" w:cs="Times New Roman" w:eastAsia="Times New Roman" w:hAnsi="Times New Roman"/>
          <w:sz w:val="18"/>
          <w:szCs w:val="18"/>
          <w:color w:val="auto"/>
        </w:rPr>
        <w:t>The Company’s business primarily consists of its commerce-driven marketplace (“Weedmaps”), and its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solutions (“POS”), to provide consumers with the ability to browse by strain, price, cannabinoids and other information regarding locally available cannabis products, through the Company’s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Weedmaps for Business, the Company’s SaaS offering, is a comprehensive set of eCommerce and compliance software solutions catered towards cannabis retailers, delivery services and brands that streamline front and back-end operations and help manage compliance needs. With the development of Weedmaps for Business, the Company offers an end-to-end platform for licensed cannabis retailers to comply with state law. The Company sells a monthly subscription offering to storefront, delivery and brand clients as well as upsell and add-on offerings to licensed clients. The Company also offers other add-on products for additional fees.</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(the “Merger Agreement”), by and among Silver Spike, Silver Spike Merger Sub LLC, a Delaware limited liability company and a wholly owned direct subsidiary of Silver Spike Acquisition Corp., WM Holding Company, LLC, a Delaware limited liability company (when referred to in its pre-Business Combination capacity, “Legacy WMH” and following the Business Combination, “WMH LLC”), and Ghost Media Group, LLC, a Nevada limited liability company, solely in its capacity as the initial holder representative (the “Holder Representative”). On the Closing Date, and in connection with the closing of the Business Combination (the “Closing”), Silver Spike was domesticated and continues as a Delaware corporation, changing its name to WM Technology, Inc.</w:t>
      </w:r>
    </w:p>
    <w:p>
      <w:pPr>
        <w:spacing w:after="0" w:line="29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Legacy WMH was reorganized into an Up-C structure, in which substantially all of the assets and business of Legacy WMH are held by WMH LLC and continue to operate through WMH LLC and its subsidiaries, and WM Technology, Inc.’s material assets are the equity interests of WMH LLC indirectly held by it. Legacy WMH was determined to be the accounting acquirer in the Business Combination, which was accounted for as a reverse recapitalization in accordance with accounting principles generally accepted in the United States of America (“GAAP”).</w:t>
      </w:r>
    </w:p>
    <w:p>
      <w:pPr>
        <w:spacing w:after="0" w:line="79"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had an accumulated deficit of $64.5 million. The Company has funded its operations primarily with customer payments for its services and proceeds from the issuance of common stock in connection with its initial public offering (IPO) and follow-on offering. As of December 31, 2023, the Company had cash of $34.4 million. The Company believes that its existing sources of liquidity will satisfy its working capital and capital requirements for at least the next twelve months.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8" w:name="page179"/>
    <w:bookmarkEnd w:id="1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640" w:hanging="348"/>
        <w:spacing w:after="0"/>
        <w:tabs>
          <w:tab w:leader="none" w:pos="64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have been prepared in accordance with GAAP and the rules and regulations of the Securities and Exchange Commission (“SEC”). The consolidated financial statements reflect all adjustments considered necessary for a fair presentation of the consolidated results of operations and financial position for the fiscal years presented. All such adjustments are of a normal recurring nature. Certain prior year amounts have been reclassified to conform to the current year presentation.</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WM Technology, Inc. and WMH LLC, including their wholly and majority owned subsidiaries. In conformity with GAAP, all significant intercompany accounts and transactions have been eliminated.</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Restatement of Previously Reported 2023 Quarterly Revenue and Credit Losses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preparation of the Company's Consolidated Financial Statements as of and for the fiscal year ended December 31, 2023, the Company discovered that in 2023, it had an inadequate policy associated with its revenue recognition related to the cash collection of a certain subset of its customers that had been placed on cash basis in 2023. For these customers, because the determination had been made that there was significant collection risk and the Company had no ability to estimate the collectability of the consideration it was entitled to, revenue recognition was prohibited under Accounting Standards Codification, (“ASC”), Topic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until cash was collected for the services that were provided. The Company refers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in this situation as customers that have been placed on cash basis. As further discussed below, the Company misapplied this policy in each of the first three quarters of 2023 by failing to apply (in certain cases) cash receipts to prior accounts receivable (via a credit loss recovery) and instead recognized additional revenue for the cash receipt.</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recognizes revenue from contracts with customers under ASC 606. The core principle of the revenue standard is that a company should recognize revenue to depict the transfer of promised goods or services to customers in an amount that reflects the consideration to which the company expects to be entitled in exchange for those goods or services. Once the Company believes that it is no longer probable of collecting substantially all of the consideration to which it will be entitled in exchange for the goods or services transferred to the customer and as such is prohibited from recognizing revenue until it is probable that it will be entitled to all of the consideration. As such, when a customer with significant collection risk is identified, the Company fully reserves for all outstanding accounts receivable and records a credit loss for these receivables.</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Initially, revenue for contracts that the Company assesses are not probable of collection is not recognized until the customer has paid or settled all outstanding accounts receivable balances.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When services are still provided to customers that have been identified with significant collection risk, the Company initially applies all payments received against the customers oldest invoices. However, if the Company continues to provide services to these customers for a significant period of time, cash collections have stabilized and other factors indicate it is appropriate, cash collections are assessed to determine if any of the on-going cash receipts should be accounted for as variable consideration under ASC 606 for on-going services instead of recovery of credit losses. To date, no material variable consideration has been recognized and after applying the corrections shown in the table below, all cash collections for these customers are reflected as recovery of credit losses.</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Due to the inconsistency of the cash application related to the cash basis customers, and the prohibition on recognizing revenue when the Company does not believe it will receive the consideration it is entitled to, the Company had determined that it had improperly recognized revenue for these customers and should have instead recognized a credit loss recovery related to these cash receipts.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9" w:name="page180"/>
    <w:bookmarkEnd w:id="179"/>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1300" w:right="1300"/>
        <w:spacing w:after="0" w:line="261" w:lineRule="auto"/>
        <w:rPr>
          <w:sz w:val="20"/>
          <w:szCs w:val="20"/>
          <w:color w:val="auto"/>
        </w:rPr>
      </w:pPr>
      <w:r>
        <w:rPr>
          <w:rFonts w:ascii="Times New Roman" w:cs="Times New Roman" w:eastAsia="Times New Roman" w:hAnsi="Times New Roman"/>
          <w:sz w:val="18"/>
          <w:szCs w:val="18"/>
          <w:color w:val="auto"/>
        </w:rPr>
        <w:t>All periods presented below have been retrospectively restated to reflect the effects of the change to revenues and operating expenses. There was no impact to operating income (loss), net income (loss), net income (loss) per share, net cash provided by operating activities and adjusted EBITDA for any periods presented. The consolidated statement of equity is not affected by this restatement.</w:t>
      </w:r>
    </w:p>
    <w:p>
      <w:pPr>
        <w:spacing w:after="0" w:line="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 has restated its unaudited condensed consolidated statements of operations for the periods ended</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March 31, 2023, June 30, 2023 and September 30, 2023, as follows (in thousands):</w:t>
      </w:r>
    </w:p>
    <w:p>
      <w:pPr>
        <w:spacing w:after="0" w:line="200" w:lineRule="exact"/>
        <w:rPr>
          <w:sz w:val="20"/>
          <w:szCs w:val="20"/>
          <w:color w:val="auto"/>
        </w:rPr>
      </w:pPr>
    </w:p>
    <w:p>
      <w:pPr>
        <w:spacing w:after="0" w:line="257"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40" w:type="dxa"/>
            <w:vAlign w:val="bottom"/>
            <w:gridSpan w:val="11"/>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0" w:type="dxa"/>
            <w:vAlign w:val="bottom"/>
          </w:tcPr>
          <w:p>
            <w:pPr>
              <w:spacing w:after="0"/>
              <w:rPr>
                <w:sz w:val="1"/>
                <w:szCs w:val="1"/>
                <w:color w:val="auto"/>
              </w:rPr>
            </w:pPr>
          </w:p>
        </w:tc>
      </w:tr>
      <w:tr>
        <w:trPr>
          <w:trHeight w:val="51"/>
        </w:trPr>
        <w:tc>
          <w:tcPr>
            <w:tcW w:w="3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7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3160" w:type="dxa"/>
            <w:vAlign w:val="bottom"/>
            <w:tcBorders>
              <w:bottom w:val="single" w:sz="8" w:color="CCEEFF"/>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6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$48,007</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$(1,591)</w:t>
            </w: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$46,416</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$22,500</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$(1,591)</w:t>
            </w:r>
          </w:p>
        </w:tc>
        <w:tc>
          <w:tcPr>
            <w:tcW w:w="20" w:type="dxa"/>
            <w:vAlign w:val="bottom"/>
          </w:tcPr>
          <w:p>
            <w:pPr>
              <w:spacing w:after="0"/>
              <w:rPr>
                <w:sz w:val="23"/>
                <w:szCs w:val="23"/>
                <w:color w:val="auto"/>
              </w:rPr>
            </w:pPr>
          </w:p>
        </w:tc>
        <w:tc>
          <w:tcPr>
            <w:tcW w:w="940" w:type="dxa"/>
            <w:vAlign w:val="bottom"/>
            <w:gridSpan w:val="4"/>
          </w:tcPr>
          <w:p>
            <w:pPr>
              <w:jc w:val="right"/>
              <w:ind w:right="8"/>
              <w:spacing w:after="0"/>
              <w:rPr>
                <w:sz w:val="20"/>
                <w:szCs w:val="20"/>
                <w:color w:val="auto"/>
              </w:rPr>
            </w:pPr>
            <w:r>
              <w:rPr>
                <w:rFonts w:ascii="Times New Roman" w:cs="Times New Roman" w:eastAsia="Times New Roman" w:hAnsi="Times New Roman"/>
                <w:sz w:val="18"/>
                <w:szCs w:val="18"/>
                <w:color w:val="auto"/>
              </w:rPr>
              <w:t>$20,909</w:t>
            </w: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6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$52,155</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$(1,591)</w:t>
            </w: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$50,564</w:t>
            </w:r>
          </w:p>
        </w:tc>
        <w:tc>
          <w:tcPr>
            <w:tcW w:w="0" w:type="dxa"/>
            <w:vAlign w:val="bottom"/>
          </w:tcPr>
          <w:p>
            <w:pPr>
              <w:spacing w:after="0"/>
              <w:rPr>
                <w:sz w:val="1"/>
                <w:szCs w:val="1"/>
                <w:color w:val="auto"/>
              </w:rPr>
            </w:pPr>
          </w:p>
        </w:tc>
      </w:tr>
      <w:tr>
        <w:trPr>
          <w:trHeight w:val="598"/>
        </w:trPr>
        <w:tc>
          <w:tcPr>
            <w:tcW w:w="3160" w:type="dxa"/>
            <w:vAlign w:val="bottom"/>
          </w:tcPr>
          <w:p>
            <w:pPr>
              <w:spacing w:after="0"/>
              <w:rPr>
                <w:sz w:val="24"/>
                <w:szCs w:val="24"/>
                <w:color w:val="auto"/>
              </w:rPr>
            </w:pPr>
          </w:p>
        </w:tc>
        <w:tc>
          <w:tcPr>
            <w:tcW w:w="2660" w:type="dxa"/>
            <w:vAlign w:val="bottom"/>
            <w:gridSpan w:val="11"/>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gridSpan w:val="11"/>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0" w:type="dxa"/>
            <w:vAlign w:val="bottom"/>
          </w:tcPr>
          <w:p>
            <w:pPr>
              <w:spacing w:after="0"/>
              <w:rPr>
                <w:sz w:val="1"/>
                <w:szCs w:val="1"/>
                <w:color w:val="auto"/>
              </w:rPr>
            </w:pPr>
          </w:p>
        </w:tc>
      </w:tr>
      <w:tr>
        <w:trPr>
          <w:trHeight w:val="50"/>
        </w:trPr>
        <w:tc>
          <w:tcPr>
            <w:tcW w:w="3160" w:type="dxa"/>
            <w:vAlign w:val="bottom"/>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Borders>
              <w:bottom w:val="single" w:sz="8" w:color="auto"/>
            </w:tcBorders>
            <w:gridSpan w:val="3"/>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8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40" w:type="dxa"/>
            <w:vAlign w:val="bottom"/>
          </w:tcPr>
          <w:p>
            <w:pPr>
              <w:spacing w:after="0"/>
              <w:rPr>
                <w:sz w:val="16"/>
                <w:szCs w:val="16"/>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8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920" w:type="dxa"/>
            <w:vAlign w:val="bottom"/>
            <w:gridSpan w:val="4"/>
            <w:vMerge w:val="continue"/>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31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$50,852</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$(2,429)</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$48,423</w:t>
            </w: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$98,859</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rPr>
              <w:t>$(4,020)</w:t>
            </w: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$94,839</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$19,208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$(2,429)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$16,779</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$41,708</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center"/>
              <w:ind w:left="33"/>
              <w:spacing w:after="0"/>
              <w:rPr>
                <w:sz w:val="20"/>
                <w:szCs w:val="20"/>
                <w:color w:val="auto"/>
              </w:rPr>
            </w:pPr>
            <w:r>
              <w:rPr>
                <w:rFonts w:ascii="Times New Roman" w:cs="Times New Roman" w:eastAsia="Times New Roman" w:hAnsi="Times New Roman"/>
                <w:sz w:val="18"/>
                <w:szCs w:val="18"/>
                <w:color w:val="auto"/>
              </w:rPr>
              <w:t>$(4,020)</w:t>
            </w:r>
          </w:p>
        </w:tc>
        <w:tc>
          <w:tcPr>
            <w:tcW w:w="20" w:type="dxa"/>
            <w:vAlign w:val="bottom"/>
          </w:tcPr>
          <w:p>
            <w:pPr>
              <w:spacing w:after="0"/>
              <w:rPr>
                <w:sz w:val="23"/>
                <w:szCs w:val="23"/>
                <w:color w:val="auto"/>
              </w:rPr>
            </w:pPr>
          </w:p>
        </w:tc>
        <w:tc>
          <w:tcPr>
            <w:tcW w:w="940" w:type="dxa"/>
            <w:vAlign w:val="bottom"/>
            <w:gridSpan w:val="4"/>
          </w:tcPr>
          <w:p>
            <w:pPr>
              <w:jc w:val="right"/>
              <w:ind w:right="8"/>
              <w:spacing w:after="0"/>
              <w:rPr>
                <w:sz w:val="20"/>
                <w:szCs w:val="20"/>
                <w:color w:val="auto"/>
              </w:rPr>
            </w:pPr>
            <w:r>
              <w:rPr>
                <w:rFonts w:ascii="Times New Roman" w:cs="Times New Roman" w:eastAsia="Times New Roman" w:hAnsi="Times New Roman"/>
                <w:sz w:val="18"/>
                <w:szCs w:val="18"/>
                <w:color w:val="auto"/>
              </w:rPr>
              <w:t>$37,688</w:t>
            </w: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$47,069</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$(2,429)</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$44,640</w:t>
            </w: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$99,224</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rPr>
              <w:t>$(4,020)</w:t>
            </w: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$95,204</w:t>
            </w:r>
          </w:p>
        </w:tc>
        <w:tc>
          <w:tcPr>
            <w:tcW w:w="0" w:type="dxa"/>
            <w:vAlign w:val="bottom"/>
          </w:tcPr>
          <w:p>
            <w:pPr>
              <w:spacing w:after="0"/>
              <w:rPr>
                <w:sz w:val="1"/>
                <w:szCs w:val="1"/>
                <w:color w:val="auto"/>
              </w:rPr>
            </w:pPr>
          </w:p>
        </w:tc>
      </w:tr>
      <w:tr>
        <w:trPr>
          <w:trHeight w:val="598"/>
        </w:trPr>
        <w:tc>
          <w:tcPr>
            <w:tcW w:w="3160" w:type="dxa"/>
            <w:vAlign w:val="bottom"/>
          </w:tcPr>
          <w:p>
            <w:pPr>
              <w:spacing w:after="0"/>
              <w:rPr>
                <w:sz w:val="24"/>
                <w:szCs w:val="24"/>
                <w:color w:val="auto"/>
              </w:rPr>
            </w:pPr>
          </w:p>
        </w:tc>
        <w:tc>
          <w:tcPr>
            <w:tcW w:w="2660" w:type="dxa"/>
            <w:vAlign w:val="bottom"/>
            <w:gridSpan w:val="11"/>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gridSpan w:val="11"/>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0" w:type="dxa"/>
            <w:vAlign w:val="bottom"/>
          </w:tcPr>
          <w:p>
            <w:pPr>
              <w:spacing w:after="0"/>
              <w:rPr>
                <w:sz w:val="1"/>
                <w:szCs w:val="1"/>
                <w:color w:val="auto"/>
              </w:rPr>
            </w:pPr>
          </w:p>
        </w:tc>
      </w:tr>
      <w:tr>
        <w:trPr>
          <w:trHeight w:val="50"/>
        </w:trPr>
        <w:tc>
          <w:tcPr>
            <w:tcW w:w="3160" w:type="dxa"/>
            <w:vAlign w:val="bottom"/>
          </w:tcPr>
          <w:p>
            <w:pPr>
              <w:spacing w:after="0"/>
              <w:rPr>
                <w:sz w:val="4"/>
                <w:szCs w:val="4"/>
                <w:color w:val="auto"/>
              </w:rPr>
            </w:pPr>
          </w:p>
        </w:tc>
        <w:tc>
          <w:tcPr>
            <w:tcW w:w="860" w:type="dxa"/>
            <w:vAlign w:val="bottom"/>
            <w:tcBorders>
              <w:bottom w:val="single" w:sz="8" w:color="auto"/>
            </w:tcBorders>
            <w:gridSpan w:val="4"/>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4"/>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92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8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7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8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920" w:type="dxa"/>
            <w:vAlign w:val="bottom"/>
            <w:gridSpan w:val="4"/>
            <w:vMerge w:val="continue"/>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7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31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gridSpan w:val="4"/>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6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$47,725</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w w:val="97"/>
              </w:rPr>
              <w:t>$(1,038)</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$46,687</w:t>
            </w: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$146,584</w:t>
            </w: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$(5,058)</w:t>
            </w: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$141,526</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$19,189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w w:val="97"/>
              </w:rPr>
              <w:t>$(1,038)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$18,151</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$ 60,897</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$(5,058)</w:t>
            </w:r>
          </w:p>
        </w:tc>
        <w:tc>
          <w:tcPr>
            <w:tcW w:w="20" w:type="dxa"/>
            <w:vAlign w:val="bottom"/>
          </w:tcPr>
          <w:p>
            <w:pPr>
              <w:spacing w:after="0"/>
              <w:rPr>
                <w:sz w:val="23"/>
                <w:szCs w:val="23"/>
                <w:color w:val="auto"/>
              </w:rPr>
            </w:pPr>
          </w:p>
        </w:tc>
        <w:tc>
          <w:tcPr>
            <w:tcW w:w="940" w:type="dxa"/>
            <w:vAlign w:val="bottom"/>
            <w:gridSpan w:val="4"/>
          </w:tcPr>
          <w:p>
            <w:pPr>
              <w:jc w:val="right"/>
              <w:ind w:right="8"/>
              <w:spacing w:after="0"/>
              <w:rPr>
                <w:sz w:val="20"/>
                <w:szCs w:val="20"/>
                <w:color w:val="auto"/>
              </w:rPr>
            </w:pPr>
            <w:r>
              <w:rPr>
                <w:rFonts w:ascii="Times New Roman" w:cs="Times New Roman" w:eastAsia="Times New Roman" w:hAnsi="Times New Roman"/>
                <w:sz w:val="18"/>
                <w:szCs w:val="18"/>
                <w:color w:val="auto"/>
              </w:rPr>
              <w:t>$ 55,839</w:t>
            </w: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gridSpan w:val="4"/>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$53,273</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40" w:type="dxa"/>
            <w:vAlign w:val="bottom"/>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w w:val="97"/>
              </w:rPr>
              <w:t>$(1,038)</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$52,235</w:t>
            </w: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8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$152,497</w:t>
            </w:r>
          </w:p>
        </w:tc>
        <w:tc>
          <w:tcPr>
            <w:tcW w:w="1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$(5,058)</w:t>
            </w:r>
          </w:p>
        </w:tc>
        <w:tc>
          <w:tcPr>
            <w:tcW w:w="20" w:type="dxa"/>
            <w:vAlign w:val="bottom"/>
            <w:shd w:val="clear" w:color="auto" w:fill="CCEEFF"/>
          </w:tcPr>
          <w:p>
            <w:pPr>
              <w:spacing w:after="0"/>
              <w:rPr>
                <w:sz w:val="23"/>
                <w:szCs w:val="23"/>
                <w:color w:val="auto"/>
              </w:rPr>
            </w:pPr>
          </w:p>
        </w:tc>
        <w:tc>
          <w:tcPr>
            <w:tcW w:w="940" w:type="dxa"/>
            <w:vAlign w:val="bottom"/>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$147,439</w:t>
            </w:r>
          </w:p>
        </w:tc>
        <w:tc>
          <w:tcPr>
            <w:tcW w:w="0" w:type="dxa"/>
            <w:vAlign w:val="bottom"/>
          </w:tcPr>
          <w:p>
            <w:pPr>
              <w:spacing w:after="0"/>
              <w:rPr>
                <w:sz w:val="1"/>
                <w:szCs w:val="1"/>
                <w:color w:val="auto"/>
              </w:rPr>
            </w:pPr>
          </w:p>
        </w:tc>
      </w:tr>
      <w:tr>
        <w:trPr>
          <w:trHeight w:val="54"/>
        </w:trPr>
        <w:tc>
          <w:tcPr>
            <w:tcW w:w="316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5560695</wp:posOffset>
            </wp:positionH>
            <wp:positionV relativeFrom="paragraph">
              <wp:posOffset>-3291205</wp:posOffset>
            </wp:positionV>
            <wp:extent cx="13716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4960620</wp:posOffset>
            </wp:positionH>
            <wp:positionV relativeFrom="paragraph">
              <wp:posOffset>-3291205</wp:posOffset>
            </wp:positionV>
            <wp:extent cx="13716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-3291205</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5577840</wp:posOffset>
            </wp:positionH>
            <wp:positionV relativeFrom="paragraph">
              <wp:posOffset>-1962150</wp:posOffset>
            </wp:positionV>
            <wp:extent cx="12001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4994910</wp:posOffset>
            </wp:positionH>
            <wp:positionV relativeFrom="paragraph">
              <wp:posOffset>-1962150</wp:posOffset>
            </wp:positionV>
            <wp:extent cx="12001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4438015</wp:posOffset>
            </wp:positionH>
            <wp:positionV relativeFrom="paragraph">
              <wp:posOffset>-1962150</wp:posOffset>
            </wp:positionV>
            <wp:extent cx="12001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3846195</wp:posOffset>
            </wp:positionH>
            <wp:positionV relativeFrom="paragraph">
              <wp:posOffset>-1962150</wp:posOffset>
            </wp:positionV>
            <wp:extent cx="12001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3263265</wp:posOffset>
            </wp:positionH>
            <wp:positionV relativeFrom="paragraph">
              <wp:posOffset>-1962150</wp:posOffset>
            </wp:positionV>
            <wp:extent cx="12001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2766060</wp:posOffset>
            </wp:positionH>
            <wp:positionV relativeFrom="paragraph">
              <wp:posOffset>-1962150</wp:posOffset>
            </wp:positionV>
            <wp:extent cx="6032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-633730</wp:posOffset>
            </wp:positionV>
            <wp:extent cx="6858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5020945</wp:posOffset>
            </wp:positionH>
            <wp:positionV relativeFrom="paragraph">
              <wp:posOffset>-633730</wp:posOffset>
            </wp:positionV>
            <wp:extent cx="685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4480560</wp:posOffset>
            </wp:positionH>
            <wp:positionV relativeFrom="paragraph">
              <wp:posOffset>-633730</wp:posOffset>
            </wp:positionV>
            <wp:extent cx="685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3880485</wp:posOffset>
            </wp:positionH>
            <wp:positionV relativeFrom="paragraph">
              <wp:posOffset>-633730</wp:posOffset>
            </wp:positionV>
            <wp:extent cx="6858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3297555</wp:posOffset>
            </wp:positionH>
            <wp:positionV relativeFrom="paragraph">
              <wp:posOffset>-633730</wp:posOffset>
            </wp:positionV>
            <wp:extent cx="685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2800350</wp:posOffset>
            </wp:positionH>
            <wp:positionV relativeFrom="paragraph">
              <wp:posOffset>-633730</wp:posOffset>
            </wp:positionV>
            <wp:extent cx="3429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 has restated its unaudited condensed consolidated Statements of Cash Flows for the periods ended</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March 31, 2023, June 30, 2023 and September 30, 2023, as follows (in thousands):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588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30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9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58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300" w:type="dxa"/>
            <w:vAlign w:val="bottom"/>
          </w:tcPr>
          <w:p>
            <w:pPr>
              <w:spacing w:after="0"/>
              <w:rPr>
                <w:sz w:val="21"/>
                <w:szCs w:val="21"/>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provided by</w:t>
            </w:r>
          </w:p>
        </w:tc>
        <w:tc>
          <w:tcPr>
            <w:tcW w:w="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1300" w:type="dxa"/>
            <w:vAlign w:val="bottom"/>
          </w:tcPr>
          <w:p>
            <w:pPr>
              <w:spacing w:after="0"/>
              <w:rPr>
                <w:sz w:val="23"/>
                <w:szCs w:val="23"/>
                <w:color w:val="auto"/>
              </w:rPr>
            </w:pPr>
          </w:p>
        </w:tc>
        <w:tc>
          <w:tcPr>
            <w:tcW w:w="5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$1,951</w:t>
            </w:r>
          </w:p>
        </w:tc>
        <w:tc>
          <w:tcPr>
            <w:tcW w:w="200" w:type="dxa"/>
            <w:vAlign w:val="bottom"/>
          </w:tcPr>
          <w:p>
            <w:pPr>
              <w:spacing w:after="0"/>
              <w:rPr>
                <w:sz w:val="23"/>
                <w:szCs w:val="23"/>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$(1,591)</w:t>
            </w:r>
          </w:p>
        </w:tc>
        <w:tc>
          <w:tcPr>
            <w:tcW w:w="20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360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588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6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   86</w:t>
            </w:r>
          </w:p>
        </w:tc>
        <w:tc>
          <w:tcPr>
            <w:tcW w:w="200" w:type="dxa"/>
            <w:vAlign w:val="bottom"/>
          </w:tcPr>
          <w:p>
            <w:pPr>
              <w:spacing w:after="0"/>
              <w:rPr>
                <w:sz w:val="23"/>
                <w:szCs w:val="23"/>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$1,591</w:t>
            </w:r>
          </w:p>
        </w:tc>
        <w:tc>
          <w:tcPr>
            <w:tcW w:w="20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$1,677</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51"/>
        </w:trPr>
        <w:tc>
          <w:tcPr>
            <w:tcW w:w="130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1300" w:type="dxa"/>
            <w:vAlign w:val="bottom"/>
          </w:tcPr>
          <w:p>
            <w:pPr>
              <w:spacing w:after="0"/>
              <w:rPr>
                <w:sz w:val="4"/>
                <w:szCs w:val="4"/>
                <w:color w:val="auto"/>
              </w:rPr>
            </w:pPr>
          </w:p>
        </w:tc>
        <w:tc>
          <w:tcPr>
            <w:tcW w:w="5880" w:type="dxa"/>
            <w:vAlign w:val="bottom"/>
          </w:tcPr>
          <w:p>
            <w:pPr>
              <w:spacing w:after="0"/>
              <w:rPr>
                <w:sz w:val="4"/>
                <w:szCs w:val="4"/>
                <w:color w:val="auto"/>
              </w:rPr>
            </w:pPr>
          </w:p>
        </w:tc>
        <w:tc>
          <w:tcPr>
            <w:tcW w:w="880" w:type="dxa"/>
            <w:vAlign w:val="bottom"/>
            <w:tcBorders>
              <w:bottom w:val="single" w:sz="8" w:color="auto"/>
            </w:tcBorders>
            <w:gridSpan w:val="3"/>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30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9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1300" w:type="dxa"/>
            <w:vAlign w:val="bottom"/>
          </w:tcPr>
          <w:p>
            <w:pPr>
              <w:spacing w:after="0"/>
              <w:rPr>
                <w:sz w:val="4"/>
                <w:szCs w:val="4"/>
                <w:color w:val="auto"/>
              </w:rPr>
            </w:pPr>
          </w:p>
        </w:tc>
        <w:tc>
          <w:tcPr>
            <w:tcW w:w="588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300" w:type="dxa"/>
            <w:vAlign w:val="bottom"/>
          </w:tcPr>
          <w:p>
            <w:pPr>
              <w:spacing w:after="0"/>
              <w:rPr>
                <w:sz w:val="21"/>
                <w:szCs w:val="21"/>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provided by</w:t>
            </w:r>
          </w:p>
        </w:tc>
        <w:tc>
          <w:tcPr>
            <w:tcW w:w="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1300" w:type="dxa"/>
            <w:vAlign w:val="bottom"/>
          </w:tcPr>
          <w:p>
            <w:pPr>
              <w:spacing w:after="0"/>
              <w:rPr>
                <w:sz w:val="23"/>
                <w:szCs w:val="23"/>
                <w:color w:val="auto"/>
              </w:rPr>
            </w:pPr>
          </w:p>
        </w:tc>
        <w:tc>
          <w:tcPr>
            <w:tcW w:w="5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6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$ 3,605</w:t>
            </w:r>
          </w:p>
        </w:tc>
        <w:tc>
          <w:tcPr>
            <w:tcW w:w="200" w:type="dxa"/>
            <w:vAlign w:val="bottom"/>
          </w:tcPr>
          <w:p>
            <w:pPr>
              <w:spacing w:after="0"/>
              <w:rPr>
                <w:sz w:val="23"/>
                <w:szCs w:val="23"/>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$(4,020)</w:t>
            </w:r>
          </w:p>
        </w:tc>
        <w:tc>
          <w:tcPr>
            <w:tcW w:w="20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(415)</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588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200" w:type="dxa"/>
            <w:vAlign w:val="bottom"/>
          </w:tcPr>
          <w:p>
            <w:pPr>
              <w:spacing w:after="0"/>
              <w:rPr>
                <w:sz w:val="23"/>
                <w:szCs w:val="23"/>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$4,020</w:t>
            </w:r>
          </w:p>
        </w:tc>
        <w:tc>
          <w:tcPr>
            <w:tcW w:w="20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$2,882</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5880" w:type="dxa"/>
            <w:vAlign w:val="bottom"/>
          </w:tcPr>
          <w:p>
            <w:pPr>
              <w:ind w:left="4040"/>
              <w:spacing w:after="0"/>
              <w:rPr>
                <w:sz w:val="20"/>
                <w:szCs w:val="20"/>
                <w:color w:val="auto"/>
              </w:rPr>
            </w:pPr>
            <w:r>
              <w:rPr>
                <w:rFonts w:ascii="Times New Roman" w:cs="Times New Roman" w:eastAsia="Times New Roman" w:hAnsi="Times New Roman"/>
                <w:sz w:val="18"/>
                <w:szCs w:val="18"/>
                <w:color w:val="auto"/>
              </w:rPr>
              <w:t>F-41</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58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5577840</wp:posOffset>
            </wp:positionH>
            <wp:positionV relativeFrom="paragraph">
              <wp:posOffset>-3042285</wp:posOffset>
            </wp:positionV>
            <wp:extent cx="12001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4994910</wp:posOffset>
            </wp:positionH>
            <wp:positionV relativeFrom="paragraph">
              <wp:posOffset>-3042285</wp:posOffset>
            </wp:positionV>
            <wp:extent cx="12001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4514850</wp:posOffset>
            </wp:positionH>
            <wp:positionV relativeFrom="paragraph">
              <wp:posOffset>-3042285</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5577840</wp:posOffset>
            </wp:positionH>
            <wp:positionV relativeFrom="paragraph">
              <wp:posOffset>-1379220</wp:posOffset>
            </wp:positionV>
            <wp:extent cx="12001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4994910</wp:posOffset>
            </wp:positionH>
            <wp:positionV relativeFrom="paragraph">
              <wp:posOffset>-1379220</wp:posOffset>
            </wp:positionV>
            <wp:extent cx="12001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4497705</wp:posOffset>
            </wp:positionH>
            <wp:positionV relativeFrom="paragraph">
              <wp:posOffset>-1379220</wp:posOffset>
            </wp:positionV>
            <wp:extent cx="6032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020"/>
          </w:cols>
          <w:pgMar w:left="440" w:top="263" w:right="439" w:bottom="946" w:gutter="0" w:footer="0" w:header="0"/>
        </w:sectPr>
      </w:pPr>
    </w:p>
    <w:bookmarkStart w:id="180" w:name="page181"/>
    <w:bookmarkEnd w:id="1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25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0" w:type="dxa"/>
            <w:vAlign w:val="bottom"/>
          </w:tcPr>
          <w:p>
            <w:pPr>
              <w:spacing w:after="0"/>
              <w:rPr>
                <w:sz w:val="1"/>
                <w:szCs w:val="1"/>
                <w:color w:val="auto"/>
              </w:rPr>
            </w:pPr>
          </w:p>
        </w:tc>
      </w:tr>
      <w:tr>
        <w:trPr>
          <w:trHeight w:val="51"/>
        </w:trPr>
        <w:tc>
          <w:tcPr>
            <w:tcW w:w="5900" w:type="dxa"/>
            <w:vAlign w:val="bottom"/>
          </w:tcPr>
          <w:p>
            <w:pPr>
              <w:spacing w:after="0"/>
              <w:rPr>
                <w:sz w:val="4"/>
                <w:szCs w:val="4"/>
                <w:color w:val="auto"/>
              </w:rPr>
            </w:pPr>
          </w:p>
        </w:tc>
        <w:tc>
          <w:tcPr>
            <w:tcW w:w="800" w:type="dxa"/>
            <w:vAlign w:val="bottom"/>
            <w:tcBorders>
              <w:bottom w:val="single" w:sz="8" w:color="auto"/>
            </w:tcBorders>
            <w:gridSpan w:val="3"/>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5900" w:type="dxa"/>
            <w:vAlign w:val="bottom"/>
          </w:tcPr>
          <w:p>
            <w:pPr>
              <w:spacing w:after="0"/>
              <w:rPr>
                <w:sz w:val="16"/>
                <w:szCs w:val="16"/>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0"/>
        </w:trPr>
        <w:tc>
          <w:tcPr>
            <w:tcW w:w="5900" w:type="dxa"/>
            <w:vAlign w:val="bottom"/>
          </w:tcPr>
          <w:p>
            <w:pPr>
              <w:spacing w:after="0"/>
              <w:rPr>
                <w:sz w:val="16"/>
                <w:szCs w:val="16"/>
                <w:color w:val="auto"/>
              </w:rPr>
            </w:pP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9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9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provided by</w:t>
            </w: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5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$4,862</w:t>
            </w:r>
          </w:p>
        </w:tc>
        <w:tc>
          <w:tcPr>
            <w:tcW w:w="10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$(5,058)</w:t>
            </w:r>
          </w:p>
        </w:tc>
        <w:tc>
          <w:tcPr>
            <w:tcW w:w="10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(196)</w:t>
            </w:r>
          </w:p>
        </w:tc>
        <w:tc>
          <w:tcPr>
            <w:tcW w:w="0" w:type="dxa"/>
            <w:vAlign w:val="bottom"/>
          </w:tcPr>
          <w:p>
            <w:pPr>
              <w:spacing w:after="0"/>
              <w:rPr>
                <w:sz w:val="1"/>
                <w:szCs w:val="1"/>
                <w:color w:val="auto"/>
              </w:rPr>
            </w:pPr>
          </w:p>
        </w:tc>
      </w:tr>
      <w:tr>
        <w:trPr>
          <w:trHeight w:val="54"/>
        </w:trPr>
        <w:tc>
          <w:tcPr>
            <w:tcW w:w="5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$5,058</w:t>
            </w:r>
          </w:p>
        </w:tc>
        <w:tc>
          <w:tcPr>
            <w:tcW w:w="10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$5,320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-934085</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-934085</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-934085</wp:posOffset>
            </wp:positionV>
            <wp:extent cx="3429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years ended December 31, 2023, 2022 and 2021.</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Significant estimates made by management include, among others, the allowance for credit losses, the useful lives of long-lived assets, income taxes, website and internal-use software development costs, leases, valuation of goodwill and other intangible assets, valuation of warrant liability, deferred tax assets and the related valuation allowance, tax receivable agreement (“TRA”) liability, revenue recognition, performance and stock-based compensation and the recognition and disclosure of contingent liabilities.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Company operates in a relatively new industry where laws and regulations vary significantly by jurisdiction. As of September 30, 2024, thirty-nine states, the District of Columbia, Puerto Rico, the Virgin Islands, and Guam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three states continue to prohibit cannabis entirely. Additionally, while a number of U.S. legislators have introduced various bills to legalize cannabis at the federal level, none of these bills has become law. Currently, under federal law, cannabis, other than hemp (defined by the U.S. government as Cannabis sativa L. with a THC concentration of not more than 0.3% on a dry weight basis), is still a Schedule I controlled substance under the Controlled Substances Act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can be a predicate for certain other crimes, including money laundering laws and the Racketeer Influenced and Corrupt Organizations Act. If any of the states that permit use of cannabis were to change their laws or the federal government was to actively enforce the CSA or other laws related to the federal prohibition on cannabis, the Company’s business could be adversely affected.</w:t>
      </w:r>
    </w:p>
    <w:p>
      <w:pPr>
        <w:spacing w:after="0" w:line="8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addition, the Company’s ability to grow and meet its operating objectives depends largely on the continued legalization and regulation of cannabis on a widespread basis. There can be no assurance that such legalization will occur on a timely basis, or at all.</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geographic concentration of the Company’s clients makes the Company vulnerable to a downturn in the local markets. Historically, the Company’s business operations have been located primarily in the State of California. See Note 3, “Revenue from Contracts with Customers,” to these consolidated financial statements for additional information.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1" w:name="page182"/>
    <w:bookmarkEnd w:id="1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A receivable is recorded when an unconditional right to invoice and receive payment exists. Accounts receivable primarily include amounts related to receivables from customers. Receivables are shown net of allowance for credit losses which is maintained at a level that management believes to be sufficient to absorb estimated losses in the accounts receivable portfolio. The Company measures credit losses on its trade accounts receivable using the current expected credit loss model under ASC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Company calculates the expected credit losses on a pool basis for trade receivables that have similar risk characteristics. For trade receivables that do not share similar risk characteristics, the allowance for credit losses is calculated on an individual basis. Risk characteristics relevant to the Company’s accounts receivable include balance of customer account and aging status.</w:t>
      </w:r>
    </w:p>
    <w:p>
      <w:pPr>
        <w:spacing w:after="0" w:line="72"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Account balances are written off against the allowance when it is determined that it is probable that the receivable will not be recovered. The Company had allowance for credit losses of $8.7 million as of December 31, 2023 and $12.2 million of as of December 31, 2022, respectively.</w:t>
      </w:r>
    </w:p>
    <w:p>
      <w:pPr>
        <w:spacing w:after="0" w:line="6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As of December 31, 2023, no customer accounted for more than 10% of the total gross accounts receivable outstanding. As of December 31, 2022, a receivable due from one customer accounted for approximately 11% of the total gross accounts receivable outstanding.</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summarizes the changes in the allowance for credit losses:</w:t>
      </w:r>
    </w:p>
    <w:p>
      <w:pPr>
        <w:spacing w:after="0" w:line="200" w:lineRule="exact"/>
        <w:rPr>
          <w:sz w:val="20"/>
          <w:szCs w:val="20"/>
          <w:color w:val="auto"/>
        </w:rPr>
      </w:pPr>
    </w:p>
    <w:p>
      <w:pPr>
        <w:spacing w:after="0" w:line="26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2360" w:type="dxa"/>
            <w:vAlign w:val="bottom"/>
            <w:gridSpan w:val="1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0"/>
        </w:trPr>
        <w:tc>
          <w:tcPr>
            <w:tcW w:w="60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7"/>
        </w:trPr>
        <w:tc>
          <w:tcPr>
            <w:tcW w:w="6060" w:type="dxa"/>
            <w:vAlign w:val="bottom"/>
          </w:tcPr>
          <w:p>
            <w:pPr>
              <w:spacing w:after="0"/>
              <w:rPr>
                <w:sz w:val="19"/>
                <w:szCs w:val="19"/>
                <w:color w:val="auto"/>
              </w:rPr>
            </w:pPr>
          </w:p>
        </w:tc>
        <w:tc>
          <w:tcPr>
            <w:tcW w:w="5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1"/>
        </w:trPr>
        <w:tc>
          <w:tcPr>
            <w:tcW w:w="606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beginning of year</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$12,232</w:t>
            </w:r>
          </w:p>
        </w:tc>
        <w:tc>
          <w:tcPr>
            <w:tcW w:w="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5,169</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credit losses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17,216</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20" w:type="dxa"/>
            <w:vAlign w:val="bottom"/>
          </w:tcPr>
          <w:p>
            <w:pPr>
              <w:spacing w:after="0"/>
              <w:rPr>
                <w:sz w:val="23"/>
                <w:szCs w:val="23"/>
                <w:color w:val="auto"/>
              </w:rPr>
            </w:pPr>
          </w:p>
        </w:tc>
      </w:tr>
      <w:tr>
        <w:trPr>
          <w:trHeight w:val="54"/>
        </w:trPr>
        <w:tc>
          <w:tcPr>
            <w:tcW w:w="60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18"/>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 net of recoveries</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(10,153)</w:t>
            </w:r>
          </w:p>
        </w:tc>
        <w:tc>
          <w:tcPr>
            <w:tcW w:w="2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8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Allowance, end of year</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$ 8,748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12,232</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5,169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60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5020310</wp:posOffset>
            </wp:positionH>
            <wp:positionV relativeFrom="paragraph">
              <wp:posOffset>-830580</wp:posOffset>
            </wp:positionV>
            <wp:extent cx="12001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-830580</wp:posOffset>
            </wp:positionV>
            <wp:extent cx="12001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-830580</wp:posOffset>
            </wp:positionV>
            <wp:extent cx="6032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Equity Securities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Investments in equity securities that do not have a readily determinable fair value and qualify for the measurement alternative for equity investments provided in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xml:space="preserve"> are accounted for at cost, less any impairment, plus or minus changes resulting from observable price changes in orderly transactions for an identical or similar investment of the same issuer. As of December 31, 2022, the carrying value of the Company’s investments in equity securities without a readily determinable fair value was $3.5 million, which is recorded within other assets on the Company’s consolidated balance sheets.</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 performs a qualitative assessment at each reporting date to evaluate whether the investments in equity securities are impaired. When a qualitative assessment indicates that an investment is impaired, the investment is written down to its fair value. For the years ended December 31, 2023 and 2022, the Company recorded $3.5 million, $3.0 million, respectively, in impairment charges related to investments in equity securities. These impairment charges are included in asset impairment charges in the accompanying consolidated statements of operations. The Company did not have any impairment charges related to investments in equity securities. in 2021.</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Property and equipment are carried at cost, less accumulated depreciation, amortization and asset impairment charges, and consist of internally developed software, computer equipment, furniture and fixtures and leasehold improvements. Depreciation is computed using the straight-line method over the estimated useful lives of the assets and generally over three years for computer equipment, seven years for furniture and fixtures. Leasehold improvements are amortized using the straight-line method over the shorter of their estimated useful lives or the remaining term of the related lease. Maintenance and repairs are expensed as incurred. When assets are retired or otherwise disposed of, the cost and related accumulated depreciation and amortization are removed from the accounts and any resulting gain or loss is reflected in the Company’s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2" w:name="page183"/>
    <w:bookmarkEnd w:id="1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Company assesses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 For the year ended December 31, 2023, the Company recorded impairment charges of $3.9 million of which $2.7 million related to property and equipment associated with certain product offerings that were sunset in December 2023 and $1.3 million related to leasehold improvements associated with the impairment of a ROU asset both of which are included in asset impairment charges in the consolidated statements of operations. No impairments to property and equipment were recorded during the years ended December 31, 2022 and 2021.</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w:t>
      </w:r>
    </w:p>
    <w:p>
      <w:pPr>
        <w:spacing w:after="0" w:line="121"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color w:val="auto"/>
        </w:rPr>
        <w:t>Capitalized website and internal-use software development costs are included in property and equipment in the accompanying balance sheets. The Company capitalizes certain costs related to the development and enhancement of the Weedmaps platform and SaaS solutions when (i) the preliminary development project stage is completed,</w:t>
      </w:r>
    </w:p>
    <w:p>
      <w:pPr>
        <w:spacing w:after="0" w:line="1" w:lineRule="exact"/>
        <w:rPr>
          <w:sz w:val="20"/>
          <w:szCs w:val="20"/>
          <w:color w:val="auto"/>
        </w:rPr>
      </w:pPr>
    </w:p>
    <w:p>
      <w:pPr>
        <w:jc w:val="both"/>
        <w:ind w:left="300" w:right="299" w:hanging="8"/>
        <w:spacing w:after="0" w:line="251" w:lineRule="auto"/>
        <w:tabs>
          <w:tab w:leader="none" w:pos="59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has authorized further funding for the completion of the project and (iii) it is probable that the project will be completed and performed as intended. These capitalized costs include personnel and related expenses for employees and costs of third-party contractors who are directly associated with and who devote time to internal-use software projects. Capitalization of these costs ceases once the project is substantially complete and the software is ready for its intended purpose. Maintenance and training costs are expensed as incurred. Such costs are amortized when placed in service, on a straight-line basis over the estimated useful life of the related asset, generally estimated to be three years. Costs incurred for enhancements that were expected to result in additional features or functionality are capitalized and expensed over the estimated useful life of the enhancements, generally three years. Product development costs include salaries and benefits for employees, including engineering and technical teams who are responsible for building new products, as well as maintaining and improving existing products. Product development costs that do not meet the criteria for capitalization are expensed as incurred.</w:t>
      </w:r>
    </w:p>
    <w:p>
      <w:pPr>
        <w:spacing w:after="0" w:line="8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2023, 2022, and 2021, the Company amortized $7.7 million, $5.1 million and $0.1 million, respectively, of internal-use software development costs to subscription and support cost of revenues. For the years ended December 31, 2023 and 2022, the Company capitalized $13.1 million and $15.5 million of costs related to the development of software applications. At December 31, 2023 and 2022, the accumulated amortization of capitalized internal-use software development costs was $12.9 million and $5.1 million, respectively.</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Goodwill consists of the excess of the purchase price over the fair value of identifiable net assets of businesses acquired. Goodwill is reviewed for impairment each year using a qualitative or quantitative process that is performed at least annually as of December 31 or whenever events or circumstances indicate a likely reduction in the fair value of a reporting unit below its carrying amount such as changes in the business climate, poor indicators of operating performance or the sale or disposition of a significant portion of a reporting unit.</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testing for goodwill impairment, the Company may elect to utilize a qualitative assessment to evaluate whether it is more likely than not that the fair value of a reporting unit exceeds the carrying value. If it is determined that it is unlikely that the carrying value exceeds the fair value, the Company is not required to complete the quantitative goodwill impairment evaluation. If it is determined that the carrying value may exceed fair value when considering qualitative factors, a quantitative goodwill impairment evaluation is performed. When performing the quantitative evaluation, if the carrying value of the reporting unit exceeds its fair value, an impairment loss equal to the difference will be recorded.</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Intangible assets are recorded at cost less accumulated amortization. Intangible assets are reviewed for impairment whenever events or changes in circumstances may affect the recoverability of the net assets. Such reviews may include an analysis of current results and take into consideration the undiscounted value of projected operating cash flows. The Company recorded an impairment charge of $6.1 million for the year ended December 31, 2023 related to intangible assets associated with certain product offerings that were sunset in December 2023, which is included in asset impairment charges in the consolidated statements of operations. No intangible asset impairment charges have been recorded for the years ended December 31, 2022 and 2021. See Note 9, “Goodwill and Intangible Assets,” to these consolidated financial statements for additional information.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3" w:name="page184"/>
    <w:bookmarkEnd w:id="1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Company’s operating leases consist of office space located primarily in the United States. The Company does not have any leases classified as financing leases. The Company classifies arrangements meeting the definition of a lease as operating or financing leases, and leases are recorded on the consolidated balance sheets as both a right-of-use asset (“ROU”) and lease 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Operating lease assets and liabilities are recognized at commencement date based on the present value of lease payments over the lease term. For finance leases, interest on the lease liability and the amortization of the right-of-use asset results in front-loaded expense over the lease term. Variable lease expenses are recorded when incurred.</w:t>
      </w:r>
    </w:p>
    <w:p>
      <w:pPr>
        <w:spacing w:after="0" w:line="8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calculating the right-of-use asset and lease liability, the Company elects to combine lease and non-lease components for all classes of assets. The Company excludes short-term leases having initial terms of 12 months or less as an accounting policy election, and instead recognizes rent expense on a straight-line basis over the lease term.</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 assesses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fair values of ROU assets were estimated using an income approach based on management’s forecast of future cash flows expected to be derived based on the sublease market rent. First, the Company tests the asset group for recoverability by 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the Company performs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the Company relies on a discounted cash flow approach using market participant assumptions of the expected cash flows.</w:t>
      </w:r>
    </w:p>
    <w:p>
      <w:pPr>
        <w:spacing w:after="0" w:line="8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2023, the Company recognized $10.9 million of ROU asset impairment charges driven by updated sublease assumptions for our second headquarter space in Los Angeles, California, pursuant to an operating lease that expires in 2031. In addition, the Company recognized ROU asset impairment charges of $0.6 million and $2.4 million during the years ended December 31, 2022 and 2021, respectively, related to certain ROU assets reducing the carrying values of the lease assets to their estimated fair values based on the discounted cash flows of estimated net rental income for the office spaces subleased.</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impairment charges of ROU assets are included in asset impairment charges in the consolidated statements of operations. See Note 4, “Leases,” to these consolidated financial statements for additional information.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Company assumed 12,499,993 Public Warrants originally issued in the initial public offering of Silver Spike (the “Public Warrants”) and 7,000,000 Private Placement Warrants that were originally issued in a private placement by Silver Spike (the “Private Placement Warrants” and together with the Public Warrants, the “Warrants”) upon the Closing, all of which were issued in connection with Silver Spike’s initial public offering and entitle the holder to purchase one share of Class A Common Stock at an exercise price of at $11.50 per share. As of December 31, 2023, 12,499,973 Public Warrants and 7,000,000 Private Placement Warrants remained outstanding. 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cashless exercised. The Private Placement Warrants are transferable, assignable or salable in certain limited exceptions. The Private Placement Warrants are exercisable for cash or on a cashless basis, at the holder’s option, and are non-redeemable so long as they are held by the initial purchasers or their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4" w:name="page185"/>
    <w:bookmarkEnd w:id="1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permitted transferees. If the Private Placement Warrants are held by someone other than the initial purchasers or their permitted transferees, the Private Placement Warrants will cease to be Private Placement Warrants, and become Public Warrants and be redeemable by the Company and exercisable by such holders on the same basis as the other Public Warrants.</w:t>
      </w:r>
    </w:p>
    <w:p>
      <w:pPr>
        <w:spacing w:after="0" w:line="7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 xml:space="preserve">The Company evaluated the Warrants under ASC 815-40 </w:t>
      </w:r>
      <w:r>
        <w:rPr>
          <w:rFonts w:ascii="Times New Roman" w:cs="Times New Roman" w:eastAsia="Times New Roman" w:hAnsi="Times New Roman"/>
          <w:sz w:val="18"/>
          <w:szCs w:val="18"/>
          <w:i w:val="1"/>
          <w:iCs w:val="1"/>
          <w:color w:val="auto"/>
        </w:rPr>
        <w:t>- Derivatives and Hedging - Contracts in Entity’s 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and concluded they do not meet the criteria to be classified in stockholders’ equity. Specifically, the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Warrants may be settled in cash upon the occurrence of a tender offer or exchange that involves 50% or more of our Class A equity holders. Because not all of the voting stockholders need to participate in such tender offer or exchange to trigger the potential cash settlement and the Company does not control the occurrence of such an event, the Company concluded that the Warrants do not meet the conditions to be classified in equity. Since the Warrants meet the definition of a derivative under ASC 815, the Company recorded these warrants as liabilities on the consolidated balance sheets at fair value, with subsequent changes in their respective fair values recognized in change in fair value of warrant liabilities within the consolidated statements of operations at each reporting date. See Note 12, “Warrant Liability,” to these consolidated financial statements for additional information.</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the Company entered into a tax receivable agreement (the “TRA”) with continuing members that provides for a payment to the continuing Class A Unit holders of 85% of the amount of tax benefits, if any, that the Company realizes, or is deemed to realize, as a result of redemptions or exchanges of Units (as defined below). In connection with such potential future tax benefits resulting from the Business Combination, and such subsequent redemptions and exchanges, the Company has established a deferred tax asset for the additional tax basis and a corresponding TRA liability of 85% of the expected benefit. The remaining 15% is recorded to additional paid-in capital.</w:t>
      </w:r>
    </w:p>
    <w:p>
      <w:pPr>
        <w:spacing w:after="0" w:line="8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TRA liability is subject to remeasurement each reporting period, due to various factors, including changes in federal and state income tax rates and assessment of the probability of payment. As these remeasurement changes are subsequent to the initial measurement, the impact of the remeasurement is recorded in other income (expense), net on the consolidated statements of operations. See Note 16, “Income Taxes,” to these consolidated financial statements for additional information.</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 xml:space="preserve">The Company recognizes revenue when the fundamental criteria for revenue recognition are met.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recognizes revenue by applying the following five steps: the contract with the customer is identified; the 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 The Company excludes sales taxes and other similar taxes from the measurement of the transaction price. The transaction price reflects the amount the Company expects to receive for such goods, net of discounts. Discounts issued are primarily related to the Company’s WM Teal program, which stands for “Together for Equity Access and Legislation”, through which the Company provides discounts including free software, advertising, educational materials and training programs to applicants or licenses under social equity licensing programs. The Company provides a discount to license holders who were awarded special status by the state based on owner qualifications. These are typically given in new markets to add more diversity and inclusion in the cannabis space. A license’s social equity status is validated by the Company on the applicable state’s website. For the years ended December 31, 2023, 2022 and 2021, total discounts issued was $4.2 million, $4.5 million and $2.6 million, respectively. For clients that pay in advance for listing and other services, the Company records deferred revenue and recognizes revenue over the applicable subscription term.</w:t>
      </w:r>
    </w:p>
    <w:p>
      <w:pPr>
        <w:spacing w:after="0" w:line="8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Company’s revenues are derived primarily from monthly subscriptions to Weedmaps for Business, featured and deal listings and other WM Ad solutions. The Company’s Weedmaps for Business subscriptions generally have one-month terms that automatically renew unless notice of cancellation is provided in advance. Featured and deal listings and other WM Ad solutions are offered as add-on products to the Weedmaps for Business subscriptions. Featured and deal listings provide customers with premium placement ad solutions and discount and promotion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5" w:name="page186"/>
    <w:bookmarkEnd w:id="1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pricing tools. Other WM Ad solutions include banner ads and promotion tiles on the Company’s marketplace ad as well as other advertising products on and off the Weedmaps marketplace. The Company has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services are provided.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w:t>
      </w:r>
    </w:p>
    <w:p>
      <w:pPr>
        <w:spacing w:after="0" w:line="84"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Revenue for service contracts that the Company assesses are not probable of collection is not recognized until the contract is completed and payment is received.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See Note 3, “Revenue from Contracts with Customers,” to these consolidated financial statements for additional information.</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(Exclusive of Depreciation and Amortization)</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Company’s cost of revenue primarily consists of web hosting, internet service costs, credit card processing costs and other third party services.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expenses the cost of advertising in the period incurred. Advertising expense totaled $11.8 million, $14.4 million and $17.7 million for the years ended December 31, 2023, 2022 and 2021, respectively, and are included in sales and marketing expense in the accompanying consolidated statements of operations.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measures fair value of employee stock-based compensation awards on the date of grant and allocates the related expense over the requisite service period. The fair value of restricted stock units and performance-based restricted stock units is equal to the market price of the Company’s common stock on the date of grant. The fair value of the Class P Units is measured using the Black-Scholes-Merton valuation model. The expected volatility is based on the historical volatility and implied volatilities for comparable companies, the expected life of the award is based on the simplified method. When awards include a performance condition that impacts the vesting of the award, the Company records compensation cost when it becomes probable that the performance condition will be met and the expense will be attributed over the performance period. See Note 14, “Stock-based Compensation,” to these consolidated financial statements for additional information.</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Company’s 401(k) saving plan is a tax-qualified deferred compensation arrangement under Section 401(k) of the Internal Revenue Code. Under the Company’s 401(k) plan, participating U.S. employees may contribute a portion of their eligible earnings, subject to applicable U.S. Internal Revenue Service and plan limits. The Company matches up to 3.5% of the employee’s eligible compensation, vested upon two years of service. For the years ended December 31, 2023, 2022 and 2021, the Company recognized $2.3 million, $2.4 million and $1.5 million, respectively, of expenses related to employer contributions for the Company’s 401(k) plan.</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Other income (expense), net consists primarily of gain resulting from the discharge of a holdback obligation related to a prior acquisition, change in fair value of warrant liability and TRA liability remeasurement, political contributions, interest income, interest expense, financing fees and other tax related expenses. The Company recorded a non-cash gain of $3.7 million during the year ended December 31, 2023 resulting from the discharge of a holdback obligation related to a prior acquisition.</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accounts for income taxes pursuant to the asset and liability method which requires the recognition of deferred income tax assets and liabilities related to the expected future tax consequences arising from temporary differences between the carrying amounts and tax bases of assets and liabilities based on enacted statutory tax rates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6" w:name="page187"/>
    <w:bookmarkEnd w:id="1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applicable to the periods in which the temporary differences are expected to reverse. Any effects of changes in income tax rates or laws are included in income tax expense in the period of enactment. A valuation allowance is recognized if the Company determines it is more-likely-than-not that all or a portion of a deferred tax asset will not be recognized. In making such determination, the Company considers all available evidence, including scheduled reversals of deferred tax liabilities, projected future taxable income, tax planning strategies and recent and expected future results of operation. See Note 16, “Income Taxes,” to these consolidated financial statements for additional information.</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Company has identified one business segment which management also considers to be one reporting unit as the Company’s Executive Chair and Interim Chief Financial Officer allocate resources, assess performance and manage the businesses as one segment.</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Basic income (loss) per share is computed by dividing net income (loss) attributable to WM Technology, Inc. by the weighted-average number of shares of Class A Common Stock outstanding during the period.</w:t>
      </w:r>
    </w:p>
    <w:p>
      <w:pPr>
        <w:spacing w:after="0" w:line="5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Diluted income (loss) per share is computed giving effect to all potential weighted-average dilutive shares for the period. The dilutive effect of outstanding awards or financial instruments, if any, is reflected in diluted income (loss) per share by application of the treasury stock method or if-converted method, as applicable. Potential common shares are excluded from the calculation of diluted EPS in the event they are antidilutive or subject to performance conditions for which the necessary conditions have not been satisfied by the end of the reporting period. See Note 15, “Earnings Per Share,” for additional information on dilutive securities.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Company’s financial instruments are potentially subject to concentrations of credit risk. The Company places its cash with high quality credit institutions and the Company’s cash balances at these institutions typically exceed the Federal Deposit Insurance Corporation limit. As of December 31, 2023, the Company had cash balances that exceeded the deposit insurance limit with five financial institutions. As of December 31, 2022, the Company had cash balances that exceeded the deposit insurance limit with four financial institutions. Management believes that the risk of loss is not significant and has not experienced any losses in such accounts.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Company reviewed the accounting pronouncements that became effective for fiscal year 2023 and determined that either they were not applicable, or they did not have a material impact on the consolidated financial statements.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issued Accounting Standards Update (“ASU”) 2023-09, </w:t>
      </w:r>
      <w:r>
        <w:rPr>
          <w:rFonts w:ascii="Times New Roman" w:cs="Times New Roman" w:eastAsia="Times New Roman" w:hAnsi="Times New Roman"/>
          <w:sz w:val="18"/>
          <w:szCs w:val="18"/>
          <w:i w:val="1"/>
          <w:iCs w:val="1"/>
          <w:color w:val="auto"/>
        </w:rPr>
        <w:t>“Income Taxes - Improvements to Income Tax Disclosures”</w:t>
      </w:r>
      <w:r>
        <w:rPr>
          <w:rFonts w:ascii="Times New Roman" w:cs="Times New Roman" w:eastAsia="Times New Roman" w:hAnsi="Times New Roman"/>
          <w:sz w:val="18"/>
          <w:szCs w:val="18"/>
          <w:color w:val="auto"/>
        </w:rPr>
        <w:t xml:space="preserve"> requiring enhancements and further transparency to certain income tax disclosures, most notably the tax rate reconciliation and income taxes paid. This ASU is effective for fiscal years beginning after December 15, 2024 on a prospective basis and retrospective application is permitted. We are currently evaluating the impact of the adoption of this standard.</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 also reviewed other recently issued accounting pronouncements to be adopted in future periods and determined that they are not expected to have a material impact on the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7" w:name="page188"/>
    <w:bookmarkEnd w:id="1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640" w:hanging="348"/>
        <w:spacing w:after="0"/>
        <w:tabs>
          <w:tab w:leader="none" w:pos="64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9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sells a monthly subscription offering to retailer and brand clients as well as upsell and add-on offerings to licensed clients. The Company’s current Weedmaps for Business monthly subscription package includes:</w:t>
      </w:r>
    </w:p>
    <w:p>
      <w:pPr>
        <w:spacing w:after="0" w:line="68" w:lineRule="exact"/>
        <w:rPr>
          <w:sz w:val="20"/>
          <w:szCs w:val="20"/>
          <w:color w:val="auto"/>
        </w:rPr>
      </w:pPr>
    </w:p>
    <w:p>
      <w:pPr>
        <w:jc w:val="both"/>
        <w:ind w:left="1000" w:right="299" w:hanging="348"/>
        <w:spacing w:after="0" w:line="261" w:lineRule="auto"/>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Listings: A listing page with product menu for a retailer or brand on the Weedmaps marketplace, enabling the Company’s clients to be discovered by the marketplace’s users. This also allows clients to disclose their license information, hours of operation, contact information, discount policies and other information that may be required under applicable state law.</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Orders: Software for retailers to receive pickup and delivery orders directly from a Weedmaps listing and connect orders directly with a client’s POS system (for certain POS systems). The marketplace also enables brands to route customer purchase interest to a retailer that carries the brand’s product. After a dispensary receives the order request from the consumer, the dispensary and the consumer can continue to communicate, adjust items in the request, and handle any stock issues, prior to and while the dispensary processes and fulfills the order.</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59" w:lineRule="auto"/>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Store: Customizable order and menus embed which allows retailers and brands to import their Weedmaps listing menu or product reservation functionality to their own white-labeled WM Store website or separately owned website. WM Store facilitates customer pickup or delivery orders and enables retailers to reach more customers by bringing the breadth of the Weedmaps marketplace to a client’s own website.</w:t>
      </w:r>
    </w:p>
    <w:p>
      <w:pPr>
        <w:spacing w:after="0" w:line="294"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Connectors: A centralized integration platform, including API tools, for easier menu management, automatic inventory updates and streamlined order fulfillment to enable clients to save time and more easily integrate into the WM Technology ecosystem and integrate with disparate software systems. This creates business efficiencies and improves the accuracy and timeliness of information across Weedmaps, creating a more positive experience for consumers and businesses.</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Insights: An insights and analytics platform for clients leveraging data across the Weedmaps marketplace and software solutions. WM Insights provides data and analytics on user engagement and traffic trends to a client’s listing page. For Brand clients, WM Insights allows them to monitor their brand and product rankings, identify retailers not carrying products and keep track of top brands and products by category and state.</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Company also offers other add-on products for additional fees, including:</w:t>
      </w:r>
    </w:p>
    <w:p>
      <w:pPr>
        <w:spacing w:after="0" w:line="117" w:lineRule="exact"/>
        <w:rPr>
          <w:sz w:val="20"/>
          <w:szCs w:val="20"/>
          <w:color w:val="auto"/>
        </w:rPr>
      </w:pPr>
    </w:p>
    <w:p>
      <w:pPr>
        <w:ind w:left="1000" w:right="319" w:hanging="348"/>
        <w:spacing w:after="0" w:line="282" w:lineRule="auto"/>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Ads: Ad solutions on the Weedmaps marketplace designed for clients to amplify their businesses and reach more highly engaged cannabis consumers throughout their buying journey including:</w:t>
      </w:r>
    </w:p>
    <w:p>
      <w:pPr>
        <w:sectPr>
          <w:pgSz w:w="11900" w:h="16838" w:orient="portrait"/>
          <w:cols w:equalWidth="0" w:num="1">
            <w:col w:w="9019"/>
          </w:cols>
          <w:pgMar w:left="1440" w:top="114" w:right="1440" w:bottom="1440" w:gutter="0" w:footer="0" w:header="0"/>
        </w:sectPr>
      </w:pPr>
    </w:p>
    <w:p>
      <w:pPr>
        <w:spacing w:after="0" w:line="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both"/>
        <w:ind w:right="319"/>
        <w:spacing w:after="0" w:line="266" w:lineRule="auto"/>
        <w:rPr>
          <w:sz w:val="20"/>
          <w:szCs w:val="20"/>
          <w:color w:val="auto"/>
        </w:rPr>
      </w:pPr>
      <w:r>
        <w:rPr>
          <w:rFonts w:ascii="Times New Roman" w:cs="Times New Roman" w:eastAsia="Times New Roman" w:hAnsi="Times New Roman"/>
          <w:sz w:val="18"/>
          <w:szCs w:val="18"/>
          <w:color w:val="auto"/>
        </w:rPr>
        <w:t>Featured Listings: Premium placement ad solutions on high visibility locations on the Weedmaps marketplace (desktop and mobile) to amplify our clients’ businesses and maximize clients’ listings and deal presence.</w:t>
      </w:r>
    </w:p>
    <w:p>
      <w:pPr>
        <w:spacing w:after="0" w:line="68" w:lineRule="exact"/>
        <w:rPr>
          <w:sz w:val="20"/>
          <w:szCs w:val="20"/>
          <w:color w:val="auto"/>
        </w:rPr>
      </w:pPr>
    </w:p>
    <w:p>
      <w:pPr>
        <w:jc w:val="both"/>
        <w:ind w:right="319"/>
        <w:spacing w:after="0" w:line="266" w:lineRule="auto"/>
        <w:rPr>
          <w:sz w:val="20"/>
          <w:szCs w:val="20"/>
          <w:color w:val="auto"/>
        </w:rPr>
      </w:pPr>
      <w:r>
        <w:rPr>
          <w:rFonts w:ascii="Times New Roman" w:cs="Times New Roman" w:eastAsia="Times New Roman" w:hAnsi="Times New Roman"/>
          <w:sz w:val="18"/>
          <w:szCs w:val="18"/>
          <w:color w:val="auto"/>
        </w:rPr>
        <w:t>WM Deals: Discount and promotion pricing tools that let clients strategically reach prospective price-conscious cannabis customers with deals or discounts to drive conversion. In some jurisdictions, it is required by applicable law to showcase discounts.</w:t>
      </w:r>
    </w:p>
    <w:p>
      <w:pPr>
        <w:spacing w:after="0" w:line="68" w:lineRule="exact"/>
        <w:rPr>
          <w:sz w:val="20"/>
          <w:szCs w:val="20"/>
          <w:color w:val="auto"/>
        </w:rPr>
      </w:pPr>
    </w:p>
    <w:p>
      <w:pPr>
        <w:jc w:val="both"/>
        <w:ind w:right="319"/>
        <w:spacing w:after="0" w:line="266" w:lineRule="auto"/>
        <w:rPr>
          <w:sz w:val="20"/>
          <w:szCs w:val="20"/>
          <w:color w:val="auto"/>
        </w:rPr>
      </w:pPr>
      <w:r>
        <w:rPr>
          <w:rFonts w:ascii="Times New Roman" w:cs="Times New Roman" w:eastAsia="Times New Roman" w:hAnsi="Times New Roman"/>
          <w:sz w:val="18"/>
          <w:szCs w:val="18"/>
          <w:color w:val="auto"/>
        </w:rPr>
        <w:t>Other WM Ads solutions: Includes banner ads and promotion tiles on our marketplace as well as banner ads that can be tied to keyword searches. These products provide clients with targeted ad solutions in highly visible slots across our digital surfaces.</w:t>
      </w:r>
    </w:p>
    <w:p>
      <w:pPr>
        <w:spacing w:after="0" w:line="68" w:lineRule="exact"/>
        <w:rPr>
          <w:sz w:val="20"/>
          <w:szCs w:val="20"/>
          <w:color w:val="auto"/>
        </w:rPr>
      </w:pPr>
    </w:p>
    <w:p>
      <w:pPr>
        <w:sectPr>
          <w:pgSz w:w="11900" w:h="16838" w:orient="portrait"/>
          <w:cols w:equalWidth="0" w:num="2">
            <w:col w:w="1080" w:space="280"/>
            <w:col w:w="7659"/>
          </w:cols>
          <w:pgMar w:left="1440" w:top="114" w:right="1440" w:bottom="1440" w:gutter="0" w:footer="0" w:header="0"/>
          <w:type w:val="continuous"/>
        </w:sectPr>
      </w:pPr>
    </w:p>
    <w:p>
      <w:pPr>
        <w:jc w:val="both"/>
        <w:ind w:left="1000" w:right="319" w:hanging="348"/>
        <w:spacing w:after="0" w:line="266" w:lineRule="auto"/>
        <w:tabs>
          <w:tab w:leader="none" w:pos="10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Dispatch: Compliant, automated and optimized logistics and fulfillment last-mile delivery software (including driver apps) that helps clients manage their delivery fleets. This product streamlines the delivery experience from in-store to front-door.</w:t>
      </w:r>
    </w:p>
    <w:p>
      <w:pPr>
        <w:spacing w:after="0" w:line="6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 December 2023, we completed the sunset of WM AdSuite, WM CRM and WM Screens product offerings as we continue to focus our efforts on other Weedmaps for Business products that support the Weedmaps marketplace and improve the eCommerce experience for our clients and users.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188" w:name="page189"/>
    <w:bookmarkEnd w:id="18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summarizes the Company’s disaggregated net revenue information (in thousands):</w:t>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180" w:type="dxa"/>
            <w:vAlign w:val="bottom"/>
          </w:tcPr>
          <w:p>
            <w:pPr>
              <w:spacing w:after="0"/>
              <w:rPr>
                <w:sz w:val="16"/>
                <w:szCs w:val="16"/>
                <w:color w:val="auto"/>
              </w:rPr>
            </w:pPr>
          </w:p>
        </w:tc>
        <w:tc>
          <w:tcPr>
            <w:tcW w:w="224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0"/>
        </w:trPr>
        <w:tc>
          <w:tcPr>
            <w:tcW w:w="61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7"/>
        </w:trPr>
        <w:tc>
          <w:tcPr>
            <w:tcW w:w="6180" w:type="dxa"/>
            <w:vAlign w:val="bottom"/>
          </w:tcPr>
          <w:p>
            <w:pPr>
              <w:spacing w:after="0"/>
              <w:rPr>
                <w:sz w:val="19"/>
                <w:szCs w:val="19"/>
                <w:color w:val="auto"/>
              </w:rPr>
            </w:pPr>
          </w:p>
        </w:tc>
        <w:tc>
          <w:tcPr>
            <w:tcW w:w="6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9"/>
                <w:szCs w:val="19"/>
                <w:color w:val="auto"/>
              </w:rPr>
            </w:pPr>
          </w:p>
        </w:tc>
        <w:tc>
          <w:tcPr>
            <w:tcW w:w="6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9"/>
                <w:szCs w:val="19"/>
                <w:color w:val="auto"/>
              </w:rPr>
            </w:pPr>
          </w:p>
        </w:tc>
      </w:tr>
      <w:tr>
        <w:trPr>
          <w:trHeight w:val="50"/>
        </w:trPr>
        <w:tc>
          <w:tcPr>
            <w:tcW w:w="61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6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Featured and deal listings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$126,546</w:t>
            </w: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$149,621</w:t>
            </w:r>
          </w:p>
        </w:tc>
        <w:tc>
          <w:tcPr>
            <w:tcW w:w="10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$138,480</w:t>
            </w:r>
          </w:p>
        </w:tc>
      </w:tr>
      <w:tr>
        <w:trPr>
          <w:trHeight w:val="54"/>
        </w:trPr>
        <w:tc>
          <w:tcPr>
            <w:tcW w:w="6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Weedmaps for Business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46,730</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50,662</w:t>
            </w: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42,611</w:t>
            </w:r>
          </w:p>
        </w:tc>
      </w:tr>
      <w:tr>
        <w:trPr>
          <w:trHeight w:val="61"/>
        </w:trPr>
        <w:tc>
          <w:tcPr>
            <w:tcW w:w="61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84"/>
        </w:trPr>
        <w:tc>
          <w:tcPr>
            <w:tcW w:w="6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173,276</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200,283</w:t>
            </w:r>
          </w:p>
        </w:tc>
        <w:tc>
          <w:tcPr>
            <w:tcW w:w="10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181,091</w:t>
            </w:r>
          </w:p>
        </w:tc>
      </w:tr>
      <w:tr>
        <w:trPr>
          <w:trHeight w:val="54"/>
        </w:trPr>
        <w:tc>
          <w:tcPr>
            <w:tcW w:w="6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6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ad solutions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14,717</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15,248</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12,055</w:t>
            </w:r>
          </w:p>
        </w:tc>
      </w:tr>
      <w:tr>
        <w:trPr>
          <w:trHeight w:val="61"/>
        </w:trPr>
        <w:tc>
          <w:tcPr>
            <w:tcW w:w="61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r>
      <w:tr>
        <w:trPr>
          <w:trHeight w:val="311"/>
        </w:trPr>
        <w:tc>
          <w:tcPr>
            <w:tcW w:w="6180" w:type="dxa"/>
            <w:vAlign w:val="bottom"/>
          </w:tcPr>
          <w:p>
            <w:pPr>
              <w:ind w:left="360"/>
              <w:spacing w:after="0" w:line="310" w:lineRule="exact"/>
              <w:rPr>
                <w:sz w:val="20"/>
                <w:szCs w:val="20"/>
                <w:color w:val="auto"/>
              </w:rPr>
            </w:pPr>
            <w:r>
              <w:rPr>
                <w:rFonts w:ascii="Times New Roman" w:cs="Times New Roman" w:eastAsia="Times New Roman" w:hAnsi="Times New Roman"/>
                <w:sz w:val="18"/>
                <w:szCs w:val="18"/>
                <w:color w:val="auto"/>
              </w:rPr>
              <w:t>Total net revenues</w:t>
            </w:r>
            <w:r>
              <w:rPr>
                <w:rFonts w:ascii="Times New Roman" w:cs="Times New Roman" w:eastAsia="Times New Roman" w:hAnsi="Times New Roman"/>
                <w:sz w:val="29"/>
                <w:szCs w:val="29"/>
                <w:color w:val="auto"/>
                <w:vertAlign w:val="superscript"/>
              </w:rPr>
              <w:t>1</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187,993</w:t>
            </w:r>
          </w:p>
        </w:tc>
        <w:tc>
          <w:tcPr>
            <w:tcW w:w="120" w:type="dxa"/>
            <w:vAlign w:val="bottom"/>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215,531</w:t>
            </w:r>
          </w:p>
        </w:tc>
        <w:tc>
          <w:tcPr>
            <w:tcW w:w="100" w:type="dxa"/>
            <w:vAlign w:val="bottom"/>
          </w:tcPr>
          <w:p>
            <w:pPr>
              <w:spacing w:after="0"/>
              <w:rPr>
                <w:sz w:val="24"/>
                <w:szCs w:val="24"/>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193,146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-1276985</wp:posOffset>
            </wp:positionV>
            <wp:extent cx="6858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-1276985</wp:posOffset>
            </wp:positionV>
            <wp:extent cx="6858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-1276985</wp:posOffset>
            </wp:positionV>
            <wp:extent cx="3429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128905</wp:posOffset>
            </wp:positionV>
            <wp:extent cx="82296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27" w:lineRule="exact"/>
        <w:rPr>
          <w:sz w:val="20"/>
          <w:szCs w:val="20"/>
          <w:color w:val="auto"/>
        </w:rPr>
      </w:pPr>
    </w:p>
    <w:p>
      <w:pPr>
        <w:jc w:val="both"/>
        <w:ind w:left="640" w:right="299" w:hanging="348"/>
        <w:spacing w:after="0" w:line="241" w:lineRule="auto"/>
        <w:tabs>
          <w:tab w:leader="none" w:pos="64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revenues are net of discounts of $4.2 million in 2023, $4.5 million in 2022 and $2.6 million in 2021, primary related to the Company’s Teal program. See “Revenue Recognition” of Note 2, “Summary of Significant Accounting Policies” to the consolidated financial statements for further discussion.</w:t>
      </w:r>
    </w:p>
    <w:p>
      <w:pPr>
        <w:spacing w:after="0" w:line="316"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Deferred revenue primarily consists of billings or payments received in advance of revenue recognition from subscription offerings, as described above, and is recognized as the revenue recognition criteria are met. The deferred revenue balance as of December 31, 2023 was $5.9 million and is expected to be fully recognized within the next twelve months. The deferred revenue balances as of December 31, 2022 and 2021 were $6.3 million and $8.1 million, respectively, and were fully recognized in the first quarter of the following fiscal year. The Company generally invoices customers and receives payment on an upfront basis and payments do not include significant financing components or variable consideration and there are generally no rights of return or refunds after the subscription period has passed.</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revenue has been generated in the United States for the years ended December 31, 2023, 2022 and 2021. For the year ended December 31, 2023, approximately 52% of the Company’s net revenue originated in California compared with 56% for the year ended December 31, 2022 and 61% for the year ended December 31, 2021.</w:t>
      </w:r>
    </w:p>
    <w:p>
      <w:pPr>
        <w:spacing w:after="0" w:line="176" w:lineRule="exact"/>
        <w:rPr>
          <w:sz w:val="20"/>
          <w:szCs w:val="20"/>
          <w:color w:val="auto"/>
        </w:rPr>
      </w:pPr>
    </w:p>
    <w:p>
      <w:pPr>
        <w:ind w:left="640" w:hanging="348"/>
        <w:spacing w:after="0"/>
        <w:tabs>
          <w:tab w:leader="none" w:pos="64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Effective January 1, 2021, the Company adopted ASC 842 -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using the modified retrospective transition approach for recording ROU assets and operating lease liabilities for its operating leases. The Company’s operating leases consist of office space located primarily in the United States. The Company does not have any leases classified as financing leases.</w:t>
      </w:r>
    </w:p>
    <w:p>
      <w:pPr>
        <w:spacing w:after="0" w:line="7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components of lease related costs, net for the years ended December 31, 2023, 2022 and 2021 are as follows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2120" w:type="dxa"/>
            <w:vAlign w:val="bottom"/>
            <w:gridSpan w:val="8"/>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0"/>
        </w:trPr>
        <w:tc>
          <w:tcPr>
            <w:tcW w:w="630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7"/>
        </w:trPr>
        <w:tc>
          <w:tcPr>
            <w:tcW w:w="6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9"/>
                <w:szCs w:val="19"/>
                <w:color w:val="auto"/>
              </w:rPr>
            </w:pPr>
          </w:p>
        </w:tc>
      </w:tr>
      <w:tr>
        <w:trPr>
          <w:trHeight w:val="50"/>
        </w:trPr>
        <w:tc>
          <w:tcPr>
            <w:tcW w:w="63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$7,208</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2"/>
              </w:rPr>
              <w:t>$7,537</w:t>
            </w: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$ 9,229</w:t>
            </w:r>
          </w:p>
        </w:tc>
      </w:tr>
      <w:tr>
        <w:trPr>
          <w:trHeight w:val="25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2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20" w:type="dxa"/>
            <w:vAlign w:val="bottom"/>
          </w:tcPr>
          <w:p>
            <w:pPr>
              <w:spacing w:after="0"/>
              <w:rPr>
                <w:sz w:val="22"/>
                <w:szCs w:val="22"/>
                <w:color w:val="auto"/>
              </w:rPr>
            </w:pPr>
          </w:p>
        </w:tc>
      </w:tr>
      <w:tr>
        <w:trPr>
          <w:trHeight w:val="61"/>
        </w:trPr>
        <w:tc>
          <w:tcPr>
            <w:tcW w:w="630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317"/>
        </w:trPr>
        <w:tc>
          <w:tcPr>
            <w:tcW w:w="6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cost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8,757</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9,062</w:t>
            </w:r>
          </w:p>
        </w:tc>
        <w:tc>
          <w:tcPr>
            <w:tcW w:w="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11,446</w:t>
            </w:r>
          </w:p>
        </w:tc>
      </w:tr>
      <w:tr>
        <w:trPr>
          <w:trHeight w:val="257"/>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r>
      <w:tr>
        <w:trPr>
          <w:trHeight w:val="61"/>
        </w:trPr>
        <w:tc>
          <w:tcPr>
            <w:tcW w:w="630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cost, net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8,846</w:t>
            </w: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9,074</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11,534</w:t>
            </w:r>
          </w:p>
        </w:tc>
      </w:tr>
      <w:tr>
        <w:trPr>
          <w:trHeight w:val="48"/>
        </w:trPr>
        <w:tc>
          <w:tcPr>
            <w:tcW w:w="63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-1079500</wp:posOffset>
            </wp:positionV>
            <wp:extent cx="15430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-1079500</wp:posOffset>
            </wp:positionV>
            <wp:extent cx="17145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-1079500</wp:posOffset>
            </wp:positionV>
            <wp:extent cx="8572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Net rent expense is included in general and administrative expense in the accompanying consolidated statements of operations. During the years ended December 31, 2023, 2022 and 2021, the Company made cash payments of $9.9 million, $9.6 million and $8.2 million respectively, on its operating leases, all of which were included in cash flows from operating activities within the consolidated statements of cash flows.</w:t>
      </w:r>
    </w:p>
    <w:p>
      <w:pPr>
        <w:spacing w:after="0" w:line="7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Sublease rental income is recognized as a reduction to the related lease expense on a straight-line basis over the sublease term. For the years ended December 31, 2023, 2022 and 2021, the Company recorded rent income related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014" w:gutter="0" w:footer="0" w:header="0"/>
        </w:sectPr>
      </w:pPr>
    </w:p>
    <w:bookmarkStart w:id="189" w:name="page190"/>
    <w:bookmarkEnd w:id="18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to a sublease of $2.2 million, $1.9 million and $0.2 million, respectively. In 2022, the Company entered into a sublease agreement with an affiliate of the Chief Executive Officer. The sublease commenced on June 1, 2022, and the term is for the remainder of the original lease and will expire on February 28, 2025, or sooner in the event that the original lease is cancelled prior to the expiration date. See Note 17, “Related Party Transactions,” to these consolidated financial statements for additional information.</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As of December 31, 2023, future minimum payments for the next five years and thereafter are as follows (in thousands):</w:t>
      </w:r>
    </w:p>
    <w:p>
      <w:pPr>
        <w:spacing w:after="0" w:line="39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90"/>
        </w:trPr>
        <w:tc>
          <w:tcPr>
            <w:tcW w:w="7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50"/>
        </w:trPr>
        <w:tc>
          <w:tcPr>
            <w:tcW w:w="77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7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Years Ending December 31,</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9,405</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7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13,016</w:t>
            </w: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r>
      <w:tr>
        <w:trPr>
          <w:trHeight w:val="61"/>
        </w:trPr>
        <w:tc>
          <w:tcPr>
            <w:tcW w:w="7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r>
      <w:tr>
        <w:trPr>
          <w:trHeight w:val="284"/>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
        </w:trPr>
        <w:tc>
          <w:tcPr>
            <w:tcW w:w="772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7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(11,923)</w:t>
            </w:r>
          </w:p>
        </w:tc>
      </w:tr>
      <w:tr>
        <w:trPr>
          <w:trHeight w:val="75"/>
        </w:trPr>
        <w:tc>
          <w:tcPr>
            <w:tcW w:w="77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83"/>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33,043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-2091055</wp:posOffset>
            </wp:positionV>
            <wp:extent cx="13716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As of December 31, 2023 and 2022, the Company’s operating leases had a weighted average remaining lease term of 6.3 years and 6.8 years and a weighted-average discount rate of 9.8%. The Company’s lease agreements do not provide an implicit rate and as a result, the Company used an estimated incremental borrowing rate, which was derived from third-party information available at the time the Company adopted ASC 842 in determining the present value of future lease payments. The rate used is for a secured borrowing of a similar term as the right of use asset. The fair value was estimated using an income approach based on management’s forecast of future cash flows expected to be derived based on current sublease market rent.</w:t>
      </w:r>
    </w:p>
    <w:p>
      <w:pPr>
        <w:spacing w:after="0" w:line="8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 assesses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fair values of ROU assets were estimated using an income approach based on management’s forecast of future cash flows expected to be derived based on the sublease market rent. First, the Company tests the asset group for recoverability by 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the Company performs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the Company relies on a discounted cash flow approach using market participant assumptions of the expected cash flows.</w:t>
      </w:r>
    </w:p>
    <w:p>
      <w:pPr>
        <w:spacing w:after="0" w:line="8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2023, the Company recognized a ROU asset impairment charge of $10.9 million and impairment of related leasehold improvements of $1.3 million, driven by updated sublease assumptions for our second headquarter space in Los Angeles, California, pursuant to an operating lease that expires in 2031. In addition, the Company recognized ROU asset impairment charges of $0.6 million and $2.4 million during the years ended December 31, 2022 and 2021, respectively, related to certain ROU assets reducing the carrying values of the lease assets to their estimated fair values based on the discounted cash flows of estimated net rental income for the office spaces subleased. The ROU impairment charges are included in asset impairment charges in the consolidated statements of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0" w:name="page191"/>
    <w:bookmarkEnd w:id="19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640" w:hanging="348"/>
        <w:spacing w:after="0"/>
        <w:tabs>
          <w:tab w:leader="none" w:pos="64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has minimum outstanding purchase obligations of $7.1 million in 2024, $7.3 million in 2025 and $7.5 million in 2026, due under software license agreements, of which the majority relates to the Company’s three-year AWS Enterprise agreement.</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Employee Termination Costs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Company approved plans to reduce the workforce based on cost-reduction initiatives intended to reduce operating expenses and sharpen the Company’s focus on key growth priorities. The Company also incurred termination costs related to the departures of the Company’s former executives.</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provides a roll forward of employee termination costs:</w:t>
      </w:r>
    </w:p>
    <w:p>
      <w:pPr>
        <w:spacing w:after="0" w:line="200" w:lineRule="exact"/>
        <w:rPr>
          <w:sz w:val="20"/>
          <w:szCs w:val="20"/>
          <w:color w:val="auto"/>
        </w:rPr>
      </w:pPr>
    </w:p>
    <w:p>
      <w:pPr>
        <w:spacing w:after="0" w:line="24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11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Employee</w:t>
            </w:r>
          </w:p>
        </w:tc>
      </w:tr>
      <w:tr>
        <w:trPr>
          <w:trHeight w:val="190"/>
        </w:trPr>
        <w:tc>
          <w:tcPr>
            <w:tcW w:w="7280" w:type="dxa"/>
            <w:vAlign w:val="bottom"/>
          </w:tcPr>
          <w:p>
            <w:pPr>
              <w:spacing w:after="0"/>
              <w:rPr>
                <w:sz w:val="16"/>
                <w:szCs w:val="16"/>
                <w:color w:val="auto"/>
              </w:rPr>
            </w:pPr>
          </w:p>
        </w:tc>
        <w:tc>
          <w:tcPr>
            <w:tcW w:w="11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Costs</w:t>
            </w:r>
          </w:p>
        </w:tc>
      </w:tr>
      <w:tr>
        <w:trPr>
          <w:trHeight w:val="50"/>
        </w:trPr>
        <w:tc>
          <w:tcPr>
            <w:tcW w:w="72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r>
      <w:tr>
        <w:trPr>
          <w:trHeight w:val="311"/>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Unpaid employee termination costs, January 1, 2022</w:t>
            </w: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Employee termination costs - severance and other cash costs</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54"/>
        </w:trPr>
        <w:tc>
          <w:tcPr>
            <w:tcW w:w="7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18"/>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paid</w:t>
            </w:r>
          </w:p>
        </w:tc>
        <w:tc>
          <w:tcPr>
            <w:tcW w:w="3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240" w:type="dxa"/>
            <w:vAlign w:val="bottom"/>
            <w:tcBorders>
              <w:bottom w:val="single" w:sz="8" w:color="CCEEFF"/>
            </w:tcBorders>
            <w:shd w:val="clear" w:color="auto" w:fill="CCEEFF"/>
          </w:tcPr>
          <w:p>
            <w:pPr>
              <w:spacing w:after="0"/>
              <w:rPr>
                <w:sz w:val="24"/>
                <w:szCs w:val="24"/>
                <w:color w:val="auto"/>
              </w:rPr>
            </w:pPr>
          </w:p>
        </w:tc>
      </w:tr>
      <w:tr>
        <w:trPr>
          <w:trHeight w:val="28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Unpaid employee termination costs, December 31, 2022</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3,646</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54"/>
        </w:trPr>
        <w:tc>
          <w:tcPr>
            <w:tcW w:w="7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04"/>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termination costs - severance and other cash costs</w:t>
            </w:r>
          </w:p>
        </w:tc>
        <w:tc>
          <w:tcPr>
            <w:tcW w:w="3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r>
      <w:tr>
        <w:trPr>
          <w:trHeight w:val="27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Total paid</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240" w:type="dxa"/>
            <w:vAlign w:val="bottom"/>
          </w:tcPr>
          <w:p>
            <w:pPr>
              <w:spacing w:after="0"/>
              <w:rPr>
                <w:sz w:val="23"/>
                <w:szCs w:val="23"/>
                <w:color w:val="auto"/>
              </w:rPr>
            </w:pPr>
          </w:p>
        </w:tc>
      </w:tr>
      <w:tr>
        <w:trPr>
          <w:trHeight w:val="48"/>
        </w:trPr>
        <w:tc>
          <w:tcPr>
            <w:tcW w:w="7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r>
      <w:tr>
        <w:trPr>
          <w:trHeight w:val="283"/>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Unpaid employee termination costs, December 31, 2023</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34"/>
        </w:trPr>
        <w:tc>
          <w:tcPr>
            <w:tcW w:w="72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44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4694555</wp:posOffset>
            </wp:positionH>
            <wp:positionV relativeFrom="paragraph">
              <wp:posOffset>-1490980</wp:posOffset>
            </wp:positionV>
            <wp:extent cx="12001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313"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Employee termination costs are included in general and administrative expenses on the consolidated statements of operations.</w:t>
      </w:r>
    </w:p>
    <w:p>
      <w:pPr>
        <w:spacing w:after="0" w:line="158" w:lineRule="exact"/>
        <w:rPr>
          <w:sz w:val="20"/>
          <w:szCs w:val="20"/>
          <w:color w:val="auto"/>
        </w:rPr>
      </w:pPr>
    </w:p>
    <w:p>
      <w:pPr>
        <w:ind w:left="640" w:hanging="348"/>
        <w:spacing w:after="0"/>
        <w:tabs>
          <w:tab w:leader="none" w:pos="64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9" w:lineRule="exact"/>
        <w:rPr>
          <w:sz w:val="20"/>
          <w:szCs w:val="20"/>
          <w:color w:val="auto"/>
        </w:rPr>
      </w:pPr>
    </w:p>
    <w:p>
      <w:pPr>
        <w:jc w:val="both"/>
        <w:ind w:left="300" w:right="299"/>
        <w:spacing w:after="0" w:line="284" w:lineRule="auto"/>
        <w:rPr>
          <w:sz w:val="20"/>
          <w:szCs w:val="20"/>
          <w:color w:val="auto"/>
        </w:rPr>
      </w:pPr>
      <w:r>
        <w:rPr>
          <w:rFonts w:ascii="Times New Roman" w:cs="Times New Roman" w:eastAsia="Times New Roman" w:hAnsi="Times New Roman"/>
          <w:sz w:val="18"/>
          <w:szCs w:val="18"/>
          <w:color w:val="auto"/>
        </w:rPr>
        <w:t xml:space="preserve">The Company follows the guidance in ASC 820 -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its financial assets and liabilities that are re-measured and reported at fair value at each reporting period.</w:t>
      </w:r>
    </w:p>
    <w:p>
      <w:pPr>
        <w:spacing w:after="0" w:line="5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84" w:lineRule="exact"/>
        <w:rPr>
          <w:sz w:val="20"/>
          <w:szCs w:val="20"/>
          <w:color w:val="auto"/>
        </w:rPr>
      </w:pPr>
    </w:p>
    <w:p>
      <w:pPr>
        <w:jc w:val="both"/>
        <w:ind w:left="1000" w:right="299" w:hanging="348"/>
        <w:spacing w:after="0" w:line="266" w:lineRule="auto"/>
        <w:tabs>
          <w:tab w:leader="none" w:pos="1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6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based on the Company assessment of the assumptions that market participants would use in pricing the asset or liability.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1" w:name="page192"/>
    <w:bookmarkEnd w:id="191"/>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liabilities that are measured at fair value on a recurring basis at December 31, 2023 and 2022, and indicates the fair value hierarchy of the valuation inputs the Company utilized to determine such fair value (in thousands):</w:t>
      </w:r>
    </w:p>
    <w:p>
      <w:pPr>
        <w:spacing w:after="0" w:line="200" w:lineRule="exact"/>
        <w:rPr>
          <w:sz w:val="20"/>
          <w:szCs w:val="20"/>
          <w:color w:val="auto"/>
        </w:rPr>
      </w:pPr>
    </w:p>
    <w:p>
      <w:pPr>
        <w:spacing w:after="0" w:line="226"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37"/>
        </w:trPr>
        <w:tc>
          <w:tcPr>
            <w:tcW w:w="53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r>
      <w:tr>
        <w:trPr>
          <w:trHeight w:val="284"/>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r>
      <w:tr>
        <w:trPr>
          <w:trHeight w:val="257"/>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 – Public Warrants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$1,250</w:t>
            </w:r>
          </w:p>
        </w:tc>
      </w:tr>
      <w:tr>
        <w:trPr>
          <w:trHeight w:val="41"/>
        </w:trPr>
        <w:tc>
          <w:tcPr>
            <w:tcW w:w="5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r>
      <w:tr>
        <w:trPr>
          <w:trHeight w:val="290"/>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 Private Placement Warrants</w:t>
            </w:r>
          </w:p>
        </w:tc>
        <w:tc>
          <w:tcPr>
            <w:tcW w:w="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4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340" w:type="dxa"/>
            <w:vAlign w:val="bottom"/>
            <w:tcBorders>
              <w:bottom w:val="single" w:sz="8" w:color="CCEEFF"/>
            </w:tcBorders>
            <w:shd w:val="clear" w:color="auto" w:fill="CCEEFF"/>
          </w:tcPr>
          <w:p>
            <w:pPr>
              <w:spacing w:after="0"/>
              <w:rPr>
                <w:sz w:val="24"/>
                <w:szCs w:val="24"/>
                <w:color w:val="auto"/>
              </w:rPr>
            </w:pPr>
          </w:p>
        </w:tc>
      </w:tr>
      <w:tr>
        <w:trPr>
          <w:trHeight w:val="257"/>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warrant liability</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585</w:t>
            </w: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2,090</w:t>
            </w:r>
          </w:p>
        </w:tc>
      </w:tr>
      <w:tr>
        <w:trPr>
          <w:trHeight w:val="20"/>
        </w:trPr>
        <w:tc>
          <w:tcPr>
            <w:tcW w:w="5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5320665</wp:posOffset>
            </wp:positionH>
            <wp:positionV relativeFrom="paragraph">
              <wp:posOffset>-762000</wp:posOffset>
            </wp:positionV>
            <wp:extent cx="10287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4463415</wp:posOffset>
            </wp:positionH>
            <wp:positionV relativeFrom="paragraph">
              <wp:posOffset>-762000</wp:posOffset>
            </wp:positionV>
            <wp:extent cx="11176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4180840</wp:posOffset>
            </wp:positionH>
            <wp:positionV relativeFrom="paragraph">
              <wp:posOffset>-762000</wp:posOffset>
            </wp:positionV>
            <wp:extent cx="6032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tables summarize the changes in the fair value of the warrant liabilities (in thousands):</w:t>
      </w:r>
    </w:p>
    <w:p>
      <w:pPr>
        <w:spacing w:after="0" w:line="200" w:lineRule="exact"/>
        <w:rPr>
          <w:sz w:val="20"/>
          <w:szCs w:val="20"/>
          <w:color w:val="auto"/>
        </w:rPr>
      </w:pPr>
    </w:p>
    <w:p>
      <w:pPr>
        <w:spacing w:after="0" w:line="262"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5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40" w:type="dxa"/>
            <w:vAlign w:val="bottom"/>
            <w:gridSpan w:val="21"/>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0" w:type="dxa"/>
            <w:vAlign w:val="bottom"/>
          </w:tcPr>
          <w:p>
            <w:pPr>
              <w:spacing w:after="0"/>
              <w:rPr>
                <w:sz w:val="1"/>
                <w:szCs w:val="1"/>
                <w:color w:val="auto"/>
              </w:rPr>
            </w:pPr>
          </w:p>
        </w:tc>
      </w:tr>
      <w:tr>
        <w:trPr>
          <w:trHeight w:val="37"/>
        </w:trPr>
        <w:tc>
          <w:tcPr>
            <w:tcW w:w="5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Private</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7"/>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37"/>
        </w:trPr>
        <w:tc>
          <w:tcPr>
            <w:tcW w:w="576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720" w:type="dxa"/>
            <w:vAlign w:val="bottom"/>
            <w:tcBorders>
              <w:bottom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$1,250</w:t>
            </w:r>
          </w:p>
        </w:tc>
        <w:tc>
          <w:tcPr>
            <w:tcW w:w="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$ 840</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$ 2,090</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7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90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(630)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(1,505)</w:t>
            </w:r>
          </w:p>
        </w:tc>
        <w:tc>
          <w:tcPr>
            <w:tcW w:w="0" w:type="dxa"/>
            <w:vAlign w:val="bottom"/>
          </w:tcPr>
          <w:p>
            <w:pPr>
              <w:spacing w:after="0"/>
              <w:rPr>
                <w:sz w:val="1"/>
                <w:szCs w:val="1"/>
                <w:color w:val="auto"/>
              </w:rPr>
            </w:pPr>
          </w:p>
        </w:tc>
      </w:tr>
      <w:tr>
        <w:trPr>
          <w:trHeight w:val="34"/>
        </w:trPr>
        <w:tc>
          <w:tcPr>
            <w:tcW w:w="5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end of period</w:t>
            </w:r>
          </w:p>
        </w:tc>
        <w:tc>
          <w:tcPr>
            <w:tcW w:w="7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375</w:t>
            </w:r>
          </w:p>
        </w:tc>
        <w:tc>
          <w:tcPr>
            <w:tcW w:w="40" w:type="dxa"/>
            <w:vAlign w:val="bottom"/>
            <w:shd w:val="clear" w:color="auto" w:fill="CCEEFF"/>
          </w:tcPr>
          <w:p>
            <w:pPr>
              <w:spacing w:after="0"/>
              <w:rPr>
                <w:sz w:val="23"/>
                <w:szCs w:val="23"/>
                <w:color w:val="auto"/>
              </w:rPr>
            </w:pPr>
          </w:p>
        </w:tc>
        <w:tc>
          <w:tcPr>
            <w:tcW w:w="8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$ 210</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4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57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42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98"/>
        </w:trPr>
        <w:tc>
          <w:tcPr>
            <w:tcW w:w="5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40" w:type="dxa"/>
            <w:vAlign w:val="bottom"/>
            <w:gridSpan w:val="21"/>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0" w:type="dxa"/>
            <w:vAlign w:val="bottom"/>
          </w:tcPr>
          <w:p>
            <w:pPr>
              <w:spacing w:after="0"/>
              <w:rPr>
                <w:sz w:val="1"/>
                <w:szCs w:val="1"/>
                <w:color w:val="auto"/>
              </w:rPr>
            </w:pPr>
          </w:p>
        </w:tc>
      </w:tr>
      <w:tr>
        <w:trPr>
          <w:trHeight w:val="37"/>
        </w:trPr>
        <w:tc>
          <w:tcPr>
            <w:tcW w:w="57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Private</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9"/>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760" w:type="dxa"/>
            <w:vAlign w:val="bottom"/>
          </w:tcPr>
          <w:p>
            <w:pPr>
              <w:spacing w:after="0"/>
              <w:rPr>
                <w:sz w:val="16"/>
                <w:szCs w:val="16"/>
                <w:color w:val="auto"/>
              </w:rPr>
            </w:pPr>
          </w:p>
        </w:tc>
        <w:tc>
          <w:tcPr>
            <w:tcW w:w="760" w:type="dxa"/>
            <w:vAlign w:val="bottom"/>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8"/>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220" w:type="dxa"/>
            <w:vAlign w:val="bottom"/>
          </w:tcPr>
          <w:p>
            <w:pPr>
              <w:spacing w:after="0"/>
              <w:rPr>
                <w:sz w:val="16"/>
                <w:szCs w:val="16"/>
                <w:color w:val="auto"/>
              </w:rPr>
            </w:pPr>
          </w:p>
        </w:tc>
        <w:tc>
          <w:tcPr>
            <w:tcW w:w="720" w:type="dxa"/>
            <w:vAlign w:val="bottom"/>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37"/>
        </w:trPr>
        <w:tc>
          <w:tcPr>
            <w:tcW w:w="57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gridSpan w:val="2"/>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$ 16,750</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7"/>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$10,710</w:t>
            </w: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$ 27,460</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(15,500)</w:t>
            </w:r>
          </w:p>
        </w:tc>
        <w:tc>
          <w:tcPr>
            <w:tcW w:w="40" w:type="dxa"/>
            <w:vAlign w:val="bottom"/>
          </w:tcPr>
          <w:p>
            <w:pPr>
              <w:spacing w:after="0"/>
              <w:rPr>
                <w:sz w:val="22"/>
                <w:szCs w:val="22"/>
                <w:color w:val="auto"/>
              </w:rPr>
            </w:pPr>
          </w:p>
        </w:tc>
        <w:tc>
          <w:tcPr>
            <w:tcW w:w="90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(9,870)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(25,370)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576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end of period</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1,250</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840</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2,090</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57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44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42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5569585</wp:posOffset>
            </wp:positionH>
            <wp:positionV relativeFrom="paragraph">
              <wp:posOffset>-1979295</wp:posOffset>
            </wp:positionV>
            <wp:extent cx="18859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4969510</wp:posOffset>
            </wp:positionH>
            <wp:positionV relativeFrom="paragraph">
              <wp:posOffset>-1979295</wp:posOffset>
            </wp:positionV>
            <wp:extent cx="18859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4489450</wp:posOffset>
            </wp:positionH>
            <wp:positionV relativeFrom="paragraph">
              <wp:posOffset>-1979295</wp:posOffset>
            </wp:positionV>
            <wp:extent cx="939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5543550</wp:posOffset>
            </wp:positionH>
            <wp:positionV relativeFrom="paragraph">
              <wp:posOffset>-607695</wp:posOffset>
            </wp:positionV>
            <wp:extent cx="17145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4943475</wp:posOffset>
            </wp:positionH>
            <wp:positionV relativeFrom="paragraph">
              <wp:posOffset>-607695</wp:posOffset>
            </wp:positionV>
            <wp:extent cx="17145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4403725</wp:posOffset>
            </wp:positionH>
            <wp:positionV relativeFrom="paragraph">
              <wp:posOffset>-607695</wp:posOffset>
            </wp:positionV>
            <wp:extent cx="8572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21" w:lineRule="exact"/>
        <w:rPr>
          <w:sz w:val="20"/>
          <w:szCs w:val="20"/>
          <w:color w:val="auto"/>
        </w:rPr>
      </w:pPr>
    </w:p>
    <w:p>
      <w:pPr>
        <w:jc w:val="both"/>
        <w:ind w:left="1300" w:right="1320"/>
        <w:spacing w:after="0" w:line="282" w:lineRule="auto"/>
        <w:rPr>
          <w:sz w:val="20"/>
          <w:szCs w:val="20"/>
          <w:color w:val="auto"/>
        </w:rPr>
      </w:pPr>
      <w:r>
        <w:rPr>
          <w:rFonts w:ascii="Times New Roman" w:cs="Times New Roman" w:eastAsia="Times New Roman" w:hAnsi="Times New Roman"/>
          <w:sz w:val="18"/>
          <w:szCs w:val="18"/>
          <w:color w:val="auto"/>
        </w:rPr>
        <w:t>The Company determined the fair value of the Public Warrants, based on the publicly listed trading price of such warrants as of the valuation date. Accordingly, the Public Warrants are classified as Level 1 financial instruments.</w:t>
      </w:r>
    </w:p>
    <w:p>
      <w:pPr>
        <w:spacing w:after="0" w:line="2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21" w:lineRule="exact"/>
        <w:rPr>
          <w:sz w:val="20"/>
          <w:szCs w:val="20"/>
          <w:color w:val="auto"/>
        </w:rPr>
      </w:pPr>
    </w:p>
    <w:p>
      <w:pPr>
        <w:jc w:val="both"/>
        <w:ind w:left="1300" w:right="1300"/>
        <w:spacing w:after="0" w:line="253" w:lineRule="auto"/>
        <w:rPr>
          <w:sz w:val="20"/>
          <w:szCs w:val="20"/>
          <w:color w:val="auto"/>
        </w:rPr>
      </w:pPr>
      <w:r>
        <w:rPr>
          <w:rFonts w:ascii="Times New Roman" w:cs="Times New Roman" w:eastAsia="Times New Roman" w:hAnsi="Times New Roman"/>
          <w:sz w:val="18"/>
          <w:szCs w:val="18"/>
          <w:color w:val="auto"/>
        </w:rPr>
        <w:t>The estimated fair value of the Private Placement Warrants is determined with Level 3 inputs using the Black-Scholes model. The significant inputs and assumptions in this method are the stock price, exercise price, volatility, risk-free rate and term or maturity. The underlying stock price input is the closing stock price as of each valuation date and the exercise price is the price as stated in the warrant agreement. The volatility input was determined using the historical volatility of comparable publicly traded companies which operate in a similar industry or compete directly against the Company. Volatility for each comparable publicly traded company is calculated as the annualized standard deviation of daily continuously compounded returns. The Black-Scholes analysis is performed in a risk-neutral framework, which requires a risk-free rate assumption based upon constant-maturity treasury yields, which are interpolated based on the remaining term of the Private Placement Warrants as of each valuation date. The term/maturity is the duration between each valuation date and the maturity date, which is five years following the date the Business Combination closed, or June 16, 2026.</w:t>
      </w:r>
    </w:p>
    <w:p>
      <w:pPr>
        <w:spacing w:after="0" w:line="84" w:lineRule="exact"/>
        <w:rPr>
          <w:sz w:val="20"/>
          <w:szCs w:val="20"/>
          <w:color w:val="auto"/>
        </w:rPr>
      </w:pPr>
    </w:p>
    <w:p>
      <w:pPr>
        <w:jc w:val="both"/>
        <w:ind w:left="1300" w:right="1320"/>
        <w:spacing w:after="0" w:line="282" w:lineRule="auto"/>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inputs at their measurement dates: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300" w:type="dxa"/>
            <w:vAlign w:val="bottom"/>
          </w:tcPr>
          <w:p>
            <w:pPr>
              <w:spacing w:after="0"/>
              <w:rPr>
                <w:sz w:val="16"/>
                <w:szCs w:val="16"/>
                <w:color w:val="auto"/>
              </w:rPr>
            </w:pPr>
          </w:p>
        </w:tc>
      </w:tr>
      <w:tr>
        <w:trPr>
          <w:trHeight w:val="37"/>
        </w:trPr>
        <w:tc>
          <w:tcPr>
            <w:tcW w:w="1300" w:type="dxa"/>
            <w:vAlign w:val="bottom"/>
          </w:tcPr>
          <w:p>
            <w:pPr>
              <w:spacing w:after="0"/>
              <w:rPr>
                <w:sz w:val="3"/>
                <w:szCs w:val="3"/>
                <w:color w:val="auto"/>
              </w:rPr>
            </w:pPr>
          </w:p>
        </w:tc>
        <w:tc>
          <w:tcPr>
            <w:tcW w:w="2800" w:type="dxa"/>
            <w:vAlign w:val="bottom"/>
            <w:tcBorders>
              <w:bottom w:val="single" w:sz="8" w:color="CCEEFF"/>
            </w:tcBorders>
          </w:tcPr>
          <w:p>
            <w:pPr>
              <w:spacing w:after="0"/>
              <w:rPr>
                <w:sz w:val="3"/>
                <w:szCs w:val="3"/>
                <w:color w:val="auto"/>
              </w:rPr>
            </w:pPr>
          </w:p>
        </w:tc>
        <w:tc>
          <w:tcPr>
            <w:tcW w:w="308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300" w:type="dxa"/>
            <w:vAlign w:val="bottom"/>
          </w:tcPr>
          <w:p>
            <w:pPr>
              <w:spacing w:after="0"/>
              <w:rPr>
                <w:sz w:val="3"/>
                <w:szCs w:val="3"/>
                <w:color w:val="auto"/>
              </w:rPr>
            </w:pPr>
          </w:p>
        </w:tc>
      </w:tr>
      <w:tr>
        <w:trPr>
          <w:trHeight w:val="284"/>
        </w:trPr>
        <w:tc>
          <w:tcPr>
            <w:tcW w:w="1300" w:type="dxa"/>
            <w:vAlign w:val="bottom"/>
          </w:tcPr>
          <w:p>
            <w:pPr>
              <w:spacing w:after="0"/>
              <w:rPr>
                <w:sz w:val="24"/>
                <w:szCs w:val="24"/>
                <w:color w:val="auto"/>
              </w:rPr>
            </w:pPr>
          </w:p>
        </w:tc>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4260" w:type="dxa"/>
            <w:vAlign w:val="bottom"/>
            <w:tcBorders>
              <w:bottom w:val="single" w:sz="8" w:color="CCEEFF"/>
            </w:tcBorders>
            <w:gridSpan w:val="3"/>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$11.50</w:t>
            </w:r>
          </w:p>
        </w:tc>
        <w:tc>
          <w:tcPr>
            <w:tcW w:w="1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$11.50</w:t>
            </w: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0.72</w:t>
            </w:r>
          </w:p>
        </w:tc>
        <w:tc>
          <w:tcPr>
            <w:tcW w:w="1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1.01</w:t>
            </w:r>
          </w:p>
        </w:tc>
        <w:tc>
          <w:tcPr>
            <w:tcW w:w="1300" w:type="dxa"/>
            <w:vAlign w:val="bottom"/>
          </w:tcPr>
          <w:p>
            <w:pPr>
              <w:spacing w:after="0"/>
              <w:rPr>
                <w:sz w:val="22"/>
                <w:szCs w:val="22"/>
                <w:color w:val="auto"/>
              </w:rPr>
            </w:pPr>
          </w:p>
        </w:tc>
      </w:tr>
      <w:tr>
        <w:trPr>
          <w:trHeight w:val="40"/>
        </w:trPr>
        <w:tc>
          <w:tcPr>
            <w:tcW w:w="1300" w:type="dxa"/>
            <w:vAlign w:val="bottom"/>
          </w:tcPr>
          <w:p>
            <w:pPr>
              <w:spacing w:after="0"/>
              <w:rPr>
                <w:sz w:val="3"/>
                <w:szCs w:val="3"/>
                <w:color w:val="auto"/>
              </w:rPr>
            </w:pPr>
          </w:p>
        </w:tc>
        <w:tc>
          <w:tcPr>
            <w:tcW w:w="2800" w:type="dxa"/>
            <w:vAlign w:val="bottom"/>
          </w:tcPr>
          <w:p>
            <w:pPr>
              <w:spacing w:after="0"/>
              <w:rPr>
                <w:sz w:val="3"/>
                <w:szCs w:val="3"/>
                <w:color w:val="auto"/>
              </w:rPr>
            </w:pPr>
          </w:p>
        </w:tc>
        <w:tc>
          <w:tcPr>
            <w:tcW w:w="30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1300" w:type="dxa"/>
            <w:vAlign w:val="bottom"/>
          </w:tcPr>
          <w:p>
            <w:pPr>
              <w:spacing w:after="0"/>
              <w:rPr>
                <w:sz w:val="24"/>
                <w:szCs w:val="24"/>
                <w:color w:val="auto"/>
              </w:rPr>
            </w:pPr>
          </w:p>
        </w:tc>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30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87.5%</w:t>
            </w:r>
          </w:p>
        </w:tc>
        <w:tc>
          <w:tcPr>
            <w:tcW w:w="16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82.3%</w:t>
            </w: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Term (years)</w:t>
            </w:r>
          </w:p>
        </w:tc>
        <w:tc>
          <w:tcPr>
            <w:tcW w:w="30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2.46</w:t>
            </w: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3.46</w:t>
            </w:r>
          </w:p>
        </w:tc>
        <w:tc>
          <w:tcPr>
            <w:tcW w:w="1300" w:type="dxa"/>
            <w:vAlign w:val="bottom"/>
          </w:tcPr>
          <w:p>
            <w:pPr>
              <w:spacing w:after="0"/>
              <w:rPr>
                <w:sz w:val="22"/>
                <w:szCs w:val="22"/>
                <w:color w:val="auto"/>
              </w:rPr>
            </w:pPr>
          </w:p>
        </w:tc>
      </w:tr>
      <w:tr>
        <w:trPr>
          <w:trHeight w:val="41"/>
        </w:trPr>
        <w:tc>
          <w:tcPr>
            <w:tcW w:w="1300" w:type="dxa"/>
            <w:vAlign w:val="bottom"/>
          </w:tcPr>
          <w:p>
            <w:pPr>
              <w:spacing w:after="0"/>
              <w:rPr>
                <w:sz w:val="3"/>
                <w:szCs w:val="3"/>
                <w:color w:val="auto"/>
              </w:rPr>
            </w:pPr>
          </w:p>
        </w:tc>
        <w:tc>
          <w:tcPr>
            <w:tcW w:w="2800" w:type="dxa"/>
            <w:vAlign w:val="bottom"/>
          </w:tcPr>
          <w:p>
            <w:pPr>
              <w:spacing w:after="0"/>
              <w:rPr>
                <w:sz w:val="3"/>
                <w:szCs w:val="3"/>
                <w:color w:val="auto"/>
              </w:rPr>
            </w:pPr>
          </w:p>
        </w:tc>
        <w:tc>
          <w:tcPr>
            <w:tcW w:w="30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91"/>
        </w:trPr>
        <w:tc>
          <w:tcPr>
            <w:tcW w:w="1300" w:type="dxa"/>
            <w:vAlign w:val="bottom"/>
          </w:tcPr>
          <w:p>
            <w:pPr>
              <w:spacing w:after="0"/>
              <w:rPr>
                <w:sz w:val="24"/>
                <w:szCs w:val="24"/>
                <w:color w:val="auto"/>
              </w:rPr>
            </w:pPr>
          </w:p>
        </w:tc>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0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4.13%</w:t>
            </w:r>
          </w:p>
        </w:tc>
        <w:tc>
          <w:tcPr>
            <w:tcW w:w="16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4.17%</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560" w:type="dxa"/>
            <w:vAlign w:val="bottom"/>
            <w:gridSpan w:val="2"/>
          </w:tcPr>
          <w:p>
            <w:pPr>
              <w:jc w:val="right"/>
              <w:ind w:right="1908"/>
              <w:spacing w:after="0"/>
              <w:rPr>
                <w:sz w:val="20"/>
                <w:szCs w:val="20"/>
                <w:color w:val="auto"/>
              </w:rPr>
            </w:pPr>
            <w:r>
              <w:rPr>
                <w:rFonts w:ascii="Times New Roman" w:cs="Times New Roman" w:eastAsia="Times New Roman" w:hAnsi="Times New Roman"/>
                <w:sz w:val="18"/>
                <w:szCs w:val="18"/>
                <w:color w:val="auto"/>
              </w:rPr>
              <w:t>F-53</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5303520</wp:posOffset>
            </wp:positionH>
            <wp:positionV relativeFrom="paragraph">
              <wp:posOffset>-1379220</wp:posOffset>
            </wp:positionV>
            <wp:extent cx="10287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-1379220</wp:posOffset>
            </wp:positionV>
            <wp:extent cx="5143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020"/>
          </w:cols>
          <w:pgMar w:left="440" w:top="263" w:right="439" w:bottom="501" w:gutter="0" w:footer="0" w:header="0"/>
        </w:sectPr>
      </w:pPr>
    </w:p>
    <w:bookmarkStart w:id="192" w:name="page193"/>
    <w:bookmarkEnd w:id="19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Significant changes in the volatility would result in a significant lower or higher fair value measurement, respectively.</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There were no transfers in or out of Level 3 from other levels in the fair value hierarchy.</w:t>
      </w:r>
    </w:p>
    <w:p>
      <w:pPr>
        <w:spacing w:after="0" w:line="221" w:lineRule="exact"/>
        <w:rPr>
          <w:sz w:val="20"/>
          <w:szCs w:val="20"/>
          <w:color w:val="auto"/>
        </w:rPr>
      </w:pPr>
    </w:p>
    <w:p>
      <w:pPr>
        <w:ind w:left="640" w:hanging="348"/>
        <w:spacing w:after="0"/>
        <w:tabs>
          <w:tab w:leader="none" w:pos="64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the Business Combination was accounted for as a reverse recapitalization in accordance with GAAP (the “Reverse Recapitalization”). Under this method of accounting, Silver Spike was treated as the acquired company and Legacy WMH was treated as the acquirer for financial statement reporting purposes.</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Accordingly, for accounting purposes, the Reverse Recapitalization was treated as the equivalent of Legacy WMH issuing stock for the net assets of Silver Spike, accompanied by a recapitalization.</w:t>
      </w:r>
    </w:p>
    <w:p>
      <w:pPr>
        <w:spacing w:after="0" w:line="5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Legacy WMH was determined to be the accounting acquirer based on evaluation of the following facts and circumstances:</w:t>
      </w:r>
    </w:p>
    <w:p>
      <w:pPr>
        <w:spacing w:after="0" w:line="54" w:lineRule="exact"/>
        <w:rPr>
          <w:sz w:val="20"/>
          <w:szCs w:val="20"/>
          <w:color w:val="auto"/>
        </w:rPr>
      </w:pPr>
    </w:p>
    <w:p>
      <w:pPr>
        <w:ind w:left="1000" w:right="319" w:hanging="348"/>
        <w:spacing w:after="0" w:line="282" w:lineRule="auto"/>
        <w:tabs>
          <w:tab w:leader="none" w:pos="10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WMH Class A Unit holders, through their ownership of the Class V Common Stock, had the greatest voting interest in the Company with over 50% of the voting interest;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WMH selected the majority of the new board of directors of the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WMH senior management was the senior management of the Company;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WMH was the larger entity based on historical operating activity and had the larger employee base.</w:t>
      </w:r>
    </w:p>
    <w:p>
      <w:pPr>
        <w:spacing w:after="0" w:line="54"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Thus, the financial statements included in this annual report reflect (i) the historical operating results of Legacy WMH prior to the Business Combination; (ii) the combined results of the WMH LLC and Silver Spike following the Business Combination; and (iii) the acquired assets and liabilities of Silver Spike stated at historical cost, with no goodwill or other intangible assets recorded.</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connection with the Closing, the following occurred:</w:t>
      </w:r>
    </w:p>
    <w:p>
      <w:pPr>
        <w:spacing w:after="0" w:line="117" w:lineRule="exact"/>
        <w:rPr>
          <w:sz w:val="20"/>
          <w:szCs w:val="20"/>
          <w:color w:val="auto"/>
        </w:rPr>
      </w:pPr>
    </w:p>
    <w:p>
      <w:pPr>
        <w:ind w:left="1000" w:right="319" w:hanging="348"/>
        <w:spacing w:after="0" w:line="282" w:lineRule="auto"/>
        <w:tabs>
          <w:tab w:leader="none" w:pos="10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Silver Spike was domesticated and continues as a Delaware corporation, changing its name to “WM Technology, Inc.”</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consummated the sale of 32,500,000 shares of Class A Common Stock for a purchase price of $10.00 per share (together, the “PIPE Financing”) pursuant to certain subscription agreements dated as of December 10, 2020, for an aggregate price of $325.0 million.</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contributed approximately $80.3 million of cash to WMH LLC, representing (a) the net amount held in the Company’s trust account following the redemption of 10,012 shares of Class A Common Stock originally sold in the Silver Spike’s initial public offering, less (b) cash consideration of $455.2 million paid to Legacy WMH Class A equity holders, plus (c) $325.0 million in aggregate proceeds from the PIPE Financing, less (d) the aggregate amount of transaction expenses incurred by the parties to the Business Combination Agreement.</w:t>
      </w:r>
    </w:p>
    <w:p>
      <w:pPr>
        <w:spacing w:after="0" w:line="7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transferred $455.2 million to the Legacy WMH equity holders as cash consideration.</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Legacy WMH equity holders retained an aggregate of 65,502,347 Class A Units and 25,896,042 Class P Units.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65,502,347 shares of Class V Common Stock to Class A Unit holders, representing the same number of Class A Units retained by the Legacy WMH equity holders.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89" w:lineRule="auto"/>
        <w:tabs>
          <w:tab w:leader="none" w:pos="100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the Holder Representative and the Class A Unit holders entered into the TRA, pursuant to which WM Technology, Inc. will pay to WMH LLC Class A equity holders 85% of the net income tax savings that WM Technology, Inc. actually realizes as a result of increases in the tax basis of WMH LLC’s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3" w:name="page194"/>
    <w:bookmarkEnd w:id="19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assets as a result of the exchange of Units for cash in the Business Combination and future exchanges of the Class A Units for shares of Class A Common Stock or cash pursuant to the Exchange Agreement, and certain other tax attributes of WMH LLC and tax benefits related to the TRA, including tax benefits attributable to payments under the TRA.</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Concurrently with the closing of the Business Combination, the Unit holders entered into the Exchange Agreement. The terms of the Exchange Agreement, among other things, provide the Unit holders (or certain permitted transferees thereof) with the right from time to time at and after 180 days following the Business Combination to exchange their vested Paired Interests (as defined in Note 14, “Stock-based Compensation” to our consolidated financial statements included herein),for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8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elements of the Business Combination to the consolidated statements of cash flows and the consolidated statements of equity for the year ended December 31, 2021 (in thousands):</w:t>
      </w:r>
    </w:p>
    <w:p>
      <w:pPr>
        <w:spacing w:after="0" w:line="39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Business</w:t>
            </w:r>
          </w:p>
        </w:tc>
      </w:tr>
      <w:tr>
        <w:trPr>
          <w:trHeight w:val="190"/>
        </w:trPr>
        <w:tc>
          <w:tcPr>
            <w:tcW w:w="7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Combination</w:t>
            </w:r>
          </w:p>
        </w:tc>
      </w:tr>
      <w:tr>
        <w:trPr>
          <w:trHeight w:val="37"/>
        </w:trPr>
        <w:tc>
          <w:tcPr>
            <w:tcW w:w="72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71"/>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Silver Spike trust and cash, net of redemptions</w:t>
            </w:r>
          </w:p>
        </w:tc>
        <w:tc>
          <w:tcPr>
            <w:tcW w:w="1120" w:type="dxa"/>
            <w:vAlign w:val="bottom"/>
            <w:tcBorders>
              <w:bottom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$ 254,203</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Cash - PIPE Financing</w:t>
            </w:r>
          </w:p>
        </w:tc>
        <w:tc>
          <w:tcPr>
            <w:tcW w:w="11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325,000</w:t>
            </w:r>
          </w:p>
        </w:tc>
        <w:tc>
          <w:tcPr>
            <w:tcW w:w="20" w:type="dxa"/>
            <w:vAlign w:val="bottom"/>
          </w:tcPr>
          <w:p>
            <w:pPr>
              <w:spacing w:after="0"/>
              <w:rPr>
                <w:sz w:val="21"/>
                <w:szCs w:val="21"/>
                <w:color w:val="auto"/>
              </w:rPr>
            </w:pPr>
          </w:p>
        </w:tc>
      </w:tr>
      <w:tr>
        <w:trPr>
          <w:trHeight w:val="27"/>
        </w:trPr>
        <w:tc>
          <w:tcPr>
            <w:tcW w:w="7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cash consideration paid to Legacy WMH equity holders</w:t>
            </w:r>
          </w:p>
        </w:tc>
        <w:tc>
          <w:tcPr>
            <w:tcW w:w="11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(455,182)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29"/>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Less: transaction costs and advisory fees</w:t>
            </w:r>
          </w:p>
        </w:tc>
        <w:tc>
          <w:tcPr>
            <w:tcW w:w="11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(44,052)</w:t>
            </w:r>
          </w:p>
        </w:tc>
      </w:tr>
      <w:tr>
        <w:trPr>
          <w:trHeight w:val="48"/>
        </w:trPr>
        <w:tc>
          <w:tcPr>
            <w:tcW w:w="7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77"/>
        </w:trPr>
        <w:tc>
          <w:tcPr>
            <w:tcW w:w="7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proceeds from the Business Combination</w:t>
            </w:r>
          </w:p>
        </w:tc>
        <w:tc>
          <w:tcPr>
            <w:tcW w:w="1120" w:type="dxa"/>
            <w:vAlign w:val="bottom"/>
            <w:tcBorders>
              <w:bottom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79,969</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Less: initial fair value of warrant liability recognized in the Business Combination</w:t>
            </w: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(193,978)</w:t>
            </w:r>
          </w:p>
        </w:tc>
        <w:tc>
          <w:tcPr>
            <w:tcW w:w="20" w:type="dxa"/>
            <w:vAlign w:val="bottom"/>
          </w:tcPr>
          <w:p>
            <w:pPr>
              <w:spacing w:after="0"/>
              <w:rPr>
                <w:sz w:val="21"/>
                <w:szCs w:val="21"/>
                <w:color w:val="auto"/>
              </w:rPr>
            </w:pPr>
          </w:p>
        </w:tc>
      </w:tr>
      <w:tr>
        <w:trPr>
          <w:trHeight w:val="27"/>
        </w:trPr>
        <w:tc>
          <w:tcPr>
            <w:tcW w:w="7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transaction costs allocated to Warrants</w:t>
            </w:r>
          </w:p>
        </w:tc>
        <w:tc>
          <w:tcPr>
            <w:tcW w:w="1120" w:type="dxa"/>
            <w:vAlign w:val="bottom"/>
            <w:tcBorders>
              <w:bottom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5,547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Add: non-cash assets assumed from Silver Spike</w:t>
            </w:r>
          </w:p>
        </w:tc>
        <w:tc>
          <w:tcPr>
            <w:tcW w:w="11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1,053</w:t>
            </w:r>
          </w:p>
        </w:tc>
        <w:tc>
          <w:tcPr>
            <w:tcW w:w="20" w:type="dxa"/>
            <w:vAlign w:val="bottom"/>
          </w:tcPr>
          <w:p>
            <w:pPr>
              <w:spacing w:after="0"/>
              <w:rPr>
                <w:sz w:val="21"/>
                <w:szCs w:val="21"/>
                <w:color w:val="auto"/>
              </w:rPr>
            </w:pPr>
          </w:p>
        </w:tc>
      </w:tr>
      <w:tr>
        <w:trPr>
          <w:trHeight w:val="27"/>
        </w:trPr>
        <w:tc>
          <w:tcPr>
            <w:tcW w:w="7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deferred tax asset</w:t>
            </w:r>
          </w:p>
        </w:tc>
        <w:tc>
          <w:tcPr>
            <w:tcW w:w="1120" w:type="dxa"/>
            <w:vAlign w:val="bottom"/>
            <w:tcBorders>
              <w:bottom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151,255</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Less: tax receivable agreement liability</w:t>
            </w: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(128,567)</w:t>
            </w:r>
          </w:p>
        </w:tc>
        <w:tc>
          <w:tcPr>
            <w:tcW w:w="20" w:type="dxa"/>
            <w:vAlign w:val="bottom"/>
          </w:tcPr>
          <w:p>
            <w:pPr>
              <w:spacing w:after="0"/>
              <w:rPr>
                <w:sz w:val="19"/>
                <w:szCs w:val="19"/>
                <w:color w:val="auto"/>
              </w:rPr>
            </w:pPr>
          </w:p>
        </w:tc>
      </w:tr>
      <w:tr>
        <w:trPr>
          <w:trHeight w:val="48"/>
        </w:trPr>
        <w:tc>
          <w:tcPr>
            <w:tcW w:w="7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adjustment to total equity from the Business Combination</w:t>
            </w:r>
          </w:p>
        </w:tc>
        <w:tc>
          <w:tcPr>
            <w:tcW w:w="11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(84,721)</w:t>
            </w:r>
          </w:p>
        </w:tc>
        <w:tc>
          <w:tcPr>
            <w:tcW w:w="20" w:type="dxa"/>
            <w:vAlign w:val="bottom"/>
            <w:shd w:val="clear" w:color="auto" w:fill="CCEEFF"/>
          </w:tcPr>
          <w:p>
            <w:pPr>
              <w:spacing w:after="0"/>
              <w:rPr>
                <w:sz w:val="24"/>
                <w:szCs w:val="24"/>
                <w:color w:val="auto"/>
              </w:rPr>
            </w:pPr>
          </w:p>
        </w:tc>
      </w:tr>
      <w:tr>
        <w:trPr>
          <w:trHeight w:val="324"/>
        </w:trPr>
        <w:tc>
          <w:tcPr>
            <w:tcW w:w="72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 number of shares of common stock issued immediately following the Closing:</w:t>
            </w: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638"/>
        </w:trPr>
        <w:tc>
          <w:tcPr>
            <w:tcW w:w="7280" w:type="dxa"/>
            <w:vAlign w:val="bottom"/>
          </w:tcPr>
          <w:p>
            <w:pPr>
              <w:spacing w:after="0"/>
              <w:rPr>
                <w:sz w:val="24"/>
                <w:szCs w:val="24"/>
                <w:color w:val="auto"/>
              </w:rPr>
            </w:pPr>
          </w:p>
        </w:tc>
        <w:tc>
          <w:tcPr>
            <w:tcW w:w="1140" w:type="dxa"/>
            <w:vAlign w:val="bottom"/>
            <w:gridSpan w:val="6"/>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50"/>
        </w:trPr>
        <w:tc>
          <w:tcPr>
            <w:tcW w:w="72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outstanding prior to the Business Combination</w:t>
            </w:r>
          </w:p>
        </w:tc>
        <w:tc>
          <w:tcPr>
            <w:tcW w:w="10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24,998,575</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5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Less: redemption of shares of Silver Spike’s Class A common stock</w:t>
            </w:r>
          </w:p>
        </w:tc>
        <w:tc>
          <w:tcPr>
            <w:tcW w:w="11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10,012</w:t>
            </w:r>
          </w:p>
        </w:tc>
        <w:tc>
          <w:tcPr>
            <w:tcW w:w="20" w:type="dxa"/>
            <w:vAlign w:val="bottom"/>
          </w:tcPr>
          <w:p>
            <w:pPr>
              <w:spacing w:after="0"/>
              <w:rPr>
                <w:sz w:val="22"/>
                <w:szCs w:val="22"/>
                <w:color w:val="auto"/>
              </w:rPr>
            </w:pPr>
          </w:p>
        </w:tc>
      </w:tr>
      <w:tr>
        <w:trPr>
          <w:trHeight w:val="61"/>
        </w:trPr>
        <w:tc>
          <w:tcPr>
            <w:tcW w:w="7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318"/>
        </w:trPr>
        <w:tc>
          <w:tcPr>
            <w:tcW w:w="7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of Silver Spike’s Class A common stock</w:t>
            </w:r>
          </w:p>
        </w:tc>
        <w:tc>
          <w:tcPr>
            <w:tcW w:w="10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24,988,563</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Shares of Class A Common Stock held by Silver Spike’s Sponsor</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6,250,000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Class A Common Stock issued in the PIPE Financing</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32,500,000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61"/>
        </w:trPr>
        <w:tc>
          <w:tcPr>
            <w:tcW w:w="72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84"/>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of Class A Common Stock issued in the Business Combination</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63,738,563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
        </w:trPr>
        <w:tc>
          <w:tcPr>
            <w:tcW w:w="7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Class V Common Stock issued to Legacy WMH equity holders</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65,502,347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61"/>
        </w:trPr>
        <w:tc>
          <w:tcPr>
            <w:tcW w:w="72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70"/>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shares of common stock issued in the Business Combination</w:t>
            </w:r>
          </w:p>
        </w:tc>
        <w:tc>
          <w:tcPr>
            <w:tcW w:w="120" w:type="dxa"/>
            <w:vAlign w:val="bottom"/>
          </w:tcPr>
          <w:p>
            <w:pPr>
              <w:spacing w:after="0"/>
              <w:rPr>
                <w:sz w:val="23"/>
                <w:szCs w:val="23"/>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7"/>
              </w:rPr>
              <w:t>129,240,910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4848860</wp:posOffset>
            </wp:positionH>
            <wp:positionV relativeFrom="paragraph">
              <wp:posOffset>-4319905</wp:posOffset>
            </wp:positionV>
            <wp:extent cx="15430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-1679575</wp:posOffset>
            </wp:positionV>
            <wp:extent cx="431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2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Net income for the period from June 16, 2021 (Closing Date) to December 31, 2021 was $137.1 million, which includes change in fair value of warrant liability of $166.5 million, stock-based compensation expense of $29.3 million and transaction costs related to the warrant liability of $5.5 million. The transaction costs related to the warrant liability is included in other expense, net on the consolidated statements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4" w:name="page195"/>
    <w:bookmarkEnd w:id="19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640" w:hanging="348"/>
        <w:spacing w:after="0"/>
        <w:tabs>
          <w:tab w:leader="none" w:pos="64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Eyechronic</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On January 14, 2022, the Company acquired all the equity interests of Eyechronic LLC (“Eyechronic”) d/b/a Enlighten and rebranded as WM Screens, a Delaware limited liability company and a provider of software, digital signage services and multi-media offerings to dispensaries and brands, for total consideration of approximately $29.4 million. The Company accounted for the Eyechronic acquisition as an acquisition of a business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The acquired assets and liabilities of Eyechronic were recorded at their acquisition date fair values.</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consideration and the estimated fair value of assets acquired (in thousands):</w:t>
      </w:r>
    </w:p>
    <w:p>
      <w:pPr>
        <w:spacing w:after="0" w:line="3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Consideration Transferred:</w:t>
      </w:r>
    </w:p>
    <w:p>
      <w:pPr>
        <w:spacing w:after="0" w:line="80" w:lineRule="exact"/>
        <w:rPr>
          <w:sz w:val="20"/>
          <w:szCs w:val="20"/>
          <w:color w:val="auto"/>
        </w:rPr>
      </w:pPr>
    </w:p>
    <w:tbl>
      <w:tblPr>
        <w:tblLayout w:type="fixed"/>
        <w:tblInd w:w="300" w:type="dxa"/>
        <w:tblCellMar>
          <w:top w:w="0" w:type="dxa"/>
          <w:left w:w="0" w:type="dxa"/>
          <w:bottom w:w="0" w:type="dxa"/>
          <w:right w:w="0" w:type="dxa"/>
        </w:tblCellMar>
      </w:tblPr>
      <w:tr>
        <w:trPr>
          <w:trHeight w:val="378"/>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w:t>
            </w:r>
            <w:r>
              <w:rPr>
                <w:rFonts w:ascii="Times New Roman" w:cs="Times New Roman" w:eastAsia="Times New Roman" w:hAnsi="Times New Roman"/>
                <w:sz w:val="29"/>
                <w:szCs w:val="29"/>
                <w:color w:val="auto"/>
                <w:vertAlign w:val="superscript"/>
              </w:rPr>
              <w:t>(1)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20" w:type="dxa"/>
            <w:vAlign w:val="bottom"/>
            <w:shd w:val="clear" w:color="auto" w:fill="CCEEFF"/>
          </w:tcPr>
          <w:p>
            <w:pPr>
              <w:spacing w:after="0"/>
              <w:rPr>
                <w:sz w:val="24"/>
                <w:szCs w:val="24"/>
                <w:color w:val="auto"/>
              </w:rPr>
            </w:pPr>
          </w:p>
        </w:tc>
      </w:tr>
      <w:tr>
        <w:trPr>
          <w:trHeight w:val="310"/>
        </w:trPr>
        <w:tc>
          <w:tcPr>
            <w:tcW w:w="7820" w:type="dxa"/>
            <w:vAlign w:val="bottom"/>
          </w:tcPr>
          <w:p>
            <w:pPr>
              <w:spacing w:after="0" w:line="310" w:lineRule="exact"/>
              <w:rPr>
                <w:sz w:val="20"/>
                <w:szCs w:val="20"/>
                <w:color w:val="auto"/>
              </w:rPr>
            </w:pPr>
            <w:r>
              <w:rPr>
                <w:rFonts w:ascii="Times New Roman" w:cs="Times New Roman" w:eastAsia="Times New Roman" w:hAnsi="Times New Roman"/>
                <w:sz w:val="18"/>
                <w:szCs w:val="18"/>
                <w:color w:val="auto"/>
              </w:rPr>
              <w:t>Share consideration</w:t>
            </w:r>
            <w:r>
              <w:rPr>
                <w:rFonts w:ascii="Times New Roman" w:cs="Times New Roman" w:eastAsia="Times New Roman" w:hAnsi="Times New Roman"/>
                <w:sz w:val="29"/>
                <w:szCs w:val="29"/>
                <w:color w:val="auto"/>
                <w:vertAlign w:val="superscript"/>
              </w:rPr>
              <w:t>(2)</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28,725</w:t>
            </w:r>
          </w:p>
        </w:tc>
        <w:tc>
          <w:tcPr>
            <w:tcW w:w="20" w:type="dxa"/>
            <w:vAlign w:val="bottom"/>
          </w:tcPr>
          <w:p>
            <w:pPr>
              <w:spacing w:after="0"/>
              <w:rPr>
                <w:sz w:val="24"/>
                <w:szCs w:val="24"/>
                <w:color w:val="auto"/>
              </w:rPr>
            </w:pPr>
          </w:p>
        </w:tc>
      </w:tr>
      <w:tr>
        <w:trPr>
          <w:trHeight w:val="48"/>
        </w:trPr>
        <w:tc>
          <w:tcPr>
            <w:tcW w:w="7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83"/>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consideration</w:t>
            </w:r>
          </w:p>
        </w:tc>
        <w:tc>
          <w:tcPr>
            <w:tcW w:w="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29,422</w:t>
            </w:r>
          </w:p>
        </w:tc>
      </w:tr>
      <w:tr>
        <w:trPr>
          <w:trHeight w:val="34"/>
        </w:trPr>
        <w:tc>
          <w:tcPr>
            <w:tcW w:w="78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auto"/>
            </w:tcBorders>
            <w:shd w:val="clear" w:color="auto" w:fill="CCEEFF"/>
          </w:tcPr>
          <w:p>
            <w:pPr>
              <w:spacing w:after="0"/>
              <w:rPr>
                <w:sz w:val="2"/>
                <w:szCs w:val="2"/>
                <w:color w:val="auto"/>
              </w:rPr>
            </w:pPr>
          </w:p>
        </w:tc>
        <w:tc>
          <w:tcPr>
            <w:tcW w:w="38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319" w:hanging="348"/>
        <w:spacing w:after="0" w:line="261" w:lineRule="auto"/>
        <w:tabs>
          <w:tab w:leader="none" w:pos="64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$0.2 million settlement of pre-existing accounts payable with Eyechronic and holdback of $0.1 million recorded within other current liabilities on the Company’s accompanying consolidated balance sheets.</w:t>
      </w:r>
    </w:p>
    <w:p>
      <w:pPr>
        <w:ind w:left="640" w:right="319" w:hanging="348"/>
        <w:spacing w:after="0" w:line="261" w:lineRule="auto"/>
        <w:tabs>
          <w:tab w:leader="none" w:pos="64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share consideration was calculated based on 5,399,553 shares of Class A common stock multiplied by the share price on the closing date of $5.32. This includes 677,847 of holdback shares to be issued subject to customary indemnification obligations.</w:t>
      </w:r>
    </w:p>
    <w:p>
      <w:pPr>
        <w:spacing w:after="0" w:line="200" w:lineRule="exact"/>
        <w:rPr>
          <w:sz w:val="20"/>
          <w:szCs w:val="20"/>
          <w:color w:val="auto"/>
        </w:rPr>
      </w:pP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Estimated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50800</wp:posOffset>
            </wp:positionV>
            <wp:extent cx="5349240" cy="21463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349240" cy="214630"/>
                    </a:xfrm>
                    <a:prstGeom prst="rect">
                      <a:avLst/>
                    </a:prstGeom>
                    <a:noFill/>
                  </pic:spPr>
                </pic:pic>
              </a:graphicData>
            </a:graphic>
          </wp:anchor>
        </w:drawing>
      </w:r>
    </w:p>
    <w:p>
      <w:pPr>
        <w:spacing w:after="0" w:line="1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Assets acquired:</w:t>
      </w:r>
    </w:p>
    <w:p>
      <w:pPr>
        <w:spacing w:after="0" w:line="11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20"/>
                <w:szCs w:val="20"/>
                <w:color w:val="auto"/>
              </w:rPr>
            </w:pPr>
          </w:p>
        </w:tc>
      </w:tr>
      <w:tr>
        <w:trPr>
          <w:trHeight w:val="54"/>
        </w:trPr>
        <w:tc>
          <w:tcPr>
            <w:tcW w:w="7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spacing w:after="0"/>
              <w:rPr>
                <w:sz w:val="23"/>
                <w:szCs w:val="23"/>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23"/>
                <w:szCs w:val="23"/>
                <w:color w:val="auto"/>
              </w:rPr>
            </w:pPr>
          </w:p>
        </w:tc>
      </w:tr>
      <w:tr>
        <w:trPr>
          <w:trHeight w:val="54"/>
        </w:trPr>
        <w:tc>
          <w:tcPr>
            <w:tcW w:w="7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assets</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Software technology</w:t>
            </w:r>
          </w:p>
        </w:tc>
        <w:tc>
          <w:tcPr>
            <w:tcW w:w="1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name</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Order Backlog</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5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23,073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61"/>
        </w:trPr>
        <w:tc>
          <w:tcPr>
            <w:tcW w:w="7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31,658</w:t>
            </w:r>
          </w:p>
        </w:tc>
        <w:tc>
          <w:tcPr>
            <w:tcW w:w="20" w:type="dxa"/>
            <w:vAlign w:val="bottom"/>
            <w:shd w:val="clear" w:color="auto" w:fill="CCEEFF"/>
          </w:tcPr>
          <w:p>
            <w:pPr>
              <w:spacing w:after="0"/>
              <w:rPr>
                <w:sz w:val="23"/>
                <w:szCs w:val="23"/>
                <w:color w:val="auto"/>
              </w:rPr>
            </w:pPr>
          </w:p>
        </w:tc>
      </w:tr>
      <w:tr>
        <w:trPr>
          <w:trHeight w:val="61"/>
        </w:trPr>
        <w:tc>
          <w:tcPr>
            <w:tcW w:w="77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84"/>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
        </w:trPr>
        <w:tc>
          <w:tcPr>
            <w:tcW w:w="7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(460)</w:t>
            </w:r>
          </w:p>
        </w:tc>
      </w:tr>
      <w:tr>
        <w:trPr>
          <w:trHeight w:val="27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tcPr>
          <w:p>
            <w:pPr>
              <w:spacing w:after="0"/>
              <w:rPr>
                <w:sz w:val="23"/>
                <w:szCs w:val="23"/>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r>
        <w:trPr>
          <w:trHeight w:val="54"/>
        </w:trPr>
        <w:tc>
          <w:tcPr>
            <w:tcW w:w="7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r>
      <w:tr>
        <w:trPr>
          <w:trHeight w:val="27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Pr>
          <w:p>
            <w:pPr>
              <w:spacing w:after="0"/>
              <w:rPr>
                <w:sz w:val="23"/>
                <w:szCs w:val="23"/>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r>
        <w:trPr>
          <w:trHeight w:val="54"/>
        </w:trPr>
        <w:tc>
          <w:tcPr>
            <w:tcW w:w="7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6"/>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liabilities</w:t>
            </w:r>
          </w:p>
        </w:tc>
        <w:tc>
          <w:tcPr>
            <w:tcW w:w="10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(1,650)</w:t>
            </w:r>
          </w:p>
        </w:tc>
        <w:tc>
          <w:tcPr>
            <w:tcW w:w="20" w:type="dxa"/>
            <w:vAlign w:val="bottom"/>
            <w:tcBorders>
              <w:bottom w:val="single" w:sz="8" w:color="CCEEFF"/>
            </w:tcBorders>
            <w:shd w:val="clear" w:color="auto" w:fill="CCEEFF"/>
          </w:tcPr>
          <w:p>
            <w:pPr>
              <w:spacing w:after="0"/>
              <w:rPr>
                <w:sz w:val="22"/>
                <w:szCs w:val="22"/>
                <w:color w:val="auto"/>
              </w:rPr>
            </w:pPr>
          </w:p>
        </w:tc>
      </w:tr>
      <w:tr>
        <w:trPr>
          <w:trHeight w:val="61"/>
        </w:trPr>
        <w:tc>
          <w:tcPr>
            <w:tcW w:w="7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8"/>
              </w:rPr>
              <w:t>(2,236)</w:t>
            </w:r>
          </w:p>
        </w:tc>
      </w:tr>
      <w:tr>
        <w:trPr>
          <w:trHeight w:val="61"/>
        </w:trPr>
        <w:tc>
          <w:tcPr>
            <w:tcW w:w="7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assets acquired</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29,422</w:t>
            </w:r>
          </w:p>
        </w:tc>
        <w:tc>
          <w:tcPr>
            <w:tcW w:w="20" w:type="dxa"/>
            <w:vAlign w:val="bottom"/>
            <w:shd w:val="clear" w:color="auto" w:fill="CCEEFF"/>
          </w:tcPr>
          <w:p>
            <w:pPr>
              <w:spacing w:after="0"/>
              <w:rPr>
                <w:sz w:val="23"/>
                <w:szCs w:val="23"/>
                <w:color w:val="auto"/>
              </w:rPr>
            </w:pPr>
          </w:p>
        </w:tc>
      </w:tr>
      <w:tr>
        <w:trPr>
          <w:trHeight w:val="48"/>
        </w:trPr>
        <w:tc>
          <w:tcPr>
            <w:tcW w:w="7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90"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During the fourth quarter of 2022, the Company made an adjustment to the purchase price allocation of Eyechronic related to certain pre-acquisition deferred tax and other sales tax liabilities that resulted in an increase of long-term liabilities of $1.7 million.</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incurred transaction expenses associated with the Eyechronic acquisition of $0.1 million, which is included in general and administrative expenses in the accompanying consolidated statements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5" w:name="page196"/>
    <w:bookmarkEnd w:id="19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revenue and operating loss from Eyechronic included the Company’s consolidated statements of operations for the year ended December 31, 2022 were not material. Pro forma revenue and earnings amounts on a combined basis have not been presented as they are not material to the Company’s historical pre-acquisition financial statements.</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For acquisitions, the excess of the purchase price over the estimated fair values of the net assets acquired, including identifiable intangible assets, is recorded as goodwill. Goodwill is primarily attributable to the expected synergies from combining operations. Goodwill recognized was allocated to the Company’s one operating segment and is generally deductible for tax purposes.</w:t>
      </w:r>
    </w:p>
    <w:p>
      <w:pPr>
        <w:spacing w:after="0" w:line="7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fair values of the trade name and software technology intangible assets are determined using an “income approach”, specifically, the relief-from royalty approach, which is a commonly accepted valuation approach. This approach is based on the assumption that in lieu of ownership, a firm would be willing to pay a royalty in order to exploit the related benefits of these assets. Owning these intangible assets means that the underlying entity wouldn’t have to pay for the privilege of deploying those assets. Therefore, a portion of the acquired entity’s earnings, equal to the after-tax royalty that would have been paid for the use of the assets, can be attributed to the firm’s ownership. The fair values of the customer relationships and customer backlog assets were also determined using an “income approach”, specifically a multi-period excess earnings approach, which is a commonly accepted valuation approach.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Where appropriate, the net cash flows were adjusted to reflect the potential attrition of existing customers in the future, as existing customers are a “wasting” asset and are expected to decline over time.</w:t>
      </w:r>
    </w:p>
    <w:p>
      <w:pPr>
        <w:spacing w:after="0" w:line="8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December 31, 2023, the Company completed the sunset of certain product offerings including WM Screens, a product offering associated with our acquisition of Eyechronic, as the Company continues to focus the efforts on other Weedmaps for Business products that support the Weedmaps marketplace and improve the eCommerce experience for the Company’s clients and users. For the year ended December 31, 2023 the Company recorded impairment charges of $3.8 million related to intangible assets and $2.6 million related to property and equipment associated with the sunset of WM Screens, which is included in asset impairment charges in the consolidated statements of operations.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Transport Logistics Holding</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On September 29, 2021, the Company acquired all of the equity interests of Transport Logistics Holding Company, LLC (“TLH”), a logistics platform that enables the compliant delivery of cannabis, for total consideration of approximately $15.1 million. The Company accounted for the TLH acquisition as an acquisition of a business under ASC 805.</w:t>
      </w:r>
    </w:p>
    <w:p>
      <w:pPr>
        <w:spacing w:after="0" w:line="9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consideration and the fair value of assets acquired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208280</wp:posOffset>
            </wp:positionV>
            <wp:extent cx="5349240" cy="22288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349240" cy="222885"/>
                    </a:xfrm>
                    <a:prstGeom prst="rect">
                      <a:avLst/>
                    </a:prstGeom>
                    <a:noFill/>
                  </pic:spPr>
                </pic:pic>
              </a:graphicData>
            </a:graphic>
          </wp:anchor>
        </w:drawing>
      </w:r>
    </w:p>
    <w:p>
      <w:pPr>
        <w:spacing w:after="0" w:line="3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Consideration Transferred:</w:t>
      </w:r>
    </w:p>
    <w:p>
      <w:pPr>
        <w:spacing w:after="0" w:line="35" w:lineRule="exact"/>
        <w:rPr>
          <w:sz w:val="20"/>
          <w:szCs w:val="20"/>
          <w:color w:val="auto"/>
        </w:rPr>
      </w:pPr>
    </w:p>
    <w:tbl>
      <w:tblPr>
        <w:tblLayout w:type="fixed"/>
        <w:tblInd w:w="300" w:type="dxa"/>
        <w:tblCellMar>
          <w:top w:w="0" w:type="dxa"/>
          <w:left w:w="0" w:type="dxa"/>
          <w:bottom w:w="0" w:type="dxa"/>
          <w:right w:w="0" w:type="dxa"/>
        </w:tblCellMar>
      </w:tblPr>
      <w:tr>
        <w:trPr>
          <w:trHeight w:val="333"/>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Cash consideration</w:t>
            </w:r>
            <w:r>
              <w:rPr>
                <w:rFonts w:ascii="Times New Roman" w:cs="Times New Roman" w:eastAsia="Times New Roman" w:hAnsi="Times New Roman"/>
                <w:sz w:val="29"/>
                <w:szCs w:val="29"/>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Pr>
          <w:p>
            <w:pPr>
              <w:spacing w:after="0"/>
              <w:rPr>
                <w:sz w:val="24"/>
                <w:szCs w:val="24"/>
                <w:color w:val="auto"/>
              </w:rPr>
            </w:pPr>
          </w:p>
        </w:tc>
      </w:tr>
      <w:tr>
        <w:trPr>
          <w:trHeight w:val="323"/>
        </w:trPr>
        <w:tc>
          <w:tcPr>
            <w:tcW w:w="7820" w:type="dxa"/>
            <w:vAlign w:val="bottom"/>
            <w:tcBorders>
              <w:bottom w:val="single" w:sz="8" w:color="CCEEFF"/>
            </w:tcBorders>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Share consideration</w:t>
            </w:r>
            <w:r>
              <w:rPr>
                <w:rFonts w:ascii="Times New Roman" w:cs="Times New Roman" w:eastAsia="Times New Roman" w:hAnsi="Times New Roman"/>
                <w:sz w:val="29"/>
                <w:szCs w:val="29"/>
                <w:color w:val="auto"/>
                <w:vertAlign w:val="superscript"/>
              </w:rPr>
              <w:t>(2)</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10,126</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56"/>
        </w:trPr>
        <w:tc>
          <w:tcPr>
            <w:tcW w:w="782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consideration</w:t>
            </w:r>
          </w:p>
        </w:tc>
        <w:tc>
          <w:tcPr>
            <w:tcW w:w="580" w:type="dxa"/>
            <w:vAlign w:val="bottom"/>
            <w:tcBorders>
              <w:top w:val="single" w:sz="8" w:color="CCEEFF"/>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15,126</w:t>
            </w:r>
          </w:p>
        </w:tc>
        <w:tc>
          <w:tcPr>
            <w:tcW w:w="20" w:type="dxa"/>
            <w:vAlign w:val="bottom"/>
            <w:tcBorders>
              <w:top w:val="single" w:sz="8" w:color="CCEEFF"/>
            </w:tcBorders>
          </w:tcPr>
          <w:p>
            <w:pPr>
              <w:spacing w:after="0"/>
              <w:rPr>
                <w:sz w:val="22"/>
                <w:szCs w:val="22"/>
                <w:color w:val="auto"/>
              </w:rPr>
            </w:pPr>
          </w:p>
        </w:tc>
      </w:tr>
      <w:tr>
        <w:trPr>
          <w:trHeight w:val="372"/>
        </w:trPr>
        <w:tc>
          <w:tcPr>
            <w:tcW w:w="7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43"/>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r>
      <w:tr>
        <w:trPr>
          <w:trHeight w:val="243"/>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20" w:type="dxa"/>
            <w:vAlign w:val="bottom"/>
          </w:tcPr>
          <w:p>
            <w:pPr>
              <w:spacing w:after="0"/>
              <w:rPr>
                <w:sz w:val="2"/>
                <w:szCs w:val="2"/>
                <w:color w:val="auto"/>
              </w:rPr>
            </w:pPr>
          </w:p>
        </w:tc>
      </w:tr>
      <w:tr>
        <w:trPr>
          <w:trHeight w:val="282"/>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14,648</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56"/>
        </w:trPr>
        <w:tc>
          <w:tcPr>
            <w:tcW w:w="78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 acquired</w:t>
            </w:r>
          </w:p>
        </w:tc>
        <w:tc>
          <w:tcPr>
            <w:tcW w:w="580" w:type="dxa"/>
            <w:vAlign w:val="bottom"/>
            <w:tcBorders>
              <w:top w:val="single" w:sz="8" w:color="CCEEFF"/>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15,126</w:t>
            </w:r>
          </w:p>
        </w:tc>
        <w:tc>
          <w:tcPr>
            <w:tcW w:w="20" w:type="dxa"/>
            <w:vAlign w:val="bottom"/>
            <w:tcBorders>
              <w:top w:val="single" w:sz="8" w:color="CCEEFF"/>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4" w:lineRule="exact"/>
        <w:rPr>
          <w:sz w:val="20"/>
          <w:szCs w:val="20"/>
          <w:color w:val="auto"/>
        </w:rPr>
      </w:pPr>
    </w:p>
    <w:p>
      <w:pPr>
        <w:ind w:left="640" w:hanging="348"/>
        <w:spacing w:after="0"/>
        <w:tabs>
          <w:tab w:leader="none" w:pos="64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holdback of $1.0 million, which was paid during the second quarter of 2022.</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share consideration issued in connection with the TLH acquisition was calculated based on 694,540 shares of Class A common stock issued multiplied by the share price on the closing date of $14.58.</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6" w:name="page197"/>
    <w:bookmarkEnd w:id="19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Goodwill is primarily attributable to the expected synergies from combining operations. Goodwill recognized was allocated to the Company’s one operating segment and is generally deductible for tax purposes.</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fair values of the trade name intangible assets were determined using an “income approach”, specifically, the relief-from royalty approach, as described above. The fair value of the software technology intangible asset was also determined using an “income approach”, specifically a multi-period excess earnings approach, as described above. The fair value of the customer relationships was determined using an “income approach”, as described above.</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Sprout</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On September 3, 2021, the Company acquired certain assets of the Sprout business (“Sprout”), a leading, cloud-based customer relationship management (“CRM”) and marketing platform for the cannabis industry, for total consideration of approximately $31.2 million. The Company accounted for the Sprout acquisition as an acquisition of a business under ASC 805.</w:t>
      </w:r>
    </w:p>
    <w:p>
      <w:pPr>
        <w:spacing w:after="0" w:line="9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consideration and the fair value of assets acquired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208280</wp:posOffset>
            </wp:positionV>
            <wp:extent cx="5349240" cy="24003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349240" cy="240030"/>
                    </a:xfrm>
                    <a:prstGeom prst="rect">
                      <a:avLst/>
                    </a:prstGeom>
                    <a:noFill/>
                  </pic:spPr>
                </pic:pic>
              </a:graphicData>
            </a:graphic>
          </wp:anchor>
        </w:drawing>
      </w:r>
    </w:p>
    <w:p>
      <w:pPr>
        <w:spacing w:after="0" w:line="3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Consideration Transferred:</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6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$12,000</w:t>
            </w:r>
          </w:p>
        </w:tc>
      </w:tr>
      <w:tr>
        <w:trPr>
          <w:trHeight w:val="54"/>
        </w:trPr>
        <w:tc>
          <w:tcPr>
            <w:tcW w:w="776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97"/>
        </w:trPr>
        <w:tc>
          <w:tcPr>
            <w:tcW w:w="7760" w:type="dxa"/>
            <w:vAlign w:val="bottom"/>
            <w:shd w:val="clear" w:color="auto" w:fill="CCEEFF"/>
          </w:tcPr>
          <w:p>
            <w:pPr>
              <w:spacing w:after="0" w:line="296" w:lineRule="exact"/>
              <w:rPr>
                <w:sz w:val="20"/>
                <w:szCs w:val="20"/>
                <w:color w:val="auto"/>
              </w:rPr>
            </w:pPr>
            <w:r>
              <w:rPr>
                <w:rFonts w:ascii="Times New Roman" w:cs="Times New Roman" w:eastAsia="Times New Roman" w:hAnsi="Times New Roman"/>
                <w:sz w:val="18"/>
                <w:szCs w:val="18"/>
                <w:color w:val="auto"/>
              </w:rPr>
              <w:t>Share consideration</w:t>
            </w:r>
            <w:r>
              <w:rPr>
                <w:rFonts w:ascii="Times New Roman" w:cs="Times New Roman" w:eastAsia="Times New Roman" w:hAnsi="Times New Roman"/>
                <w:sz w:val="29"/>
                <w:szCs w:val="29"/>
                <w:color w:val="auto"/>
                <w:vertAlign w:val="superscript"/>
              </w:rPr>
              <w:t>(1)</w:t>
            </w: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19,186</w:t>
            </w:r>
          </w:p>
        </w:tc>
        <w:tc>
          <w:tcPr>
            <w:tcW w:w="20" w:type="dxa"/>
            <w:vAlign w:val="bottom"/>
            <w:shd w:val="clear" w:color="auto" w:fill="CCEEFF"/>
          </w:tcPr>
          <w:p>
            <w:pPr>
              <w:spacing w:after="0"/>
              <w:rPr>
                <w:sz w:val="24"/>
                <w:szCs w:val="24"/>
                <w:color w:val="auto"/>
              </w:rPr>
            </w:pPr>
          </w:p>
        </w:tc>
      </w:tr>
      <w:tr>
        <w:trPr>
          <w:trHeight w:val="61"/>
        </w:trPr>
        <w:tc>
          <w:tcPr>
            <w:tcW w:w="77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7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consideration</w:t>
            </w:r>
          </w:p>
        </w:tc>
        <w:tc>
          <w:tcPr>
            <w:tcW w:w="6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31,186</w:t>
            </w:r>
          </w:p>
        </w:tc>
      </w:tr>
      <w:tr>
        <w:trPr>
          <w:trHeight w:val="372"/>
        </w:trPr>
        <w:tc>
          <w:tcPr>
            <w:tcW w:w="7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7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Acquired and Liabilities Assumed:</w:t>
            </w:r>
          </w:p>
        </w:tc>
        <w:tc>
          <w:tcPr>
            <w:tcW w:w="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Asset acquired:</w:t>
            </w: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76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Software technology</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$ 2,973</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name</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76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5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26,686</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61"/>
        </w:trPr>
        <w:tc>
          <w:tcPr>
            <w:tcW w:w="776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318"/>
        </w:trPr>
        <w:tc>
          <w:tcPr>
            <w:tcW w:w="7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31,286</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76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Borders>
              <w:bottom w:val="single" w:sz="8" w:color="CCEEFF"/>
            </w:tcBorders>
            <w:shd w:val="clear" w:color="auto" w:fill="CCEEFF"/>
          </w:tcPr>
          <w:p>
            <w:pPr>
              <w:spacing w:after="0"/>
              <w:rPr>
                <w:sz w:val="22"/>
                <w:szCs w:val="22"/>
                <w:color w:val="auto"/>
              </w:rPr>
            </w:pPr>
          </w:p>
        </w:tc>
      </w:tr>
      <w:tr>
        <w:trPr>
          <w:trHeight w:val="61"/>
        </w:trPr>
        <w:tc>
          <w:tcPr>
            <w:tcW w:w="77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Total net assets acquired</w:t>
            </w:r>
          </w:p>
        </w:tc>
        <w:tc>
          <w:tcPr>
            <w:tcW w:w="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31,186</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180340</wp:posOffset>
            </wp:positionV>
            <wp:extent cx="82296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08" w:lineRule="exact"/>
        <w:rPr>
          <w:sz w:val="20"/>
          <w:szCs w:val="20"/>
          <w:color w:val="auto"/>
        </w:rPr>
      </w:pPr>
    </w:p>
    <w:p>
      <w:pPr>
        <w:ind w:left="640" w:right="319" w:hanging="348"/>
        <w:spacing w:after="0" w:line="261" w:lineRule="auto"/>
        <w:tabs>
          <w:tab w:leader="none" w:pos="64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share consideration issued in connection with the Spout acquisition was calculated based on 1,244,258 shares of Class A common stock issued multiplied by the share price on the closing date of $15.42.</w:t>
      </w:r>
    </w:p>
    <w:p>
      <w:pPr>
        <w:spacing w:after="0" w:line="5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Goodwill is primarily attributable to the expected synergies from combining operations. Goodwill recognized was allocated to the Company’s one operating segment and is generally deductible for tax purposes.</w:t>
      </w:r>
    </w:p>
    <w:p>
      <w:pPr>
        <w:spacing w:after="0" w:line="5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fair values of the trade name intangible assets were determined using an “income approach”, specifically, the relief-from royalty approach, as described above. The fair value of the software technology intangible asset was also determined using an “income approach”, specifically a multi-period excess earnings approach, as described above. The fair value of the customer relationships was determined using an “income approach”, specifically, the With-and-Without method, which is a commonly accepted valuation approach. This method estimates the value of customer-related assets by quantifying the impact on cash flows under a scenario in which the customer-related assets must be replaced and assuming all of the existing assets are in place except the customer-related assets. Essentially, it estimates the intangible asset’s value by calculating the difference between the two discounted cash-flow models. One that represents the status quo for the business enterprise with the asset in place and the second that represents the business enterprise with everything in place besides the customer-related asset. The projected cash flow period is the time-period it takes to build back up to that status quo. The difference between the two cash flows represents the calculated value of the customer-related asset.</w:t>
      </w:r>
    </w:p>
    <w:p>
      <w:pPr>
        <w:spacing w:after="0" w:line="8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In December 31, 2023, the Company completed the sunset of certain product offerings including WM CRM, a product offering associated with the acquisition of Sprout, as the Company continues to focus the efforts on other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7" w:name="page198"/>
    <w:bookmarkEnd w:id="197"/>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1300" w:right="1300"/>
        <w:spacing w:after="0" w:line="261" w:lineRule="auto"/>
        <w:rPr>
          <w:sz w:val="20"/>
          <w:szCs w:val="20"/>
          <w:color w:val="auto"/>
        </w:rPr>
      </w:pPr>
      <w:r>
        <w:rPr>
          <w:rFonts w:ascii="Times New Roman" w:cs="Times New Roman" w:eastAsia="Times New Roman" w:hAnsi="Times New Roman"/>
          <w:sz w:val="18"/>
          <w:szCs w:val="18"/>
          <w:color w:val="auto"/>
        </w:rPr>
        <w:t>Weedmaps for Business products that support the Weedmaps marketplace and improve the eCommerce experience for the Company’s clients and users. For the year ended December 31, 2023 the Company recorded an impairment charge of $2.3 million related to intangible assets and $0.1 million related to property and equipment associated with WM CRM, which is included in asset impairment charges in the consolidated statements of operations.</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Pro Forma Results and Acquisition-Related Costs</w:t>
      </w:r>
    </w:p>
    <w:p>
      <w:pPr>
        <w:spacing w:after="0" w:line="121" w:lineRule="exact"/>
        <w:rPr>
          <w:sz w:val="20"/>
          <w:szCs w:val="20"/>
          <w:color w:val="auto"/>
        </w:rPr>
      </w:pPr>
    </w:p>
    <w:p>
      <w:pPr>
        <w:jc w:val="both"/>
        <w:ind w:left="1300" w:right="132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for the years ended December 31, 2023, 2022 and 2021 include the financial results of the above acquisitions from the date of the acquisitions. Pro forma financial results have not been presented since these acquisitions were not material to our financial results.</w:t>
      </w:r>
    </w:p>
    <w:p>
      <w:pPr>
        <w:spacing w:after="0" w:line="172" w:lineRule="exact"/>
        <w:rPr>
          <w:sz w:val="20"/>
          <w:szCs w:val="20"/>
          <w:color w:val="auto"/>
        </w:rPr>
      </w:pPr>
    </w:p>
    <w:p>
      <w:pPr>
        <w:ind w:left="1640" w:hanging="348"/>
        <w:spacing w:after="0"/>
        <w:tabs>
          <w:tab w:leader="none" w:pos="164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jc w:val="both"/>
        <w:ind w:left="1300" w:right="1320"/>
        <w:spacing w:after="0" w:line="282" w:lineRule="auto"/>
        <w:rPr>
          <w:sz w:val="20"/>
          <w:szCs w:val="20"/>
          <w:color w:val="auto"/>
        </w:rPr>
      </w:pPr>
      <w:r>
        <w:rPr>
          <w:rFonts w:ascii="Times New Roman" w:cs="Times New Roman" w:eastAsia="Times New Roman" w:hAnsi="Times New Roman"/>
          <w:sz w:val="18"/>
          <w:szCs w:val="18"/>
          <w:color w:val="auto"/>
        </w:rPr>
        <w:t>Goodwill totaled $68.4 million as of December 31, 2023 and 2022. No goodwill impairment charges were recorded for the years ended December 31, 2023, 2022 and 2021.</w:t>
      </w:r>
    </w:p>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Intangible assets consisted of the following for the periods presented below (in thousands):</w:t>
      </w:r>
    </w:p>
    <w:p>
      <w:pPr>
        <w:spacing w:after="0" w:line="200" w:lineRule="exact"/>
        <w:rPr>
          <w:sz w:val="20"/>
          <w:szCs w:val="20"/>
          <w:color w:val="auto"/>
        </w:rPr>
      </w:pPr>
    </w:p>
    <w:p>
      <w:pPr>
        <w:spacing w:after="0" w:line="275"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11"/>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920" w:type="dxa"/>
            <w:vAlign w:val="bottom"/>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180" w:type="dxa"/>
            <w:vAlign w:val="bottom"/>
            <w:gridSpan w:val="6"/>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Gross Intangible</w:t>
            </w:r>
          </w:p>
        </w:tc>
        <w:tc>
          <w:tcPr>
            <w:tcW w:w="96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gridSpan w:val="5"/>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Net Intangible</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4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 Period</w:t>
            </w:r>
          </w:p>
        </w:tc>
        <w:tc>
          <w:tcPr>
            <w:tcW w:w="1180" w:type="dxa"/>
            <w:vAlign w:val="bottom"/>
            <w:gridSpan w:val="6"/>
            <w:vMerge w:val="continue"/>
          </w:tcPr>
          <w:p>
            <w:pPr>
              <w:spacing w:after="0"/>
              <w:rPr>
                <w:sz w:val="12"/>
                <w:szCs w:val="12"/>
                <w:color w:val="auto"/>
              </w:rPr>
            </w:pPr>
          </w:p>
        </w:tc>
        <w:tc>
          <w:tcPr>
            <w:tcW w:w="960" w:type="dxa"/>
            <w:vAlign w:val="bottom"/>
            <w:gridSpan w:val="6"/>
            <w:vMerge w:val="continue"/>
          </w:tcPr>
          <w:p>
            <w:pPr>
              <w:spacing w:after="0"/>
              <w:rPr>
                <w:sz w:val="12"/>
                <w:szCs w:val="12"/>
                <w:color w:val="auto"/>
              </w:rPr>
            </w:pPr>
          </w:p>
        </w:tc>
        <w:tc>
          <w:tcPr>
            <w:tcW w:w="9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92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37"/>
        </w:trPr>
        <w:tc>
          <w:tcPr>
            <w:tcW w:w="392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domain names</w:t>
            </w:r>
          </w:p>
        </w:tc>
        <w:tc>
          <w:tcPr>
            <w:tcW w:w="1300" w:type="dxa"/>
            <w:vAlign w:val="bottom"/>
            <w:tcBorders>
              <w:bottom w:val="single" w:sz="8" w:color="CCEEFF"/>
            </w:tcBorders>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3"/>
            <w:shd w:val="clear" w:color="auto" w:fill="CCEEFF"/>
          </w:tcPr>
          <w:p>
            <w:pPr>
              <w:jc w:val="center"/>
              <w:ind w:left="174"/>
              <w:spacing w:after="0"/>
              <w:rPr>
                <w:sz w:val="20"/>
                <w:szCs w:val="20"/>
                <w:color w:val="auto"/>
              </w:rPr>
            </w:pPr>
            <w:r>
              <w:rPr>
                <w:rFonts w:ascii="Times New Roman" w:cs="Times New Roman" w:eastAsia="Times New Roman" w:hAnsi="Times New Roman"/>
                <w:sz w:val="18"/>
                <w:szCs w:val="18"/>
                <w:color w:val="auto"/>
              </w:rPr>
              <w:t>$7,256</w:t>
            </w: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$(5,008)</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4"/>
            <w:shd w:val="clear" w:color="auto" w:fill="CCEEFF"/>
          </w:tcPr>
          <w:p>
            <w:pPr>
              <w:jc w:val="center"/>
              <w:ind w:left="75"/>
              <w:spacing w:after="0"/>
              <w:rPr>
                <w:sz w:val="20"/>
                <w:szCs w:val="20"/>
                <w:color w:val="auto"/>
              </w:rPr>
            </w:pPr>
            <w:r>
              <w:rPr>
                <w:rFonts w:ascii="Times New Roman" w:cs="Times New Roman" w:eastAsia="Times New Roman" w:hAnsi="Times New Roman"/>
                <w:sz w:val="18"/>
                <w:szCs w:val="18"/>
                <w:color w:val="auto"/>
              </w:rPr>
              <w:t>$2,248</w:t>
            </w:r>
          </w:p>
        </w:tc>
        <w:tc>
          <w:tcPr>
            <w:tcW w:w="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1300" w:type="dxa"/>
            <w:vAlign w:val="bottom"/>
          </w:tcPr>
          <w:p>
            <w:pPr>
              <w:jc w:val="right"/>
              <w:ind w:right="437"/>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1"/>
                <w:szCs w:val="21"/>
                <w:color w:val="auto"/>
              </w:rPr>
            </w:pPr>
          </w:p>
        </w:tc>
        <w:tc>
          <w:tcPr>
            <w:tcW w:w="760" w:type="dxa"/>
            <w:vAlign w:val="bottom"/>
            <w:gridSpan w:val="3"/>
          </w:tcPr>
          <w:p>
            <w:pPr>
              <w:jc w:val="center"/>
              <w:ind w:left="394"/>
              <w:spacing w:after="0"/>
              <w:rPr>
                <w:sz w:val="20"/>
                <w:szCs w:val="20"/>
                <w:color w:val="auto"/>
              </w:rPr>
            </w:pPr>
            <w:r>
              <w:rPr>
                <w:rFonts w:ascii="Times New Roman" w:cs="Times New Roman" w:eastAsia="Times New Roman" w:hAnsi="Times New Roman"/>
                <w:sz w:val="18"/>
                <w:szCs w:val="18"/>
                <w:color w:val="auto"/>
              </w:rPr>
              <w:t>249</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300" w:type="dxa"/>
            <w:vAlign w:val="bottom"/>
            <w:tcBorders>
              <w:bottom w:val="single" w:sz="8" w:color="CCEEFF"/>
            </w:tcBorders>
            <w:shd w:val="clear" w:color="auto" w:fill="CCEEFF"/>
          </w:tcPr>
          <w:p>
            <w:pPr>
              <w:jc w:val="right"/>
              <w:ind w:right="437"/>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gridSpan w:val="2"/>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center"/>
              <w:ind w:left="139"/>
              <w:spacing w:after="0"/>
              <w:rPr>
                <w:sz w:val="20"/>
                <w:szCs w:val="20"/>
                <w:color w:val="auto"/>
              </w:rPr>
            </w:pPr>
            <w:r>
              <w:rPr>
                <w:rFonts w:ascii="Times New Roman" w:cs="Times New Roman" w:eastAsia="Times New Roman" w:hAnsi="Times New Roman"/>
                <w:sz w:val="18"/>
                <w:szCs w:val="18"/>
                <w:color w:val="auto"/>
              </w:rPr>
              <w:t>170</w:t>
            </w:r>
          </w:p>
        </w:tc>
        <w:tc>
          <w:tcPr>
            <w:tcW w:w="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gridSpan w:val="2"/>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right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300" w:type="dxa"/>
            <w:vAlign w:val="bottom"/>
          </w:tcPr>
          <w:p>
            <w:pPr>
              <w:jc w:val="right"/>
              <w:ind w:right="417"/>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22"/>
                <w:szCs w:val="22"/>
                <w:color w:val="auto"/>
              </w:rPr>
            </w:pPr>
          </w:p>
        </w:tc>
        <w:tc>
          <w:tcPr>
            <w:tcW w:w="260" w:type="dxa"/>
            <w:vAlign w:val="bottom"/>
            <w:gridSpan w:val="2"/>
          </w:tcPr>
          <w:p>
            <w:pPr>
              <w:spacing w:after="0"/>
              <w:rPr>
                <w:sz w:val="22"/>
                <w:szCs w:val="2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7,675</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gridSpan w:val="2"/>
          </w:tcPr>
          <w:p>
            <w:pPr>
              <w:spacing w:after="0"/>
              <w:rPr>
                <w:sz w:val="22"/>
                <w:szCs w:val="22"/>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(5,168)</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4"/>
          </w:tcPr>
          <w:p>
            <w:pPr>
              <w:jc w:val="center"/>
              <w:ind w:left="75"/>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2,507</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5"/>
        </w:trPr>
        <w:tc>
          <w:tcPr>
            <w:tcW w:w="3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11"/>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920" w:type="dxa"/>
            <w:vAlign w:val="bottom"/>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180" w:type="dxa"/>
            <w:vAlign w:val="bottom"/>
            <w:gridSpan w:val="6"/>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Gross Intangible</w:t>
            </w:r>
          </w:p>
        </w:tc>
        <w:tc>
          <w:tcPr>
            <w:tcW w:w="96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gridSpan w:val="5"/>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Net Intangible</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4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 Period</w:t>
            </w:r>
          </w:p>
        </w:tc>
        <w:tc>
          <w:tcPr>
            <w:tcW w:w="1180" w:type="dxa"/>
            <w:vAlign w:val="bottom"/>
            <w:gridSpan w:val="6"/>
            <w:vMerge w:val="continue"/>
          </w:tcPr>
          <w:p>
            <w:pPr>
              <w:spacing w:after="0"/>
              <w:rPr>
                <w:sz w:val="12"/>
                <w:szCs w:val="12"/>
                <w:color w:val="auto"/>
              </w:rPr>
            </w:pPr>
          </w:p>
        </w:tc>
        <w:tc>
          <w:tcPr>
            <w:tcW w:w="960" w:type="dxa"/>
            <w:vAlign w:val="bottom"/>
            <w:gridSpan w:val="6"/>
            <w:vMerge w:val="continue"/>
          </w:tcPr>
          <w:p>
            <w:pPr>
              <w:spacing w:after="0"/>
              <w:rPr>
                <w:sz w:val="12"/>
                <w:szCs w:val="12"/>
                <w:color w:val="auto"/>
              </w:rPr>
            </w:pPr>
          </w:p>
        </w:tc>
        <w:tc>
          <w:tcPr>
            <w:tcW w:w="9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92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37"/>
        </w:trPr>
        <w:tc>
          <w:tcPr>
            <w:tcW w:w="392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domain names</w:t>
            </w:r>
          </w:p>
        </w:tc>
        <w:tc>
          <w:tcPr>
            <w:tcW w:w="1300" w:type="dxa"/>
            <w:vAlign w:val="bottom"/>
            <w:tcBorders>
              <w:bottom w:val="single" w:sz="8" w:color="CCEEFF"/>
            </w:tcBorders>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4"/>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rPr>
              <w:t>$ 7,635</w:t>
            </w:r>
          </w:p>
        </w:tc>
        <w:tc>
          <w:tcPr>
            <w:tcW w:w="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(4,699)</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$ 2,936</w:t>
            </w:r>
          </w:p>
        </w:tc>
        <w:tc>
          <w:tcPr>
            <w:tcW w:w="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1300" w:type="dxa"/>
            <w:vAlign w:val="bottom"/>
          </w:tcPr>
          <w:p>
            <w:pPr>
              <w:jc w:val="right"/>
              <w:ind w:right="437"/>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1"/>
                <w:szCs w:val="21"/>
                <w:color w:val="auto"/>
              </w:rPr>
            </w:pPr>
          </w:p>
        </w:tc>
        <w:tc>
          <w:tcPr>
            <w:tcW w:w="800" w:type="dxa"/>
            <w:vAlign w:val="bottom"/>
            <w:gridSpan w:val="4"/>
          </w:tcPr>
          <w:p>
            <w:pPr>
              <w:jc w:val="center"/>
              <w:ind w:left="314"/>
              <w:spacing w:after="0"/>
              <w:rPr>
                <w:sz w:val="20"/>
                <w:szCs w:val="20"/>
                <w:color w:val="auto"/>
              </w:rPr>
            </w:pPr>
            <w:r>
              <w:rPr>
                <w:rFonts w:ascii="Times New Roman" w:cs="Times New Roman" w:eastAsia="Times New Roman" w:hAnsi="Times New Roman"/>
                <w:sz w:val="18"/>
                <w:szCs w:val="18"/>
                <w:color w:val="auto"/>
                <w:w w:val="98"/>
              </w:rPr>
              <w:t>7,516</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300" w:type="dxa"/>
            <w:vAlign w:val="bottom"/>
            <w:tcBorders>
              <w:bottom w:val="single" w:sz="8" w:color="CCEEFF"/>
            </w:tcBorders>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4"/>
            <w:shd w:val="clear" w:color="auto" w:fill="CCEEFF"/>
          </w:tcPr>
          <w:p>
            <w:pPr>
              <w:jc w:val="center"/>
              <w:ind w:left="314"/>
              <w:spacing w:after="0"/>
              <w:rPr>
                <w:sz w:val="20"/>
                <w:szCs w:val="20"/>
                <w:color w:val="auto"/>
              </w:rPr>
            </w:pPr>
            <w:r>
              <w:rPr>
                <w:rFonts w:ascii="Times New Roman" w:cs="Times New Roman" w:eastAsia="Times New Roman" w:hAnsi="Times New Roman"/>
                <w:sz w:val="18"/>
                <w:szCs w:val="18"/>
                <w:color w:val="auto"/>
                <w:w w:val="98"/>
              </w:rPr>
              <w:t>5,211</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Order Backlog</w:t>
            </w:r>
          </w:p>
        </w:tc>
        <w:tc>
          <w:tcPr>
            <w:tcW w:w="1300" w:type="dxa"/>
            <w:vAlign w:val="bottom"/>
          </w:tcPr>
          <w:p>
            <w:pPr>
              <w:jc w:val="right"/>
              <w:ind w:right="437"/>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800" w:type="dxa"/>
            <w:vAlign w:val="bottom"/>
            <w:gridSpan w:val="4"/>
          </w:tcPr>
          <w:p>
            <w:pPr>
              <w:jc w:val="center"/>
              <w:ind w:left="134"/>
              <w:spacing w:after="0"/>
              <w:rPr>
                <w:sz w:val="20"/>
                <w:szCs w:val="20"/>
                <w:color w:val="auto"/>
              </w:rPr>
            </w:pPr>
            <w:r>
              <w:rPr>
                <w:rFonts w:ascii="Times New Roman" w:cs="Times New Roman" w:eastAsia="Times New Roman" w:hAnsi="Times New Roman"/>
                <w:sz w:val="18"/>
                <w:szCs w:val="18"/>
                <w:color w:val="auto"/>
              </w:rPr>
              <w:t>$   210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(200)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39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300" w:type="dxa"/>
            <w:vAlign w:val="bottom"/>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22"/>
                <w:szCs w:val="22"/>
                <w:color w:val="auto"/>
              </w:rPr>
            </w:pPr>
          </w:p>
        </w:tc>
        <w:tc>
          <w:tcPr>
            <w:tcW w:w="1060" w:type="dxa"/>
            <w:vAlign w:val="bottom"/>
            <w:gridSpan w:val="5"/>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20,572</w:t>
            </w:r>
          </w:p>
        </w:tc>
        <w:tc>
          <w:tcPr>
            <w:tcW w:w="120" w:type="dxa"/>
            <w:vAlign w:val="bottom"/>
            <w:shd w:val="clear" w:color="auto" w:fill="CCEEFF"/>
          </w:tcPr>
          <w:p>
            <w:pPr>
              <w:spacing w:after="0"/>
              <w:rPr>
                <w:sz w:val="22"/>
                <w:szCs w:val="22"/>
                <w:color w:val="auto"/>
              </w:rPr>
            </w:pP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(10,233)</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10,339</w:t>
            </w:r>
          </w:p>
        </w:tc>
        <w:tc>
          <w:tcPr>
            <w:tcW w:w="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392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right w:val="single" w:sz="8" w:color="CCEEFF"/>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5509260</wp:posOffset>
            </wp:positionH>
            <wp:positionV relativeFrom="paragraph">
              <wp:posOffset>-2459355</wp:posOffset>
            </wp:positionV>
            <wp:extent cx="6858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4892040</wp:posOffset>
            </wp:positionH>
            <wp:positionV relativeFrom="paragraph">
              <wp:posOffset>-2459355</wp:posOffset>
            </wp:positionV>
            <wp:extent cx="6858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-2459355</wp:posOffset>
            </wp:positionV>
            <wp:extent cx="6858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3280410</wp:posOffset>
            </wp:positionH>
            <wp:positionV relativeFrom="paragraph">
              <wp:posOffset>-2459355</wp:posOffset>
            </wp:positionV>
            <wp:extent cx="3429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5509260</wp:posOffset>
            </wp:positionH>
            <wp:positionV relativeFrom="paragraph">
              <wp:posOffset>-933450</wp:posOffset>
            </wp:positionV>
            <wp:extent cx="6858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4892040</wp:posOffset>
            </wp:positionH>
            <wp:positionV relativeFrom="paragraph">
              <wp:posOffset>-933450</wp:posOffset>
            </wp:positionV>
            <wp:extent cx="6858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-933450</wp:posOffset>
            </wp:positionV>
            <wp:extent cx="6858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3280410</wp:posOffset>
            </wp:positionH>
            <wp:positionV relativeFrom="paragraph">
              <wp:posOffset>-933450</wp:posOffset>
            </wp:positionV>
            <wp:extent cx="3429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70" w:lineRule="exact"/>
        <w:rPr>
          <w:sz w:val="20"/>
          <w:szCs w:val="20"/>
          <w:color w:val="auto"/>
        </w:rPr>
      </w:pPr>
    </w:p>
    <w:p>
      <w:pPr>
        <w:jc w:val="both"/>
        <w:ind w:left="1300" w:right="1300"/>
        <w:spacing w:after="0" w:line="256" w:lineRule="auto"/>
        <w:rPr>
          <w:sz w:val="20"/>
          <w:szCs w:val="20"/>
          <w:color w:val="auto"/>
        </w:rPr>
      </w:pPr>
      <w:r>
        <w:rPr>
          <w:rFonts w:ascii="Times New Roman" w:cs="Times New Roman" w:eastAsia="Times New Roman" w:hAnsi="Times New Roman"/>
          <w:sz w:val="18"/>
          <w:szCs w:val="18"/>
          <w:color w:val="auto"/>
        </w:rPr>
        <w:t>Amortization expense for intangible assets was $7.8 million, $2.7 million and $1.3 million for the years ended December 31, 2023, 2022 and 2021, respectively. The Company recorded an impairment charge of $6.1 million for the year ended December 31, 2023 related to intangible assets associated with certain product offerings that were sunset in December 2023, which is included in asset impairment charges in the consolidated statements of operations. No intangible asset impairment charges have been recorded for the years ended December 31, 2022 and 2021.</w:t>
      </w:r>
    </w:p>
    <w:p>
      <w:pPr>
        <w:spacing w:after="0" w:line="1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estimated future amortization expense of intangible assets as of December 31, 2023 is as follows (in thousands):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8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300" w:type="dxa"/>
            <w:vAlign w:val="bottom"/>
          </w:tcPr>
          <w:p>
            <w:pPr>
              <w:spacing w:after="0"/>
              <w:rPr>
                <w:sz w:val="16"/>
                <w:szCs w:val="16"/>
                <w:color w:val="auto"/>
              </w:rPr>
            </w:pPr>
          </w:p>
        </w:tc>
      </w:tr>
      <w:tr>
        <w:trPr>
          <w:trHeight w:val="37"/>
        </w:trPr>
        <w:tc>
          <w:tcPr>
            <w:tcW w:w="1300" w:type="dxa"/>
            <w:vAlign w:val="bottom"/>
          </w:tcPr>
          <w:p>
            <w:pPr>
              <w:spacing w:after="0"/>
              <w:rPr>
                <w:sz w:val="3"/>
                <w:szCs w:val="3"/>
                <w:color w:val="auto"/>
              </w:rPr>
            </w:pPr>
          </w:p>
        </w:tc>
        <w:tc>
          <w:tcPr>
            <w:tcW w:w="2980" w:type="dxa"/>
            <w:vAlign w:val="bottom"/>
            <w:tcBorders>
              <w:bottom w:val="single" w:sz="8" w:color="CCEEFF"/>
            </w:tcBorders>
          </w:tcPr>
          <w:p>
            <w:pPr>
              <w:spacing w:after="0"/>
              <w:rPr>
                <w:sz w:val="3"/>
                <w:szCs w:val="3"/>
                <w:color w:val="auto"/>
              </w:rPr>
            </w:pPr>
          </w:p>
        </w:tc>
        <w:tc>
          <w:tcPr>
            <w:tcW w:w="46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r>
      <w:tr>
        <w:trPr>
          <w:trHeight w:val="270"/>
        </w:trPr>
        <w:tc>
          <w:tcPr>
            <w:tcW w:w="1300" w:type="dxa"/>
            <w:vAlign w:val="bottom"/>
          </w:tcPr>
          <w:p>
            <w:pPr>
              <w:spacing w:after="0"/>
              <w:rPr>
                <w:sz w:val="23"/>
                <w:szCs w:val="23"/>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Years ended December 31,</w:t>
            </w:r>
          </w:p>
        </w:tc>
        <w:tc>
          <w:tcPr>
            <w:tcW w:w="46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r>
      <w:tr>
        <w:trPr>
          <w:trHeight w:val="243"/>
        </w:trPr>
        <w:tc>
          <w:tcPr>
            <w:tcW w:w="1300" w:type="dxa"/>
            <w:vAlign w:val="bottom"/>
          </w:tcPr>
          <w:p>
            <w:pPr>
              <w:spacing w:after="0"/>
              <w:rPr>
                <w:sz w:val="21"/>
                <w:szCs w:val="21"/>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13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300" w:type="dxa"/>
            <w:vAlign w:val="bottom"/>
          </w:tcPr>
          <w:p>
            <w:pPr>
              <w:spacing w:after="0"/>
              <w:rPr>
                <w:sz w:val="21"/>
                <w:szCs w:val="21"/>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46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555</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543</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13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300" w:type="dxa"/>
            <w:vAlign w:val="bottom"/>
          </w:tcPr>
          <w:p>
            <w:pPr>
              <w:spacing w:after="0"/>
              <w:rPr>
                <w:sz w:val="21"/>
                <w:szCs w:val="21"/>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46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505</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13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1300" w:type="dxa"/>
            <w:vAlign w:val="bottom"/>
          </w:tcPr>
          <w:p>
            <w:pPr>
              <w:spacing w:after="0"/>
              <w:rPr>
                <w:sz w:val="19"/>
                <w:szCs w:val="19"/>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4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1300" w:type="dxa"/>
            <w:vAlign w:val="bottom"/>
          </w:tcPr>
          <w:p>
            <w:pPr>
              <w:spacing w:after="0"/>
              <w:rPr>
                <w:sz w:val="4"/>
                <w:szCs w:val="4"/>
                <w:color w:val="auto"/>
              </w:rPr>
            </w:pPr>
          </w:p>
        </w:tc>
        <w:tc>
          <w:tcPr>
            <w:tcW w:w="2980" w:type="dxa"/>
            <w:vAlign w:val="bottom"/>
            <w:tcBorders>
              <w:top w:val="single" w:sz="8" w:color="CCEEFF"/>
            </w:tcBorders>
            <w:shd w:val="clear" w:color="auto" w:fill="CCEEFF"/>
          </w:tcPr>
          <w:p>
            <w:pPr>
              <w:spacing w:after="0"/>
              <w:rPr>
                <w:sz w:val="4"/>
                <w:szCs w:val="4"/>
                <w:color w:val="auto"/>
              </w:rPr>
            </w:pPr>
          </w:p>
        </w:tc>
        <w:tc>
          <w:tcPr>
            <w:tcW w:w="46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300" w:type="dxa"/>
            <w:vAlign w:val="bottom"/>
          </w:tcPr>
          <w:p>
            <w:pPr>
              <w:spacing w:after="0"/>
              <w:rPr>
                <w:sz w:val="4"/>
                <w:szCs w:val="4"/>
                <w:color w:val="auto"/>
              </w:rPr>
            </w:pPr>
          </w:p>
        </w:tc>
      </w:tr>
      <w:tr>
        <w:trPr>
          <w:trHeight w:val="257"/>
        </w:trPr>
        <w:tc>
          <w:tcPr>
            <w:tcW w:w="130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4760" w:type="dxa"/>
            <w:vAlign w:val="bottom"/>
            <w:gridSpan w:val="2"/>
          </w:tcPr>
          <w:p>
            <w:pPr>
              <w:spacing w:after="0"/>
              <w:rPr>
                <w:sz w:val="22"/>
                <w:szCs w:val="22"/>
                <w:color w:val="auto"/>
              </w:rPr>
            </w:pP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2,507</w:t>
            </w: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79"/>
        </w:trPr>
        <w:tc>
          <w:tcPr>
            <w:tcW w:w="1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920" w:type="dxa"/>
            <w:vAlign w:val="bottom"/>
            <w:gridSpan w:val="3"/>
          </w:tcPr>
          <w:p>
            <w:pPr>
              <w:jc w:val="right"/>
              <w:ind w:right="3430"/>
              <w:spacing w:after="0"/>
              <w:rPr>
                <w:sz w:val="20"/>
                <w:szCs w:val="20"/>
                <w:color w:val="auto"/>
              </w:rPr>
            </w:pPr>
            <w:r>
              <w:rPr>
                <w:rFonts w:ascii="Times New Roman" w:cs="Times New Roman" w:eastAsia="Times New Roman" w:hAnsi="Times New Roman"/>
                <w:sz w:val="18"/>
                <w:szCs w:val="18"/>
                <w:color w:val="auto"/>
              </w:rPr>
              <w:t>F-59</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tcPr>
          <w:p>
            <w:pPr>
              <w:spacing w:after="0"/>
              <w:rPr>
                <w:sz w:val="15"/>
                <w:szCs w:val="15"/>
                <w:color w:val="auto"/>
              </w:rPr>
            </w:pPr>
          </w:p>
        </w:tc>
        <w:tc>
          <w:tcPr>
            <w:tcW w:w="4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5560695</wp:posOffset>
            </wp:positionH>
            <wp:positionV relativeFrom="paragraph">
              <wp:posOffset>-1851025</wp:posOffset>
            </wp:positionV>
            <wp:extent cx="7747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020"/>
          </w:cols>
          <w:pgMar w:left="440" w:top="263" w:right="439" w:bottom="447" w:gutter="0" w:footer="0" w:header="0"/>
        </w:sectPr>
      </w:pPr>
    </w:p>
    <w:bookmarkStart w:id="198" w:name="page199"/>
    <w:bookmarkEnd w:id="19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ind w:left="300" w:right="2179" w:firstLine="1832"/>
        <w:spacing w:after="0" w:line="260"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 10. Prepaid Expenses and Other Current Assets</w:t>
      </w:r>
    </w:p>
    <w:p>
      <w:pPr>
        <w:spacing w:after="0" w:line="73"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as of</w:t>
            </w:r>
          </w:p>
        </w:tc>
        <w:tc>
          <w:tcPr>
            <w:tcW w:w="31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December 31, 2023 and 2022 consisted</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of the following</w:t>
            </w: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624"/>
        </w:trPr>
        <w:tc>
          <w:tcPr>
            <w:tcW w:w="38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24"/>
                <w:szCs w:val="24"/>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50"/>
        </w:trPr>
        <w:tc>
          <w:tcPr>
            <w:tcW w:w="3840" w:type="dxa"/>
            <w:vAlign w:val="bottom"/>
            <w:tcBorders>
              <w:bottom w:val="single" w:sz="8" w:color="CCEEFF"/>
            </w:tcBorders>
          </w:tcPr>
          <w:p>
            <w:pPr>
              <w:spacing w:after="0"/>
              <w:rPr>
                <w:sz w:val="4"/>
                <w:szCs w:val="4"/>
                <w:color w:val="auto"/>
              </w:rPr>
            </w:pPr>
          </w:p>
        </w:tc>
        <w:tc>
          <w:tcPr>
            <w:tcW w:w="20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r>
      <w:tr>
        <w:trPr>
          <w:trHeight w:val="311"/>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3180" w:type="dxa"/>
            <w:vAlign w:val="bottom"/>
            <w:tcBorders>
              <w:bottom w:val="single" w:sz="8" w:color="CCEEFF"/>
            </w:tcBorders>
            <w:gridSpan w:val="4"/>
            <w:shd w:val="clear" w:color="auto" w:fill="CCEEFF"/>
          </w:tcPr>
          <w:p>
            <w:pPr>
              <w:jc w:val="center"/>
              <w:ind w:left="1950"/>
              <w:spacing w:after="0"/>
              <w:rPr>
                <w:sz w:val="20"/>
                <w:szCs w:val="20"/>
                <w:color w:val="auto"/>
              </w:rPr>
            </w:pPr>
            <w:r>
              <w:rPr>
                <w:rFonts w:ascii="Times New Roman" w:cs="Times New Roman" w:eastAsia="Times New Roman" w:hAnsi="Times New Roman"/>
                <w:sz w:val="18"/>
                <w:szCs w:val="18"/>
                <w:color w:val="auto"/>
              </w:rPr>
              <w:t>$1,530</w:t>
            </w:r>
          </w:p>
        </w:tc>
        <w:tc>
          <w:tcPr>
            <w:tcW w:w="1400" w:type="dxa"/>
            <w:vAlign w:val="bottom"/>
            <w:tcBorders>
              <w:bottom w:val="single" w:sz="8" w:color="CCEEFF"/>
            </w:tcBorders>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$2,869</w:t>
            </w:r>
          </w:p>
        </w:tc>
      </w:tr>
      <w:tr>
        <w:trPr>
          <w:trHeight w:val="27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Prepaid marketing</w:t>
            </w:r>
          </w:p>
        </w:tc>
        <w:tc>
          <w:tcPr>
            <w:tcW w:w="2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34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340" w:type="dxa"/>
            <w:vAlign w:val="bottom"/>
          </w:tcPr>
          <w:p>
            <w:pPr>
              <w:spacing w:after="0"/>
              <w:rPr>
                <w:sz w:val="23"/>
                <w:szCs w:val="23"/>
                <w:color w:val="auto"/>
              </w:rPr>
            </w:pPr>
          </w:p>
        </w:tc>
      </w:tr>
      <w:tr>
        <w:trPr>
          <w:trHeight w:val="54"/>
        </w:trPr>
        <w:tc>
          <w:tcPr>
            <w:tcW w:w="38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r>
      <w:tr>
        <w:trPr>
          <w:trHeight w:val="304"/>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software</w:t>
            </w:r>
          </w:p>
        </w:tc>
        <w:tc>
          <w:tcPr>
            <w:tcW w:w="28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3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340" w:type="dxa"/>
            <w:vAlign w:val="bottom"/>
            <w:tcBorders>
              <w:bottom w:val="single" w:sz="8" w:color="CCEEFF"/>
            </w:tcBorders>
            <w:shd w:val="clear" w:color="auto" w:fill="CCEEFF"/>
          </w:tcPr>
          <w:p>
            <w:pPr>
              <w:spacing w:after="0"/>
              <w:rPr>
                <w:sz w:val="24"/>
                <w:szCs w:val="24"/>
                <w:color w:val="auto"/>
              </w:rPr>
            </w:pPr>
          </w:p>
        </w:tc>
      </w:tr>
      <w:tr>
        <w:trPr>
          <w:trHeight w:val="27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2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34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340" w:type="dxa"/>
            <w:vAlign w:val="bottom"/>
          </w:tcPr>
          <w:p>
            <w:pPr>
              <w:spacing w:after="0"/>
              <w:rPr>
                <w:sz w:val="23"/>
                <w:szCs w:val="23"/>
                <w:color w:val="auto"/>
              </w:rPr>
            </w:pPr>
          </w:p>
        </w:tc>
      </w:tr>
      <w:tr>
        <w:trPr>
          <w:trHeight w:val="48"/>
        </w:trPr>
        <w:tc>
          <w:tcPr>
            <w:tcW w:w="38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r>
      <w:tr>
        <w:trPr>
          <w:trHeight w:val="283"/>
        </w:trPr>
        <w:tc>
          <w:tcPr>
            <w:tcW w:w="3840" w:type="dxa"/>
            <w:vAlign w:val="bottom"/>
            <w:shd w:val="clear" w:color="auto" w:fill="CCEEFF"/>
          </w:tcPr>
          <w:p>
            <w:pPr>
              <w:spacing w:after="0"/>
              <w:rPr>
                <w:sz w:val="24"/>
                <w:szCs w:val="24"/>
                <w:color w:val="auto"/>
              </w:rPr>
            </w:pPr>
          </w:p>
        </w:tc>
        <w:tc>
          <w:tcPr>
            <w:tcW w:w="3180" w:type="dxa"/>
            <w:vAlign w:val="bottom"/>
            <w:gridSpan w:val="4"/>
            <w:shd w:val="clear" w:color="auto" w:fill="CCEEFF"/>
          </w:tcPr>
          <w:p>
            <w:pPr>
              <w:jc w:val="center"/>
              <w:ind w:left="195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5,978</w:t>
            </w:r>
          </w:p>
        </w:tc>
        <w:tc>
          <w:tcPr>
            <w:tcW w:w="140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8,962</w:t>
            </w:r>
          </w:p>
        </w:tc>
      </w:tr>
      <w:tr>
        <w:trPr>
          <w:trHeight w:val="34"/>
        </w:trPr>
        <w:tc>
          <w:tcPr>
            <w:tcW w:w="3840" w:type="dxa"/>
            <w:vAlign w:val="bottom"/>
            <w:tcBorders>
              <w:top w:val="single" w:sz="8" w:color="CCEEFF"/>
            </w:tcBorders>
            <w:shd w:val="clear" w:color="auto" w:fill="CCEEFF"/>
          </w:tcPr>
          <w:p>
            <w:pPr>
              <w:spacing w:after="0"/>
              <w:rPr>
                <w:sz w:val="2"/>
                <w:szCs w:val="2"/>
                <w:color w:val="auto"/>
              </w:rPr>
            </w:pPr>
          </w:p>
        </w:tc>
        <w:tc>
          <w:tcPr>
            <w:tcW w:w="20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auto"/>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auto"/>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-1062355</wp:posOffset>
            </wp:positionV>
            <wp:extent cx="13716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-1062355</wp:posOffset>
            </wp:positionV>
            <wp:extent cx="6858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Company capitalizes implementation costs incurred in cloud computing arrangements that are service contracts if they meet certain requirements. Those requirements are similar to the requirements for capitalizing implementation costs incurred to develop internal-use software. Amortization is computed using the straight-line method over the term of the associated hosting arrangement. These implementation costs are classified on the balance sheet in prepaid and other current assets, and the related cash flows are presented as cash outflows from operations. Impairment is recognized and measured when it is no longer probable that the computer software project will be completed and placed in service.</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No impairment charge was recognized during the year ended December 31, 2023, related to certain capitalized implementation costs for a cloud computing arrangement that was abandoned. The Company recognized an impairment charge of $0.8 million during the year ended December 31, 2022, related to certain capitalized implementation costs for a cloud computing arrangement that was abandoned.</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11.  Accounts Payable and Accrued Expenses</w:t>
      </w:r>
    </w:p>
    <w:p>
      <w:pPr>
        <w:spacing w:after="0" w:line="14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Accounts payable and accrued liabilities as of December 31, 2023 and 2022 consisted of the following (in thousands):</w:t>
      </w:r>
    </w:p>
    <w:p>
      <w:pPr>
        <w:spacing w:after="0" w:line="39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13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50"/>
        </w:trPr>
        <w:tc>
          <w:tcPr>
            <w:tcW w:w="586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r>
      <w:tr>
        <w:trPr>
          <w:trHeight w:val="311"/>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$ 7,323</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$ 9,561</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r>
      <w:tr>
        <w:trPr>
          <w:trHeight w:val="27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expenses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13,859</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24,074</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48"/>
        </w:trPr>
        <w:tc>
          <w:tcPr>
            <w:tcW w:w="58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283"/>
        </w:trPr>
        <w:tc>
          <w:tcPr>
            <w:tcW w:w="586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21,182</w:t>
            </w:r>
          </w:p>
        </w:tc>
        <w:tc>
          <w:tcPr>
            <w:tcW w:w="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33,635</w:t>
            </w:r>
          </w:p>
        </w:tc>
        <w:tc>
          <w:tcPr>
            <w:tcW w:w="280" w:type="dxa"/>
            <w:vAlign w:val="bottom"/>
            <w:shd w:val="clear" w:color="auto" w:fill="CCEEFF"/>
          </w:tcPr>
          <w:p>
            <w:pPr>
              <w:spacing w:after="0"/>
              <w:rPr>
                <w:sz w:val="24"/>
                <w:szCs w:val="24"/>
                <w:color w:val="auto"/>
              </w:rPr>
            </w:pPr>
          </w:p>
        </w:tc>
      </w:tr>
      <w:tr>
        <w:trPr>
          <w:trHeight w:val="34"/>
        </w:trPr>
        <w:tc>
          <w:tcPr>
            <w:tcW w:w="58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-650875</wp:posOffset>
            </wp:positionV>
            <wp:extent cx="13716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-650875</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Accrued employee expenses include accrued bonuses of $2.6 million and $9.9 million as of December 31, 2023 and 2022, respectively, primarily related to certain employment agreements entered into in connection with prior acquisitions. The decrease in accrued employee expenses as of December 31, 2023 compared with December 31, 2022 is primarily due to a decline in bonuses accrual of $5.9 million related to certain employment agreements entered into in connection with prior acquisitions, payment of employee termination cost of $3.6 million and a decline in other employee bonuses of $0.6 million due to a decrease in employee headcount.</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12.  Warrant Liability</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At December 31, 2023, there were 12,499,973 Public Warrants outstanding and 7,000,000 Private Placement Warrants outstanding.</w:t>
      </w:r>
    </w:p>
    <w:p>
      <w:pPr>
        <w:spacing w:after="0" w:line="5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As part of Silver Spike’s initial public offering, 12,500,000 Public Warrants were sold. The Public Warrants entitle the holder thereof to purchase one share of Class A Common Stock at a price of $11.50 per share, subject to adjustments. The Public Warrants may be exercised only for a whole number of shares of Class A Common Stock. No fractional shares will be issued upon exercise of the warrants. The Public Warrants will expire at 5:00 p.m. New York City time on June 16, 2026, or earlier upon redemption or liquidation. The Public Warrants are listed on the NYSE under the symbol “MAPSW.”</w:t>
      </w:r>
    </w:p>
    <w:p>
      <w:pPr>
        <w:spacing w:after="0" w:line="7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Company may redeem the Public Warrants starting July 16, 2021, in whole and not in part, at a price of $0.01 per Public Warrant, upon not less than 30 days’ prior written notice of redemption to each holder of Public Warrants, and if, and only if, the reported last sales price of the Company’s Class A Common Stock equals or exceeds $18.00 per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9" w:name="page200"/>
    <w:bookmarkEnd w:id="19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share (as adjusted for share splits, share dividends, rights issuances, subdivisions, reorganizations, recapitalization and the like) for any 20 trading days within a 30-trading day period ending on the third trading day prior to the date the Company sends the notice of redemption to the holders of Public Warrants.</w:t>
      </w:r>
    </w:p>
    <w:p>
      <w:pPr>
        <w:spacing w:after="0" w:line="6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Simultaneously with Silver Spike’s initial public offering, Silver Spike consummated a private placement of 7,000,000 Private Placement Warrants with Silver Spike’s sponsor (“Silver Spike Sponsor”). Each Private Placement Warrant is exercisable for one share of Class A Common Stock at a price of $11.50 per share, subject to adjustment. The Private Placement Warrants (including the shares of Class A Common Stock issuable upon exercise of the Private Placement Warrants) are not transferable, assignable or salable until 30 days after the completion of the Business Combination, subject to certain exceptions, and they are nonredeemable as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the Company and exercisable by the holders on the same basis as the Public Warrants.</w:t>
      </w:r>
    </w:p>
    <w:p>
      <w:pPr>
        <w:spacing w:after="0" w:line="8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Company may exercise its redemption right even if it is unable to register or qualify the underlying securities for sale under all applicable state securities laws.</w:t>
      </w:r>
    </w:p>
    <w:p>
      <w:pPr>
        <w:spacing w:after="0" w:line="5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If the Company calls the Public Warrants for redemption, management will have the option to require all holders that wish to exercise the Public Warrants to do so on a “cashless basis,” as described in the warrant agreement. The exercise price and number of Class A Common Stock issuable upon exercise of the Public Warrants may be adjusted in certain circumstances including in the event of a share dividend, extraordinary dividend or recapitalization, reorganization, merger or consolidation. However, the Public Warrants will not be adjusted for issuances of shares of Class A Common Stock at a price below its exercise price. Additionally, in no event will the Company be required to net cash settle the Public Warrants.</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The Company concluded the Public Warrants and Private Placement Warrants, or the Warrants, meet the definition of a derivative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 described in Note 2) and are recorded as liabilities. Upon the Closing, the fair value of the Warrants was recorded on the balance sheet. The fair value of the Warrants is remeasured as of each balance sheet date, which resulted in non-cash gain of $1.5 million, $25.4 million and $166.5 million in the consolidated statements of operations for the years ended December 31, 2023, 2022 and 2021, respectively. For additional information, see Note 6, “Fair Value Measurements.”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13.  Equity</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shares of Class A Common Stock are entitled to receive ratably such dividends, if any, as may be declared from time to time by the Company’s board of directors out of funds legally available therefor.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0" w:name="page201"/>
    <w:bookmarkEnd w:id="20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the shares of Class A Common Stock are entitled to share ratably in all assets remaining after payment of the Company’s debts and other liabilities, subject to prior distribution rights of preferred stock or any class or series of stock having a preference over the shares of Class A Common Stock, then outstanding, if any.</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the Company may issue in the future.</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V Common Stock</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2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holders of the Class V Common Stock will not participate in any dividends declared by the Company’s board of directors.</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V Common Stock are not entitled to receive any of the Company’s assets.</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holders of shares of Class V Common Stock do not have preemptive, subscription, redemption or conversion rights. There will be no redemption or sinking fund provisions applicable to the Class V Common Stock.</w:t>
      </w: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Issuance and Retirement of Class V Common Stock</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the event that any outstanding share of Class V Common Stock ceases to be held directly or indirectly by a holder of Class A Units, such share will automatically be transferred to us for no consideration and thereupon will be retired. The Company will not issue additional shares of Class V Common Stock other than in connection with the valid issuance or transfer of Units in accordance with the governing documents of WMH LLC.</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Pursuant to the amended and restated certificate of incorporation in effect as of June 15, 2021, the Company was authorized to issue 75,000,000 shares of preferred stock with such designations, voting and other rights and preferences as may be determined from time to time by the Company’s board of directors. As of December 31, 2023, there were no shares of preferred stock issued or outstanding.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1" w:name="page202"/>
    <w:bookmarkEnd w:id="20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noncontrolling interest represents the Units held by holders other than the Company. As of December 31, 2023, the noncontrolling interests owned 37.2% of the Units outstanding. The noncontrolling interests’ ownership percentage can fluctuate over time, including as the WMH LLC equity holders elect to exchange Units for Class A Common Stock. The Company has consolidated the financial position and results of operations of WMH LLC and reflected the proportionate interest held by the WMH LLC Unit equity holders as noncontrolling interests. Net income for the period prior to the Business Combination from January 1, 2021 to June 15, 2021 is allocated to net income attributable to noncontrolling interests on the consolidated statements of operations for the year ended December 31, 2021.</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14.  Stock-based Compensation</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WM Holding Company, LLC Equity Incentive Plan</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accounted for the issuance of Class A-3 and Class B Units issued under the WM Holding Company, LLC Equity Incentive Plan in accordance with ASC 718 - </w:t>
      </w:r>
      <w:r>
        <w:rPr>
          <w:rFonts w:ascii="Times New Roman" w:cs="Times New Roman" w:eastAsia="Times New Roman" w:hAnsi="Times New Roman"/>
          <w:sz w:val="18"/>
          <w:szCs w:val="18"/>
          <w:i w:val="1"/>
          <w:iCs w:val="1"/>
          <w:color w:val="auto"/>
        </w:rPr>
        <w:t>Stock Based Compensation</w:t>
      </w:r>
      <w:r>
        <w:rPr>
          <w:rFonts w:ascii="Times New Roman" w:cs="Times New Roman" w:eastAsia="Times New Roman" w:hAnsi="Times New Roman"/>
          <w:sz w:val="18"/>
          <w:szCs w:val="18"/>
          <w:color w:val="auto"/>
        </w:rPr>
        <w:t>. The Company considered the limitation on the exercisability of the Class A-3 and Class B Units to be a performance condition and recorded compensation cost when it became probable that the performance condition would be met.</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each of the Class A-3 Units outstanding prior to the Business Combination were cancelled, and the holder thereof received a number of Class A units representing limited liability company interests of WMH LLC (the “Class A Units”) and an equivalent number of shares of Class V Common Stock, par value $0.0001 per share (together with the Class A Units, the “Paired Interests”), and each of the Class B Units outstanding prior to the Business Combination were cancelled and holders thereof received a number of Class P units representing limited liability company interests of WMH LLC (the “Class P Units” and together with the Class A Units, the “Units”), each in accordance with the Merger Agreement.</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Concurrently with the closing of the Business Combination, the Unit holders entered into an exchange agreement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summary of the Class P Unit activity for the periods presented is as follows:</w:t>
      </w:r>
    </w:p>
    <w:p>
      <w:pPr>
        <w:spacing w:after="0" w:line="200" w:lineRule="exact"/>
        <w:rPr>
          <w:sz w:val="20"/>
          <w:szCs w:val="20"/>
          <w:color w:val="auto"/>
        </w:rPr>
      </w:pPr>
    </w:p>
    <w:p>
      <w:pPr>
        <w:spacing w:after="0" w:line="26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106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Number of Units</w:t>
            </w:r>
          </w:p>
        </w:tc>
      </w:tr>
      <w:tr>
        <w:trPr>
          <w:trHeight w:val="50"/>
        </w:trPr>
        <w:tc>
          <w:tcPr>
            <w:tcW w:w="73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311"/>
        </w:trPr>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Class P Units, December 31, 2022</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15,125,429</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Cancellations</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(75,922)</w:t>
            </w:r>
          </w:p>
        </w:tc>
        <w:tc>
          <w:tcPr>
            <w:tcW w:w="80" w:type="dxa"/>
            <w:vAlign w:val="bottom"/>
          </w:tcPr>
          <w:p>
            <w:pPr>
              <w:spacing w:after="0"/>
              <w:rPr>
                <w:sz w:val="23"/>
                <w:szCs w:val="23"/>
                <w:color w:val="auto"/>
              </w:rPr>
            </w:pPr>
          </w:p>
        </w:tc>
      </w:tr>
      <w:tr>
        <w:trPr>
          <w:trHeight w:val="54"/>
        </w:trPr>
        <w:tc>
          <w:tcPr>
            <w:tcW w:w="7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18"/>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Exchanged for Class A Common Stock</w:t>
            </w:r>
          </w:p>
        </w:tc>
        <w:tc>
          <w:tcPr>
            <w:tcW w:w="12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(245,000)</w:t>
            </w:r>
          </w:p>
        </w:tc>
      </w:tr>
      <w:tr>
        <w:trPr>
          <w:trHeight w:val="284"/>
        </w:trPr>
        <w:tc>
          <w:tcPr>
            <w:tcW w:w="73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Class P Units, December 31, 2023</w:t>
            </w:r>
          </w:p>
        </w:tc>
        <w:tc>
          <w:tcPr>
            <w:tcW w:w="120" w:type="dxa"/>
            <w:vAlign w:val="bottom"/>
            <w:tcBorders>
              <w:top w:val="single" w:sz="8" w:color="CCEEFF"/>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14,804,507</w:t>
            </w: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48"/>
        </w:trPr>
        <w:tc>
          <w:tcPr>
            <w:tcW w:w="7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83"/>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December 31, 2023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14,723,936</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34"/>
        </w:trPr>
        <w:tc>
          <w:tcPr>
            <w:tcW w:w="7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-1079500</wp:posOffset>
            </wp:positionV>
            <wp:extent cx="11176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of December 31, 2023, unrecognized stock-based compensation expense for non-vested Class P Units were $0.2 million, which is expected to be recognized over a weighted-average period of 0.9 years. For the years ended December 31, 2023, 2022 and 2021, the Company recorded stock-based compensation expense for the Class P Units of $0.5 million, $2.3 million and $20.9 million, respectively. Due to the Business Combination completed in the second quarter of 2021, certain limitations on exercisability related to the Company’s Class P equity awards issued to employees and consultants were removed and as a result the Company recognized the life-to-date expense on units vested through the Business Combination date on those equity awards. The stock-based compensation expense recognized during the year ended December 31, 2021 includes a one-time incremental expense of $4.1 million related to an award modification as a result of an advisory agreement entered into with a former executive.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2" w:name="page203"/>
    <w:bookmarkEnd w:id="20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WM Technology, Inc. Equity Incentive Plan</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the Company adopted the WM Technology, Inc. 2021 Equity Incentive Plan (the “2021 Plan”). The 2021 Plan permits the granting of incentive stock options to employees and for the grant of nonstatutory stock options, stock appreciation rights, restricted stock awards, restricted stock unit awards, performance awards and other forms of stock awards to employees, directors and consultants. As of December 31, 2023, 33,146,412 shares of Class A Common Stock are authorized for issuance pursuant to awards under the 2021 Plan. The number of shares of Class A Common stock reserved for issuance under the 2021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1st of a given year to provide that the increase for such year will be a lesser number of shares of Common Stock. As of December 31, 2023, 19,530,046 shares of Class A Common Stock are available for future issuance.</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summary of the restricted stock unit (“RSU”) activity for the year ended December 31, 2023 is as follows:</w:t>
      </w:r>
    </w:p>
    <w:p>
      <w:pPr>
        <w:spacing w:after="0" w:line="200" w:lineRule="exact"/>
        <w:rPr>
          <w:sz w:val="20"/>
          <w:szCs w:val="20"/>
          <w:color w:val="auto"/>
        </w:rPr>
      </w:pPr>
    </w:p>
    <w:p>
      <w:pPr>
        <w:spacing w:after="0" w:line="26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3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0"/>
        </w:trPr>
        <w:tc>
          <w:tcPr>
            <w:tcW w:w="5940" w:type="dxa"/>
            <w:vAlign w:val="bottom"/>
          </w:tcPr>
          <w:p>
            <w:pPr>
              <w:spacing w:after="0"/>
              <w:rPr>
                <w:sz w:val="16"/>
                <w:szCs w:val="16"/>
                <w:color w:val="auto"/>
              </w:rPr>
            </w:pPr>
          </w:p>
        </w:tc>
        <w:tc>
          <w:tcPr>
            <w:tcW w:w="1360" w:type="dxa"/>
            <w:vAlign w:val="bottom"/>
            <w:gridSpan w:val="5"/>
            <w:vMerge w:val="continue"/>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50"/>
        </w:trPr>
        <w:tc>
          <w:tcPr>
            <w:tcW w:w="59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9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6,269,868</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6,634,013</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54"/>
        </w:trPr>
        <w:tc>
          <w:tcPr>
            <w:tcW w:w="5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(2,245,844)</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5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Cancelled/Forfeited/Expired</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(2,974,439)</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61"/>
        </w:trPr>
        <w:tc>
          <w:tcPr>
            <w:tcW w:w="5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7,683,598</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48"/>
        </w:trPr>
        <w:tc>
          <w:tcPr>
            <w:tcW w:w="59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-1062355</wp:posOffset>
            </wp:positionV>
            <wp:extent cx="18859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-1062355</wp:posOffset>
            </wp:positionV>
            <wp:extent cx="9398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As of December 31, 2023, unrecognized stock-based compensation expense for non-vested RSUs was $20.6 million, which is expected to be recognized over a weighted-average period of 1.8 years. For the years ended December 31, 2023, 2022 and 2021, the Company recorded stock-based compensation expense for the RSUs of $13.1 million, $21.2 million and $8.0 million, respectively. Stock-based compensation recognized during the year ended December 31, 2022 included a $0.6 million expense related to an award modification as a result of the departure of the Company’s former chief executive officer.</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 grants performance-based restricted stock units (“PRSUs”) with performance and service-based vesting conditions. The level of achievement of such goals may cause the actual number of units that ultimately vest to range from 0% to 200% of the original units granted. The Company recognizes expense ratably over the vesting period for the PRSUs when it is probable that the performance criteria specified will be achieved. The fair value is equal to the market price of the Company’s common stock on the date of grant.</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summary of the PRSU activity for the year ended December 31, 2023 is as follows:</w:t>
      </w:r>
    </w:p>
    <w:p>
      <w:pPr>
        <w:spacing w:after="0" w:line="200" w:lineRule="exact"/>
        <w:rPr>
          <w:sz w:val="20"/>
          <w:szCs w:val="20"/>
          <w:color w:val="auto"/>
        </w:rPr>
      </w:pPr>
    </w:p>
    <w:p>
      <w:pPr>
        <w:spacing w:after="0" w:line="26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38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 of PRSUs</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0"/>
        </w:trPr>
        <w:tc>
          <w:tcPr>
            <w:tcW w:w="5880" w:type="dxa"/>
            <w:vAlign w:val="bottom"/>
          </w:tcPr>
          <w:p>
            <w:pPr>
              <w:spacing w:after="0"/>
              <w:rPr>
                <w:sz w:val="16"/>
                <w:szCs w:val="16"/>
                <w:color w:val="auto"/>
              </w:rPr>
            </w:pPr>
          </w:p>
        </w:tc>
        <w:tc>
          <w:tcPr>
            <w:tcW w:w="1380" w:type="dxa"/>
            <w:vAlign w:val="bottom"/>
            <w:gridSpan w:val="5"/>
            <w:vMerge w:val="continue"/>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50"/>
        </w:trPr>
        <w:tc>
          <w:tcPr>
            <w:tcW w:w="58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9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859,375</w:t>
            </w:r>
          </w:p>
        </w:tc>
        <w:tc>
          <w:tcPr>
            <w:tcW w:w="1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357"/>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7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60" w:type="dxa"/>
            <w:vAlign w:val="bottom"/>
          </w:tcPr>
          <w:p>
            <w:pPr>
              <w:spacing w:after="0"/>
              <w:rPr>
                <w:sz w:val="23"/>
                <w:szCs w:val="23"/>
                <w:color w:val="auto"/>
              </w:rPr>
            </w:pPr>
          </w:p>
        </w:tc>
        <w:tc>
          <w:tcPr>
            <w:tcW w:w="112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5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2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5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Cancelled/Forfeited/Expired</w:t>
            </w:r>
          </w:p>
        </w:tc>
        <w:tc>
          <w:tcPr>
            <w:tcW w:w="11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(625,000)</w:t>
            </w:r>
          </w:p>
        </w:tc>
        <w:tc>
          <w:tcPr>
            <w:tcW w:w="240" w:type="dxa"/>
            <w:vAlign w:val="bottom"/>
          </w:tcPr>
          <w:p>
            <w:pPr>
              <w:spacing w:after="0"/>
              <w:rPr>
                <w:sz w:val="22"/>
                <w:szCs w:val="22"/>
                <w:color w:val="auto"/>
              </w:rPr>
            </w:pPr>
          </w:p>
        </w:tc>
        <w:tc>
          <w:tcPr>
            <w:tcW w:w="1160" w:type="dxa"/>
            <w:vAlign w:val="bottom"/>
          </w:tcPr>
          <w:p>
            <w:pPr>
              <w:jc w:val="right"/>
              <w:ind w:right="357"/>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61"/>
        </w:trPr>
        <w:tc>
          <w:tcPr>
            <w:tcW w:w="58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234,375</w:t>
            </w:r>
          </w:p>
        </w:tc>
        <w:tc>
          <w:tcPr>
            <w:tcW w:w="1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57"/>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48"/>
        </w:trPr>
        <w:tc>
          <w:tcPr>
            <w:tcW w:w="58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-1062355</wp:posOffset>
            </wp:positionV>
            <wp:extent cx="15430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-1062355</wp:posOffset>
            </wp:positionV>
            <wp:extent cx="7747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Based on the probability of attainment as of December 31, 2023, the unrecognized stock-based compensation expense for non-vested PRSUs was nil. For the years ended December 31, 2023 and 2022, the Company recorded stock-based compensation credit of $0.1 million and less than $0.1 million, respectively, related to the PRSUs. For the year ended December 31, 2021, the Company recorded stock-based compensation expense of $0.4 million related to the PRSUs. Stock-based compensation expense related to these PRSUs decreased due to the reassessment of vesting probability and the forfeitures resulting from the executive departures.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3" w:name="page204"/>
    <w:bookmarkEnd w:id="20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cost related to the Class P Units, RSUs and PRSUs in the following expense categories on the consolidated statements of operations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2600" w:type="dxa"/>
            <w:vAlign w:val="bottom"/>
            <w:gridSpan w:val="7"/>
          </w:tcPr>
          <w:p>
            <w:pPr>
              <w:ind w:left="4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37"/>
        </w:trPr>
        <w:tc>
          <w:tcPr>
            <w:tcW w:w="582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213"/>
        </w:trPr>
        <w:tc>
          <w:tcPr>
            <w:tcW w:w="5820" w:type="dxa"/>
            <w:vAlign w:val="bottom"/>
          </w:tcPr>
          <w:p>
            <w:pPr>
              <w:spacing w:after="0"/>
              <w:rPr>
                <w:sz w:val="18"/>
                <w:szCs w:val="18"/>
                <w:color w:val="auto"/>
              </w:rPr>
            </w:pP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8"/>
                <w:szCs w:val="18"/>
                <w:color w:val="auto"/>
              </w:rPr>
            </w:pP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8"/>
                <w:szCs w:val="18"/>
                <w:color w:val="auto"/>
              </w:rPr>
            </w:pPr>
          </w:p>
        </w:tc>
      </w:tr>
      <w:tr>
        <w:trPr>
          <w:trHeight w:val="37"/>
        </w:trPr>
        <w:tc>
          <w:tcPr>
            <w:tcW w:w="582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270"/>
        </w:trPr>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$ 2,706</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$ 6,358</w:t>
            </w:r>
          </w:p>
        </w:tc>
        <w:tc>
          <w:tcPr>
            <w:tcW w:w="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$ 6,021</w:t>
            </w:r>
          </w:p>
        </w:tc>
        <w:tc>
          <w:tcPr>
            <w:tcW w:w="40" w:type="dxa"/>
            <w:vAlign w:val="bottom"/>
            <w:tcBorders>
              <w:bottom w:val="single" w:sz="8" w:color="CCEEFF"/>
            </w:tcBorders>
            <w:shd w:val="clear" w:color="auto" w:fill="CCEEFF"/>
          </w:tcPr>
          <w:p>
            <w:pPr>
              <w:spacing w:after="0"/>
              <w:rPr>
                <w:sz w:val="23"/>
                <w:szCs w:val="23"/>
                <w:color w:val="auto"/>
              </w:rPr>
            </w:pPr>
          </w:p>
        </w:tc>
      </w:tr>
      <w:tr>
        <w:trPr>
          <w:trHeight w:val="24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2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40" w:type="dxa"/>
            <w:vAlign w:val="bottom"/>
          </w:tcPr>
          <w:p>
            <w:pPr>
              <w:spacing w:after="0"/>
              <w:rPr>
                <w:sz w:val="21"/>
                <w:szCs w:val="21"/>
                <w:color w:val="auto"/>
              </w:rPr>
            </w:pPr>
          </w:p>
        </w:tc>
      </w:tr>
      <w:tr>
        <w:trPr>
          <w:trHeight w:val="27"/>
        </w:trPr>
        <w:tc>
          <w:tcPr>
            <w:tcW w:w="5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7"/>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40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18,200</w:t>
            </w:r>
          </w:p>
        </w:tc>
        <w:tc>
          <w:tcPr>
            <w:tcW w:w="40" w:type="dxa"/>
            <w:vAlign w:val="bottom"/>
            <w:shd w:val="clear" w:color="auto" w:fill="CCEEFF"/>
          </w:tcPr>
          <w:p>
            <w:pPr>
              <w:spacing w:after="0"/>
              <w:rPr>
                <w:sz w:val="24"/>
                <w:szCs w:val="24"/>
                <w:color w:val="auto"/>
              </w:rPr>
            </w:pPr>
          </w:p>
        </w:tc>
      </w:tr>
      <w:tr>
        <w:trPr>
          <w:trHeight w:val="270"/>
        </w:trPr>
        <w:tc>
          <w:tcPr>
            <w:tcW w:w="582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400" w:type="dxa"/>
            <w:vAlign w:val="bottom"/>
            <w:tcBorders>
              <w:top w:val="single" w:sz="8" w:color="CCEEFF"/>
            </w:tcBorders>
          </w:tcPr>
          <w:p>
            <w:pPr>
              <w:spacing w:after="0"/>
              <w:rPr>
                <w:sz w:val="23"/>
                <w:szCs w:val="23"/>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23,493</w:t>
            </w:r>
          </w:p>
        </w:tc>
        <w:tc>
          <w:tcPr>
            <w:tcW w:w="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29,324</w:t>
            </w:r>
          </w:p>
        </w:tc>
        <w:tc>
          <w:tcPr>
            <w:tcW w:w="40" w:type="dxa"/>
            <w:vAlign w:val="bottom"/>
            <w:tcBorders>
              <w:top w:val="single" w:sz="8" w:color="CCEEFF"/>
            </w:tcBorders>
          </w:tcPr>
          <w:p>
            <w:pPr>
              <w:spacing w:after="0"/>
              <w:rPr>
                <w:sz w:val="23"/>
                <w:szCs w:val="23"/>
                <w:color w:val="auto"/>
              </w:rPr>
            </w:pPr>
          </w:p>
        </w:tc>
      </w:tr>
      <w:tr>
        <w:trPr>
          <w:trHeight w:val="27"/>
        </w:trPr>
        <w:tc>
          <w:tcPr>
            <w:tcW w:w="5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7"/>
        </w:trPr>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capitalized to software development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4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40" w:type="dxa"/>
            <w:vAlign w:val="bottom"/>
            <w:tcBorders>
              <w:bottom w:val="single" w:sz="8" w:color="CCEEFF"/>
            </w:tcBorders>
            <w:shd w:val="clear" w:color="auto" w:fill="CCEEFF"/>
          </w:tcPr>
          <w:p>
            <w:pPr>
              <w:spacing w:after="0"/>
              <w:rPr>
                <w:sz w:val="24"/>
                <w:szCs w:val="24"/>
                <w:color w:val="auto"/>
              </w:rPr>
            </w:pPr>
          </w:p>
        </w:tc>
      </w:tr>
      <w:tr>
        <w:trPr>
          <w:trHeight w:val="256"/>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cost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14,901</w:t>
            </w:r>
          </w:p>
        </w:tc>
        <w:tc>
          <w:tcPr>
            <w:tcW w:w="40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25,160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30,423</w:t>
            </w:r>
          </w:p>
        </w:tc>
        <w:tc>
          <w:tcPr>
            <w:tcW w:w="40" w:type="dxa"/>
            <w:vAlign w:val="bottom"/>
          </w:tcPr>
          <w:p>
            <w:pPr>
              <w:spacing w:after="0"/>
              <w:rPr>
                <w:sz w:val="22"/>
                <w:szCs w:val="22"/>
                <w:color w:val="auto"/>
              </w:rPr>
            </w:pPr>
          </w:p>
        </w:tc>
      </w:tr>
      <w:tr>
        <w:trPr>
          <w:trHeight w:val="20"/>
        </w:trPr>
        <w:tc>
          <w:tcPr>
            <w:tcW w:w="5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-1104900</wp:posOffset>
            </wp:positionV>
            <wp:extent cx="25717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-1104900</wp:posOffset>
            </wp:positionV>
            <wp:extent cx="25717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-1104900</wp:posOffset>
            </wp:positionV>
            <wp:extent cx="12890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15.  Earnings Per Share</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Basic income (loss) per share of Class A Common Stock is computed by dividing net earnings (loss) attributable to WM Technology, Inc. by the weighted-average number of shares of Class A Common Stock outstanding during the period. Diluted income (loss) per share of Class A Common Stock adjusts basic net income (loss) per share of Class A Common Stock for the potentially dilutive impact of securities. For warrants that are liability-classified, during periods when the impact is dilutive, the Company assumes share settlement of the instruments as of the beginning of the reporting period and adjusts the numerator to remove the change in fair value of the warrant liability, net of the portion attributable to non-controlling interests, and adjusts the denominator to include the dilutive shares calculated using the treasury stock method.</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Prior to the Business Combination, the membership structure of WMH included units which had profit interests. The Company analyzed the calculation of net earnings (loss) per unit for periods prior to the Business Combination and determined that it resulted in values that would not be meaningful to the users of these consolidated financial statements. Therefore, net earnings per share information has not been presented for periods prior to the Business Combination on June 16, 2021. The basic and diluted income (loss) per share for the year ended December 31, 2021 represent the period from June 16, 2021 (Closing Date) to December 31, 2021.</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computation of (loss) income per share attributable to WM Technology, Inc. and weighted-average shares of the Company’s Class A Common Stock outstanding are as follows for the years ended December 31, 2023, 2022 and 2021 (amounts in thousands, except for share and per share amounts):</w:t>
      </w:r>
    </w:p>
    <w:p>
      <w:pPr>
        <w:spacing w:after="0" w:line="200" w:lineRule="exact"/>
        <w:rPr>
          <w:sz w:val="20"/>
          <w:szCs w:val="20"/>
          <w:color w:val="auto"/>
        </w:rPr>
      </w:pP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60" w:type="dxa"/>
            <w:vAlign w:val="bottom"/>
            <w:gridSpan w:val="11"/>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37"/>
        </w:trPr>
        <w:tc>
          <w:tcPr>
            <w:tcW w:w="52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13"/>
        </w:trPr>
        <w:tc>
          <w:tcPr>
            <w:tcW w:w="5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8"/>
                <w:szCs w:val="18"/>
                <w:color w:val="auto"/>
              </w:rPr>
            </w:pPr>
          </w:p>
        </w:tc>
      </w:tr>
      <w:tr>
        <w:trPr>
          <w:trHeight w:val="37"/>
        </w:trPr>
        <w:tc>
          <w:tcPr>
            <w:tcW w:w="52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57"/>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(15,727)</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(82,651)</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152,218</w:t>
            </w:r>
          </w:p>
        </w:tc>
      </w:tr>
      <w:tr>
        <w:trPr>
          <w:trHeight w:val="33"/>
        </w:trPr>
        <w:tc>
          <w:tcPr>
            <w:tcW w:w="5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36"/>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net income attributable to WMH prior to the Business Combination</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15,078</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 after the</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3"/>
        </w:trPr>
        <w:tc>
          <w:tcPr>
            <w:tcW w:w="5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Business Combination</w:t>
            </w:r>
          </w:p>
        </w:tc>
        <w:tc>
          <w:tcPr>
            <w:tcW w:w="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(5,829)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33,338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76,757</w:t>
            </w:r>
          </w:p>
        </w:tc>
      </w:tr>
      <w:tr>
        <w:trPr>
          <w:trHeight w:val="37"/>
        </w:trPr>
        <w:tc>
          <w:tcPr>
            <w:tcW w:w="5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263"/>
        </w:trPr>
        <w:tc>
          <w:tcPr>
            <w:tcW w:w="5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 attributable to WM Technology, Inc. - basic</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(9,898)</w:t>
            </w: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(115,989)</w:t>
            </w: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60,383</w:t>
            </w: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3"/>
        </w:trPr>
        <w:tc>
          <w:tcPr>
            <w:tcW w:w="5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Public and Private Placement Warrants, net of</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3"/>
        </w:trPr>
        <w:tc>
          <w:tcPr>
            <w:tcW w:w="5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amounts attributable to noncontrolling interests</w:t>
            </w:r>
          </w:p>
        </w:tc>
        <w:tc>
          <w:tcPr>
            <w:tcW w:w="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72,483</w:t>
            </w:r>
          </w:p>
        </w:tc>
      </w:tr>
      <w:tr>
        <w:trPr>
          <w:trHeight w:val="37"/>
        </w:trPr>
        <w:tc>
          <w:tcPr>
            <w:tcW w:w="52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72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72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72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r>
      <w:tr>
        <w:trPr>
          <w:trHeight w:val="253"/>
        </w:trPr>
        <w:tc>
          <w:tcPr>
            <w:tcW w:w="5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 attributable to WM Technology, Inc. - diluted</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(9,898)</w:t>
            </w:r>
          </w:p>
        </w:tc>
        <w:tc>
          <w:tcPr>
            <w:tcW w:w="280" w:type="dxa"/>
            <w:vAlign w:val="bottom"/>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(115,989)</w:t>
            </w:r>
          </w:p>
        </w:tc>
        <w:tc>
          <w:tcPr>
            <w:tcW w:w="280" w:type="dxa"/>
            <w:vAlign w:val="bottom"/>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(12,100)</w:t>
            </w:r>
          </w:p>
        </w:tc>
      </w:tr>
      <w:tr>
        <w:trPr>
          <w:trHeight w:val="37"/>
        </w:trPr>
        <w:tc>
          <w:tcPr>
            <w:tcW w:w="52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64"/>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7"/>
              </w:rPr>
              <w:t>93,244,911</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7"/>
              </w:rPr>
              <w:t>85,027,120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7"/>
              </w:rPr>
              <w:t>65,013,517</w:t>
            </w:r>
          </w:p>
        </w:tc>
      </w:tr>
      <w:tr>
        <w:trPr>
          <w:trHeight w:val="33"/>
        </w:trPr>
        <w:tc>
          <w:tcPr>
            <w:tcW w:w="5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36"/>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effect of dilutive securities:</w:t>
            </w: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Public warrants¹</w:t>
            </w:r>
          </w:p>
        </w:tc>
        <w:tc>
          <w:tcPr>
            <w:tcW w:w="80" w:type="dxa"/>
            <w:vAlign w:val="bottom"/>
          </w:tcPr>
          <w:p>
            <w:pPr>
              <w:spacing w:after="0"/>
              <w:rPr>
                <w:sz w:val="19"/>
                <w:szCs w:val="19"/>
                <w:color w:val="auto"/>
              </w:rPr>
            </w:pPr>
          </w:p>
        </w:tc>
        <w:tc>
          <w:tcPr>
            <w:tcW w:w="1060" w:type="dxa"/>
            <w:vAlign w:val="bottom"/>
            <w:gridSpan w:val="4"/>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6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1,153,782</w:t>
            </w:r>
          </w:p>
        </w:tc>
      </w:tr>
      <w:tr>
        <w:trPr>
          <w:trHeight w:val="33"/>
        </w:trPr>
        <w:tc>
          <w:tcPr>
            <w:tcW w:w="5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2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Private warrants¹</w:t>
            </w:r>
          </w:p>
        </w:tc>
        <w:tc>
          <w:tcPr>
            <w:tcW w:w="8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646,118</w:t>
            </w:r>
          </w:p>
        </w:tc>
        <w:tc>
          <w:tcPr>
            <w:tcW w:w="60" w:type="dxa"/>
            <w:vAlign w:val="bottom"/>
            <w:shd w:val="clear" w:color="auto" w:fill="CCEEFF"/>
          </w:tcPr>
          <w:p>
            <w:pPr>
              <w:spacing w:after="0"/>
              <w:rPr>
                <w:sz w:val="19"/>
                <w:szCs w:val="19"/>
                <w:color w:val="auto"/>
              </w:rPr>
            </w:pPr>
          </w:p>
        </w:tc>
      </w:tr>
      <w:tr>
        <w:trPr>
          <w:trHeight w:val="37"/>
        </w:trPr>
        <w:tc>
          <w:tcPr>
            <w:tcW w:w="52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72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72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72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r>
      <w:tr>
        <w:trPr>
          <w:trHeight w:val="253"/>
        </w:trPr>
        <w:tc>
          <w:tcPr>
            <w:tcW w:w="5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8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7"/>
              </w:rPr>
              <w:t>93,244,911</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7"/>
              </w:rPr>
              <w:t>85,027,120</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7"/>
              </w:rPr>
              <w:t>66,813,417</w:t>
            </w:r>
          </w:p>
        </w:tc>
      </w:tr>
      <w:tr>
        <w:trPr>
          <w:trHeight w:val="37"/>
        </w:trPr>
        <w:tc>
          <w:tcPr>
            <w:tcW w:w="5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263"/>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(loss) per share of Class A Common Stock:</w:t>
            </w: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r>
      <w:tr>
        <w:trPr>
          <w:trHeight w:val="227"/>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 per Class A common share - basic</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0.93</w:t>
            </w:r>
          </w:p>
        </w:tc>
      </w:tr>
      <w:tr>
        <w:trPr>
          <w:trHeight w:val="37"/>
        </w:trPr>
        <w:tc>
          <w:tcPr>
            <w:tcW w:w="5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254"/>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per Class A common share - diluted</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r>
      <w:tr>
        <w:trPr>
          <w:trHeight w:val="37"/>
        </w:trPr>
        <w:tc>
          <w:tcPr>
            <w:tcW w:w="5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4814570</wp:posOffset>
            </wp:positionH>
            <wp:positionV relativeFrom="paragraph">
              <wp:posOffset>-3274060</wp:posOffset>
            </wp:positionV>
            <wp:extent cx="17145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-3274060</wp:posOffset>
            </wp:positionV>
            <wp:extent cx="17145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-3274060</wp:posOffset>
            </wp:positionV>
            <wp:extent cx="8572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128905</wp:posOffset>
            </wp:positionV>
            <wp:extent cx="82296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27" w:lineRule="exact"/>
        <w:rPr>
          <w:sz w:val="20"/>
          <w:szCs w:val="20"/>
          <w:color w:val="auto"/>
        </w:rPr>
      </w:pPr>
    </w:p>
    <w:p>
      <w:pPr>
        <w:ind w:left="640" w:hanging="348"/>
        <w:spacing w:after="0"/>
        <w:tabs>
          <w:tab w:leader="none" w:pos="64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using the treasury stock method.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609" w:gutter="0" w:footer="0" w:header="0"/>
        </w:sectPr>
      </w:pPr>
    </w:p>
    <w:bookmarkStart w:id="204" w:name="page205"/>
    <w:bookmarkEnd w:id="20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Shares of the Class V Common Stock do not participate in the earnings or losses of the Company and are therefore not participating securities. As such, separate presentation of basic and diluted earnings per share of Class V Common Stock under the two-class method has not been presented. However, shares of the Class V Common Stock outstanding for the period are considered potentially dilutive shares of Class A common stock under application of the if-converted method and are included in the computation of diluted earnings (loss) per share, except when the effect would be anti-dilutive.</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 excluded the following securities from its computation of diluted shares outstanding, as their effect would have been anti-dilutive:</w:t>
      </w:r>
    </w:p>
    <w:p>
      <w:pPr>
        <w:spacing w:after="0" w:line="200" w:lineRule="exact"/>
        <w:rPr>
          <w:sz w:val="20"/>
          <w:szCs w:val="20"/>
          <w:color w:val="auto"/>
        </w:rPr>
      </w:pP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58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37"/>
        </w:trPr>
        <w:tc>
          <w:tcPr>
            <w:tcW w:w="38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13"/>
        </w:trPr>
        <w:tc>
          <w:tcPr>
            <w:tcW w:w="3840" w:type="dxa"/>
            <w:vAlign w:val="bottom"/>
          </w:tcPr>
          <w:p>
            <w:pPr>
              <w:spacing w:after="0"/>
              <w:rPr>
                <w:sz w:val="18"/>
                <w:szCs w:val="18"/>
                <w:color w:val="auto"/>
              </w:rPr>
            </w:pPr>
          </w:p>
        </w:tc>
        <w:tc>
          <w:tcPr>
            <w:tcW w:w="2740" w:type="dxa"/>
            <w:vAlign w:val="bottom"/>
            <w:gridSpan w:val="2"/>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8"/>
                <w:szCs w:val="18"/>
                <w:color w:val="auto"/>
              </w:rPr>
            </w:pPr>
          </w:p>
        </w:tc>
        <w:tc>
          <w:tcPr>
            <w:tcW w:w="74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8"/>
                <w:szCs w:val="18"/>
                <w:color w:val="auto"/>
              </w:rPr>
            </w:pPr>
          </w:p>
        </w:tc>
        <w:tc>
          <w:tcPr>
            <w:tcW w:w="74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3840" w:type="dxa"/>
            <w:vAlign w:val="bottom"/>
            <w:tcBorders>
              <w:bottom w:val="single" w:sz="8" w:color="CCEEFF"/>
            </w:tcBorders>
          </w:tcPr>
          <w:p>
            <w:pPr>
              <w:spacing w:after="0"/>
              <w:rPr>
                <w:sz w:val="3"/>
                <w:szCs w:val="3"/>
                <w:color w:val="auto"/>
              </w:rPr>
            </w:pPr>
          </w:p>
        </w:tc>
        <w:tc>
          <w:tcPr>
            <w:tcW w:w="200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57"/>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V Shares</w:t>
            </w:r>
          </w:p>
        </w:tc>
        <w:tc>
          <w:tcPr>
            <w:tcW w:w="2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55,486,361</w:t>
            </w: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55,486,361</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65,502,347</w:t>
            </w:r>
          </w:p>
        </w:tc>
      </w:tr>
      <w:tr>
        <w:trPr>
          <w:trHeight w:val="224"/>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Class P Units</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14,804,507</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15,125,429</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25,660,529</w:t>
            </w:r>
          </w:p>
        </w:tc>
      </w:tr>
      <w:tr>
        <w:trPr>
          <w:trHeight w:val="33"/>
        </w:trPr>
        <w:tc>
          <w:tcPr>
            <w:tcW w:w="3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6"/>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RSUs outstanding</w:t>
            </w:r>
          </w:p>
        </w:tc>
        <w:tc>
          <w:tcPr>
            <w:tcW w:w="2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7,683,598</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6,269,868</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6,398,707</w:t>
            </w:r>
          </w:p>
        </w:tc>
      </w:tr>
      <w:tr>
        <w:trPr>
          <w:trHeight w:val="224"/>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PRSUs outstanding</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234,375</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859,375</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2,437,500</w:t>
            </w:r>
          </w:p>
        </w:tc>
      </w:tr>
      <w:tr>
        <w:trPr>
          <w:trHeight w:val="33"/>
        </w:trPr>
        <w:tc>
          <w:tcPr>
            <w:tcW w:w="3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Public Warrants</w:t>
            </w:r>
          </w:p>
        </w:tc>
        <w:tc>
          <w:tcPr>
            <w:tcW w:w="2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12,499,973</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12,499,973</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Private Placement Warrants</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7,000,000</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7,000,000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Acquisition holdback shares</w:t>
            </w:r>
          </w:p>
        </w:tc>
        <w:tc>
          <w:tcPr>
            <w:tcW w:w="20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677,847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60"/>
        </w:trPr>
        <w:tc>
          <w:tcPr>
            <w:tcW w:w="3840" w:type="dxa"/>
            <w:vAlign w:val="bottom"/>
            <w:shd w:val="clear" w:color="auto" w:fill="CCEEFF"/>
          </w:tcPr>
          <w:p>
            <w:pPr>
              <w:spacing w:after="0"/>
              <w:rPr>
                <w:sz w:val="5"/>
                <w:szCs w:val="5"/>
                <w:color w:val="auto"/>
              </w:rPr>
            </w:pPr>
          </w:p>
        </w:tc>
        <w:tc>
          <w:tcPr>
            <w:tcW w:w="20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-1182370</wp:posOffset>
            </wp:positionV>
            <wp:extent cx="12001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-1182370</wp:posOffset>
            </wp:positionV>
            <wp:extent cx="12001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-1182370</wp:posOffset>
            </wp:positionV>
            <wp:extent cx="685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prior to June 16, 2021, as this period was prior to the Business Combination.</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Following the Business Combination, any taxable income or loss generated by WMH LLC is passed through to and included in the taxable income or loss of its members, including WM Technology, Inc., on a pro rata basis, with the remainder reflected in the line item Income Taxed to Owners of Non-controlling Interests. WM Technology, Inc. is subject to U.S. federal income taxes, in addition to state and local income taxes with respect to its allocable share of any taxable income of WMH following the Business Combination. The owners of the non-controlling interests are taxed as a partnership, and therefore, no tax provision is allocated to non-controlling interests on the consolidated statements of operations. The Company is also subject to taxes in foreign jurisdictions.</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components of income (loss) before taxes are as follows (in thousands):</w:t>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580" w:type="dxa"/>
            <w:vAlign w:val="bottom"/>
            <w:gridSpan w:val="7"/>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37"/>
        </w:trPr>
        <w:tc>
          <w:tcPr>
            <w:tcW w:w="38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13"/>
        </w:trPr>
        <w:tc>
          <w:tcPr>
            <w:tcW w:w="3840" w:type="dxa"/>
            <w:vAlign w:val="bottom"/>
          </w:tcPr>
          <w:p>
            <w:pPr>
              <w:spacing w:after="0"/>
              <w:rPr>
                <w:sz w:val="18"/>
                <w:szCs w:val="18"/>
                <w:color w:val="auto"/>
              </w:rPr>
            </w:pPr>
          </w:p>
        </w:tc>
        <w:tc>
          <w:tcPr>
            <w:tcW w:w="26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8"/>
                <w:szCs w:val="18"/>
                <w:color w:val="auto"/>
              </w:rPr>
            </w:pPr>
          </w:p>
        </w:tc>
      </w:tr>
      <w:tr>
        <w:trPr>
          <w:trHeight w:val="37"/>
        </w:trPr>
        <w:tc>
          <w:tcPr>
            <w:tcW w:w="3840" w:type="dxa"/>
            <w:vAlign w:val="bottom"/>
            <w:tcBorders>
              <w:bottom w:val="single" w:sz="8" w:color="CCEEFF"/>
            </w:tcBorders>
          </w:tcPr>
          <w:p>
            <w:pPr>
              <w:spacing w:after="0"/>
              <w:rPr>
                <w:sz w:val="3"/>
                <w:szCs w:val="3"/>
                <w:color w:val="auto"/>
              </w:rPr>
            </w:pPr>
          </w:p>
        </w:tc>
        <w:tc>
          <w:tcPr>
            <w:tcW w:w="200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57"/>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Domestic</w:t>
            </w:r>
          </w:p>
        </w:tc>
        <w:tc>
          <w:tcPr>
            <w:tcW w:w="2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$(15,582)</w:t>
            </w:r>
          </w:p>
        </w:tc>
        <w:tc>
          <w:tcPr>
            <w:tcW w:w="3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$97,639</w:t>
            </w:r>
          </w:p>
        </w:tc>
        <w:tc>
          <w:tcPr>
            <w:tcW w:w="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$151,987</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Foreign</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3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(370)</w:t>
            </w:r>
          </w:p>
        </w:tc>
      </w:tr>
      <w:tr>
        <w:trPr>
          <w:trHeight w:val="48"/>
        </w:trPr>
        <w:tc>
          <w:tcPr>
            <w:tcW w:w="38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r>
      <w:tr>
        <w:trPr>
          <w:trHeight w:val="24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(15,634)</w:t>
            </w:r>
          </w:p>
        </w:tc>
        <w:tc>
          <w:tcPr>
            <w:tcW w:w="3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96,426</w:t>
            </w:r>
          </w:p>
        </w:tc>
        <w:tc>
          <w:tcPr>
            <w:tcW w:w="6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151,617</w:t>
            </w:r>
          </w:p>
        </w:tc>
      </w:tr>
      <w:tr>
        <w:trPr>
          <w:trHeight w:val="48"/>
        </w:trPr>
        <w:tc>
          <w:tcPr>
            <w:tcW w:w="384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-565150</wp:posOffset>
            </wp:positionV>
            <wp:extent cx="22288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-565150</wp:posOffset>
            </wp:positionV>
            <wp:extent cx="22288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-565150</wp:posOffset>
            </wp:positionV>
            <wp:extent cx="11176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components of the provision for (benefit from) income taxes are as follows (in thousands):</w:t>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80" w:type="dxa"/>
            <w:vAlign w:val="bottom"/>
            <w:gridSpan w:val="9"/>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7"/>
        </w:trPr>
        <w:tc>
          <w:tcPr>
            <w:tcW w:w="602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13"/>
        </w:trPr>
        <w:tc>
          <w:tcPr>
            <w:tcW w:w="6020" w:type="dxa"/>
            <w:vAlign w:val="bottom"/>
          </w:tcPr>
          <w:p>
            <w:pPr>
              <w:spacing w:after="0"/>
              <w:rPr>
                <w:sz w:val="18"/>
                <w:szCs w:val="18"/>
                <w:color w:val="auto"/>
              </w:rPr>
            </w:pP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7"/>
        </w:trPr>
        <w:tc>
          <w:tcPr>
            <w:tcW w:w="602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7"/>
        </w:trPr>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r>
      <w:tr>
        <w:trPr>
          <w:trHeight w:val="223"/>
        </w:trPr>
        <w:tc>
          <w:tcPr>
            <w:tcW w:w="6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Federal</w:t>
            </w:r>
          </w:p>
        </w:tc>
        <w:tc>
          <w:tcPr>
            <w:tcW w:w="60" w:type="dxa"/>
            <w:vAlign w:val="bottom"/>
          </w:tcPr>
          <w:p>
            <w:pPr>
              <w:spacing w:after="0"/>
              <w:rPr>
                <w:sz w:val="19"/>
                <w:szCs w:val="19"/>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1"/>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4"/>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0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6"/>
        </w:trPr>
        <w:tc>
          <w:tcPr>
            <w:tcW w:w="6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State</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93</w:t>
            </w:r>
          </w:p>
        </w:tc>
        <w:tc>
          <w:tcPr>
            <w:tcW w:w="4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w:t>
            </w:r>
          </w:p>
        </w:tc>
        <w:tc>
          <w:tcPr>
            <w:tcW w:w="6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(341)</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241</w:t>
            </w:r>
          </w:p>
        </w:tc>
        <w:tc>
          <w:tcPr>
            <w:tcW w:w="20" w:type="dxa"/>
            <w:vAlign w:val="bottom"/>
          </w:tcPr>
          <w:p>
            <w:pPr>
              <w:spacing w:after="0"/>
              <w:rPr>
                <w:sz w:val="18"/>
                <w:szCs w:val="18"/>
                <w:color w:val="auto"/>
              </w:rPr>
            </w:pPr>
          </w:p>
        </w:tc>
      </w:tr>
      <w:tr>
        <w:trPr>
          <w:trHeight w:val="48"/>
        </w:trPr>
        <w:tc>
          <w:tcPr>
            <w:tcW w:w="60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3"/>
        </w:trPr>
        <w:tc>
          <w:tcPr>
            <w:tcW w:w="60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93</w:t>
            </w:r>
          </w:p>
        </w:tc>
        <w:tc>
          <w:tcPr>
            <w:tcW w:w="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(341)</w:t>
            </w:r>
          </w:p>
        </w:tc>
        <w:tc>
          <w:tcPr>
            <w:tcW w:w="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241</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24"/>
        </w:trPr>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Deferred</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
        </w:trPr>
        <w:tc>
          <w:tcPr>
            <w:tcW w:w="60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Federal</w:t>
            </w: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131,766</w:t>
            </w:r>
          </w:p>
        </w:tc>
        <w:tc>
          <w:tcPr>
            <w:tcW w:w="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2"/>
              </w:rPr>
              <w:t>(508)</w:t>
            </w:r>
          </w:p>
        </w:tc>
      </w:tr>
      <w:tr>
        <w:trPr>
          <w:trHeight w:val="224"/>
        </w:trPr>
        <w:tc>
          <w:tcPr>
            <w:tcW w:w="6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State</w:t>
            </w:r>
          </w:p>
        </w:tc>
        <w:tc>
          <w:tcPr>
            <w:tcW w:w="60" w:type="dxa"/>
            <w:vAlign w:val="bottom"/>
          </w:tcPr>
          <w:p>
            <w:pPr>
              <w:spacing w:after="0"/>
              <w:rPr>
                <w:sz w:val="19"/>
                <w:szCs w:val="19"/>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47,652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w w:val="92"/>
              </w:rPr>
              <w:t>(334)</w:t>
            </w:r>
          </w:p>
        </w:tc>
      </w:tr>
      <w:tr>
        <w:trPr>
          <w:trHeight w:val="33"/>
        </w:trPr>
        <w:tc>
          <w:tcPr>
            <w:tcW w:w="60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48"/>
        </w:trPr>
        <w:tc>
          <w:tcPr>
            <w:tcW w:w="60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43"/>
        </w:trPr>
        <w:tc>
          <w:tcPr>
            <w:tcW w:w="6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179,418</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w w:val="92"/>
              </w:rPr>
              <w:t>(842)</w:t>
            </w:r>
          </w:p>
        </w:tc>
      </w:tr>
      <w:tr>
        <w:trPr>
          <w:trHeight w:val="48"/>
        </w:trPr>
        <w:tc>
          <w:tcPr>
            <w:tcW w:w="60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93</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179,077</w:t>
            </w: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2"/>
              </w:rPr>
              <w:t>(601)</w:t>
            </w:r>
          </w:p>
        </w:tc>
      </w:tr>
      <w:tr>
        <w:trPr>
          <w:trHeight w:val="48"/>
        </w:trPr>
        <w:tc>
          <w:tcPr>
            <w:tcW w:w="60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-1936750</wp:posOffset>
            </wp:positionV>
            <wp:extent cx="27432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-1936750</wp:posOffset>
            </wp:positionV>
            <wp:extent cx="27432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-1936750</wp:posOffset>
            </wp:positionV>
            <wp:extent cx="13716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326" w:gutter="0" w:footer="0" w:header="0"/>
        </w:sectPr>
      </w:pPr>
    </w:p>
    <w:bookmarkStart w:id="205" w:name="page206"/>
    <w:bookmarkEnd w:id="20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change in the Company’s income tax provision/(benefit) from 2022 to 2023 is due to the continuation of recording a full valuation allowance on our deferred tax assets as of December 31, 2023, and continued remeasurement of the related TRA liability.</w:t>
      </w:r>
    </w:p>
    <w:p>
      <w:pPr>
        <w:spacing w:after="0" w:line="68"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change in the Company’s income tax provision/(benefit) from 2021 to 2022 is due to the recording of a full valuation allowance on our deferred tax assets as of December 31, 2022 and remeasurement of the related TRA liability. In previous periods, the provision/(benefit) was also impacted by the Business Combination and settlement of a foreign income tax examination.</w:t>
      </w:r>
    </w:p>
    <w:p>
      <w:pPr>
        <w:spacing w:after="0" w:line="7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actual income tax expense differs from the expected amount computed by applying the federal statutory corporate tax rate of 21 percent as follows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gridSpan w:val="19"/>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1"/>
        </w:trPr>
        <w:tc>
          <w:tcPr>
            <w:tcW w:w="58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27"/>
        </w:trPr>
        <w:tc>
          <w:tcPr>
            <w:tcW w:w="5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5"/>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50"/>
        </w:trPr>
        <w:tc>
          <w:tcPr>
            <w:tcW w:w="580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r>
      <w:tr>
        <w:trPr>
          <w:trHeight w:val="311"/>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rate</w:t>
            </w:r>
          </w:p>
        </w:tc>
        <w:tc>
          <w:tcPr>
            <w:tcW w:w="6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$(3,283)</w:t>
            </w:r>
          </w:p>
        </w:tc>
        <w:tc>
          <w:tcPr>
            <w:tcW w:w="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$ 20,249</w:t>
            </w: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$ 31,844</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State blended statutory rate</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(828)</w:t>
            </w:r>
          </w:p>
        </w:tc>
        <w:tc>
          <w:tcPr>
            <w:tcW w:w="60" w:type="dxa"/>
            <w:vAlign w:val="bottom"/>
          </w:tcPr>
          <w:p>
            <w:pPr>
              <w:spacing w:after="0"/>
              <w:rPr>
                <w:sz w:val="23"/>
                <w:szCs w:val="23"/>
                <w:color w:val="auto"/>
              </w:rPr>
            </w:pPr>
          </w:p>
        </w:tc>
        <w:tc>
          <w:tcPr>
            <w:tcW w:w="8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5,168</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8,497</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54"/>
        </w:trPr>
        <w:tc>
          <w:tcPr>
            <w:tcW w:w="5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taxed to owners of noncontrolling interests</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(11,285)</w:t>
            </w:r>
          </w:p>
        </w:tc>
        <w:tc>
          <w:tcPr>
            <w:tcW w:w="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(21,762)</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Foreign tax impact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227</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54"/>
        </w:trPr>
        <w:tc>
          <w:tcPr>
            <w:tcW w:w="5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(246)</w:t>
            </w:r>
          </w:p>
        </w:tc>
        <w:tc>
          <w:tcPr>
            <w:tcW w:w="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(3,718)</w:t>
            </w:r>
          </w:p>
        </w:tc>
        <w:tc>
          <w:tcPr>
            <w:tcW w:w="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(19,669)</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5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permanent items</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7"/>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548</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901</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(502)</w:t>
            </w:r>
          </w:p>
        </w:tc>
        <w:tc>
          <w:tcPr>
            <w:tcW w:w="60" w:type="dxa"/>
            <w:vAlign w:val="bottom"/>
          </w:tcPr>
          <w:p>
            <w:pPr>
              <w:spacing w:after="0"/>
              <w:rPr>
                <w:sz w:val="23"/>
                <w:szCs w:val="23"/>
                <w:color w:val="auto"/>
              </w:rPr>
            </w:pPr>
          </w:p>
        </w:tc>
        <w:tc>
          <w:tcPr>
            <w:tcW w:w="9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(2,514)</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20" w:type="dxa"/>
            <w:vAlign w:val="bottom"/>
          </w:tcPr>
          <w:p>
            <w:pPr>
              <w:spacing w:after="0"/>
              <w:rPr>
                <w:sz w:val="23"/>
                <w:szCs w:val="23"/>
                <w:color w:val="auto"/>
              </w:rPr>
            </w:pPr>
          </w:p>
        </w:tc>
      </w:tr>
      <w:tr>
        <w:trPr>
          <w:trHeight w:val="54"/>
        </w:trPr>
        <w:tc>
          <w:tcPr>
            <w:tcW w:w="5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to Provision</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Holdback Share Release</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(605)</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5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(413)</w:t>
            </w:r>
          </w:p>
        </w:tc>
        <w:tc>
          <w:tcPr>
            <w:tcW w:w="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186,954</w:t>
            </w: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Tax receivable agreement revaluation</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(20,462)</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5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57"/>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State Tax Rate</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61"/>
        </w:trPr>
        <w:tc>
          <w:tcPr>
            <w:tcW w:w="58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r>
      <w:tr>
        <w:trPr>
          <w:trHeight w:val="27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gridSpan w:val="6"/>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179,077</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Pr>
          <w:p>
            <w:pPr>
              <w:spacing w:after="0"/>
              <w:rPr>
                <w:sz w:val="23"/>
                <w:szCs w:val="23"/>
                <w:color w:val="auto"/>
              </w:rPr>
            </w:pPr>
          </w:p>
        </w:tc>
      </w:tr>
      <w:tr>
        <w:trPr>
          <w:trHeight w:val="61"/>
        </w:trPr>
        <w:tc>
          <w:tcPr>
            <w:tcW w:w="5800" w:type="dxa"/>
            <w:vAlign w:val="bottom"/>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318"/>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940" w:type="dxa"/>
            <w:vAlign w:val="bottom"/>
            <w:tcBorders>
              <w:bottom w:val="single" w:sz="8" w:color="CCEEFF"/>
            </w:tcBorders>
            <w:gridSpan w:val="8"/>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185.7%</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r>
      <w:tr>
        <w:trPr>
          <w:trHeight w:val="32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The significant components of the net deferred tax assets are as follows: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638"/>
        </w:trPr>
        <w:tc>
          <w:tcPr>
            <w:tcW w:w="5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60" w:type="dxa"/>
            <w:vAlign w:val="bottom"/>
            <w:gridSpan w:val="21"/>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2023   December 31, 2022</w:t>
            </w:r>
          </w:p>
        </w:tc>
      </w:tr>
      <w:tr>
        <w:trPr>
          <w:trHeight w:val="50"/>
        </w:trPr>
        <w:tc>
          <w:tcPr>
            <w:tcW w:w="58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311"/>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partnership</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$ 129,297</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$ 133,569</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54"/>
        </w:trPr>
        <w:tc>
          <w:tcPr>
            <w:tcW w:w="5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gridSpan w:val="4"/>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receivable agreement</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37,021</w:t>
            </w: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37,254</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carryovers</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15,689</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12,453</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54"/>
        </w:trPr>
        <w:tc>
          <w:tcPr>
            <w:tcW w:w="5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gridSpan w:val="4"/>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credit carryovers</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57"/>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61"/>
        </w:trPr>
        <w:tc>
          <w:tcPr>
            <w:tcW w:w="58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318"/>
        </w:trPr>
        <w:tc>
          <w:tcPr>
            <w:tcW w:w="5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deferred tax asset</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186,682</w:t>
            </w: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187,066</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56"/>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6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(186,682)</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(187,066)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61"/>
        </w:trPr>
        <w:tc>
          <w:tcPr>
            <w:tcW w:w="58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270"/>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940" w:type="dxa"/>
            <w:vAlign w:val="bottom"/>
            <w:gridSpan w:val="8"/>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74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48"/>
        </w:trPr>
        <w:tc>
          <w:tcPr>
            <w:tcW w:w="58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5466080</wp:posOffset>
            </wp:positionH>
            <wp:positionV relativeFrom="paragraph">
              <wp:posOffset>-5682615</wp:posOffset>
            </wp:positionV>
            <wp:extent cx="6858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-5682615</wp:posOffset>
            </wp:positionV>
            <wp:extent cx="13716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-5682615</wp:posOffset>
            </wp:positionV>
            <wp:extent cx="13716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-5682615</wp:posOffset>
            </wp:positionV>
            <wp:extent cx="685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-1902460</wp:posOffset>
            </wp:positionV>
            <wp:extent cx="13716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-1902460</wp:posOffset>
            </wp:positionV>
            <wp:extent cx="6858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valuation allowance decreased $0.4 million for the year ended December 31, 2023 and increased $187.0 million for the year ended December 31, 2022. Realization of deferred tax assets is dependent on future earning, if any, the timing of which are uncertain. Accordingly, the net deferred tax assets have been fully offset by a valuation allowance.</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had federal and state net operating loss carry forwards of approximately $57.8 million and $51.1 million, respectively, available to reduce future taxable income, if any. The federal net operating loss carries forward indefinitely and most of the state net operating losses will expire beginning in 2041. The Company also has foreign net operating loss carry forwards of approximately $0.1 million.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677" w:gutter="0" w:footer="0" w:header="0"/>
        </w:sectPr>
      </w:pPr>
    </w:p>
    <w:bookmarkStart w:id="206" w:name="page207"/>
    <w:bookmarkEnd w:id="20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federal and California research credit carryforwards of $3.9 million and $1.5 million, respectively, available to reduce future tax. Federal tax credits begin to expire in 2041 and California credits carry forward indefinitely.</w:t>
      </w:r>
    </w:p>
    <w:p>
      <w:pPr>
        <w:spacing w:after="0" w:line="6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Utilization of the net operating loss and tax credit carryforwards may be subject to an annual limitation due to the ownership change limitations provided by the Internal Revenue Code of 1986, as amended and similar state provisions. An “ownership change” would occur for these purposes if one or more stockholders or groups of stockholders, who own at least 5% of the Company’s stock, increase their ownership by more than 50 percentage points over their lowest ownership percentage within a rolling three-year period. Utilization of federal net operating loss carryforwards is also limited to 80% of the Company’s taxable income in the year of deduction.</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Company’s deferred tax asset is primarily attributable to future tax amortization deductions of tax basis created from the Business Combination, subsequent redemptions and exchanges of WMH Units, and future TRA payments. These deferred tax assets generally amortize over 15 years beginning on the date the WMH Units are deemed to have been exchanged or redeemed, or TRA payments are made, as applicable. Tax amortization deductions in excess of taxable income from operations result in a net operating loss, which can be carried forward indefinitely for federal tax purposes.</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assesses whether it is “more-likely-than-not” that it will realize its deferred tax assets (“DTAs”). The Company establishes a valuation allowance when available evidence indicates that it is more-likely-than-not that the deferred tax asset will not be realized. In assessing the need for a valuation allowance, the Company considers the amounts and timing of expected future deductions or carryforwards and sources of taxable income that may enable utilization. This includes an analysis of the Company’s current financial position, results of operations for the current and prior years and all currently available information about future years. This assessment and estimates require significant management judgement. The Company maintains an existing valuation allowance until enough positive evidence exists to support its reversal. Change in the amount or timing of expected future deductions or taxable income may have a material impact on the level of income tax valuation allowances.</w:t>
      </w:r>
    </w:p>
    <w:p>
      <w:pPr>
        <w:spacing w:after="0" w:line="8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Based on the weight of all available evidence, both positive and negative, the Company determined during the fourth quarter of 2022 that a full valuation allowance was required against its net DTAs. Management assessed the available positive and negative evidence to estimate whether sufficient future taxable income will be generated to permit use of the existing deferred tax assets. Significant pieces of negative evidence evaluated were the book operating loss incurred during the year ended December 31, 2022 and lowered forecasts at that time. For the period ending December 31, 2023, management conducted a similar analysis, and determined that a full valuation allowance was still required. Payment under the TRA liability was not probable, resulting from the full valuation allowance and accordingly, substantially all of the TRA liability was reversed. As of December 31, 2023 and 2022, the TRA liability was $1.8 million and $0.5 million, respectively.</w:t>
      </w:r>
    </w:p>
    <w:p>
      <w:pPr>
        <w:spacing w:after="0" w:line="78" w:lineRule="exact"/>
        <w:rPr>
          <w:sz w:val="20"/>
          <w:szCs w:val="20"/>
          <w:color w:val="auto"/>
        </w:rPr>
      </w:pPr>
    </w:p>
    <w:p>
      <w:pPr>
        <w:jc w:val="both"/>
        <w:ind w:left="300" w:right="319"/>
        <w:spacing w:after="0" w:line="267" w:lineRule="auto"/>
        <w:rPr>
          <w:sz w:val="20"/>
          <w:szCs w:val="20"/>
          <w:color w:val="auto"/>
        </w:rPr>
      </w:pPr>
      <w:r>
        <w:rPr>
          <w:rFonts w:ascii="Times New Roman" w:cs="Times New Roman" w:eastAsia="Times New Roman" w:hAnsi="Times New Roman"/>
          <w:sz w:val="18"/>
          <w:szCs w:val="18"/>
          <w:color w:val="auto"/>
        </w:rPr>
        <w:t xml:space="preserve">The Company follows the provisions of FASB ASC 740-10, </w:t>
      </w:r>
      <w:r>
        <w:rPr>
          <w:rFonts w:ascii="Times New Roman" w:cs="Times New Roman" w:eastAsia="Times New Roman" w:hAnsi="Times New Roman"/>
          <w:sz w:val="18"/>
          <w:szCs w:val="18"/>
          <w:i w:val="1"/>
          <w:iCs w:val="1"/>
          <w:color w:val="auto"/>
        </w:rPr>
        <w:t>Accounting for Uncertainty in Income Taxes</w:t>
      </w:r>
      <w:r>
        <w:rPr>
          <w:rFonts w:ascii="Times New Roman" w:cs="Times New Roman" w:eastAsia="Times New Roman" w:hAnsi="Times New Roman"/>
          <w:sz w:val="18"/>
          <w:szCs w:val="18"/>
          <w:color w:val="auto"/>
        </w:rPr>
        <w:t>. ASC 740-10 prescribes a comprehensive model for the recognition, measurement, presentation and disclosure in financial statements of any uncertain tax positions that have been taken or expected to be taken on a tax return.</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reflects changes in the unrecognized tax benefits (in thousands):</w:t>
      </w:r>
    </w:p>
    <w:p>
      <w:pPr>
        <w:spacing w:after="0" w:line="200" w:lineRule="exact"/>
        <w:rPr>
          <w:sz w:val="20"/>
          <w:szCs w:val="20"/>
          <w:color w:val="auto"/>
        </w:rPr>
      </w:pPr>
    </w:p>
    <w:p>
      <w:pPr>
        <w:spacing w:after="0" w:line="26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13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50"/>
        </w:trPr>
        <w:tc>
          <w:tcPr>
            <w:tcW w:w="586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r>
      <w:tr>
        <w:trPr>
          <w:trHeight w:val="311"/>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amount of unrecognized tax benefits as of the beginning of the period</w:t>
            </w: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3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$188</w:t>
            </w:r>
          </w:p>
        </w:tc>
      </w:tr>
      <w:tr>
        <w:trPr>
          <w:trHeight w:val="270"/>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Decreases related to prior year tax provisions</w:t>
            </w: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7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5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318"/>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Increases related to current year tax provisions</w:t>
            </w:r>
          </w:p>
        </w:tc>
        <w:tc>
          <w:tcPr>
            <w:tcW w:w="3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400" w:type="dxa"/>
            <w:vAlign w:val="bottom"/>
            <w:tcBorders>
              <w:bottom w:val="single" w:sz="8" w:color="CCEEFF"/>
            </w:tcBorders>
            <w:shd w:val="clear" w:color="auto" w:fill="CCEEFF"/>
          </w:tcPr>
          <w:p>
            <w:pPr>
              <w:spacing w:after="0"/>
              <w:rPr>
                <w:sz w:val="24"/>
                <w:szCs w:val="24"/>
                <w:color w:val="auto"/>
              </w:rPr>
            </w:pPr>
          </w:p>
        </w:tc>
      </w:tr>
      <w:tr>
        <w:trPr>
          <w:trHeight w:val="28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Gross amount of unrecognized tax benefits as of the end of the period</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1,024</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920</w:t>
            </w:r>
          </w:p>
        </w:tc>
      </w:tr>
      <w:tr>
        <w:trPr>
          <w:trHeight w:val="20"/>
        </w:trPr>
        <w:tc>
          <w:tcPr>
            <w:tcW w:w="5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-830580</wp:posOffset>
            </wp:positionV>
            <wp:extent cx="13716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-830580</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has unrecognized tax benefits of approximately $1.0 million, which would affect its effective tax rate if recognized, and without consideration of valuation allowance. It is unlikely that the amount of liability for unrecognized tax benefits will significantly change over the next 12 months. It is the Company’s policy to include penalties and interest expense related to income taxes as a component of other expense and interest expense, respectively, as necessary.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7" w:name="page208"/>
    <w:bookmarkEnd w:id="20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and its subsidiaries file income tax returns with the U.S. federal government, various U.S. states and several foreign jurisdictions. The Company’s U.S. federal and state tax returns remain open to examination for 2019 through 2023. In addition, tax returns remain open to examination in non-U.S. subsidiaries, including Canada.</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17.  Related Party Transactions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During the second quarter of 2022, the Company entered into a sublease agreement with an affiliate of the Chief Executive Officer. The sublease commenced on June 1, 2022, and the term is for the remainder of the original lease and will expire on February 28, 2025, or sooner in the event that the original lease is cancelled prior to the expiration date. The monthly base rent, after the rent abatement period for the first four months, is $69,000. Rent receivable of $0.7 million is included in prepaid expenses and other current assets on the accompanying consolidated balance sheets as of December 31, 2023, and was subsequently collected in April 2024. As of December 31, 2022, $0.1 million of rent receivable was included in accounts receivable, net on the accompanying consolidated balance sheets. For the years ended December 31, 2023 and 2022, income on the sublease from the related party transactions were $0.7 million and $0.4 million, respectively. The income on sublease is netted with rent expense and included in general and administrative expenses on the consolidated statements of operations.</w:t>
      </w:r>
    </w:p>
    <w:p>
      <w:pPr>
        <w:spacing w:after="0" w:line="86"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the Company paid $1.1 million in certain transaction costs reimbursable by Silver Spike’s sponsor (“Silver Spike Sponsor”), an affiliate to a member of the board of directors. On March 16, 2023, Silver Spike Holdings, an affiliate of Silver Spike Sponsor, entered into a promissory note with the Company and agreed to pay the principal amount of $1.1 million in 12 equal quarterly installments commencing on March 31, 2023. The promissory note bears interest at a rate of 5% per annum commencing on March 31, 2023. In an event of default, the outstanding principal amount shall bear interest for the entire period during which the principal balance is unpaid at a rate which is equal to 10% per annum. As of December 31, 2023, the remaining balance of the promissory note receivable was $0.7 million of which, $0.4 million was included in prepaid expenses and other current assets and $0.3 million was included in other assets on the consolidated balance sheets. As of December 31, 2022, $1.1 million of related party note receivable was included in other assets on the accompanying consolidated balance sheets. For the year ended December 31, 2023, interest income on the promissory note was less than $0.1 million, which is included in other income (expense), net on the consolidated statement of operations.</w:t>
      </w:r>
    </w:p>
    <w:p>
      <w:pPr>
        <w:spacing w:after="0" w:line="82"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During the fourth quarter of 2023, the Company reimbursed $0.4 million in certain legal fee to Silver Spike Holdings, an affiliate to a member of the board of directors in connection with responding to the SEC investigation. See Part I. Item 3. “Legal Proceedings” for further discussion. The expense is included in general and administrative expenses on the consolidated statements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8" w:name="page209"/>
    <w:bookmarkEnd w:id="20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Other Expenses of Issuance and Distribution.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following table sets forth all costs and expenses, other than underwriting discounts and commissions, payable by us in connection with the sale of the securities being registered. All amounts shown are estimates except for the SEC registration fee.</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51"/>
        </w:trPr>
        <w:tc>
          <w:tcPr>
            <w:tcW w:w="4980" w:type="dxa"/>
            <w:vAlign w:val="bottom"/>
            <w:tcBorders>
              <w:bottom w:val="single" w:sz="8" w:color="CCEEFF"/>
            </w:tcBorders>
          </w:tcPr>
          <w:p>
            <w:pPr>
              <w:spacing w:after="0"/>
              <w:rPr>
                <w:sz w:val="4"/>
                <w:szCs w:val="4"/>
                <w:color w:val="auto"/>
              </w:rPr>
            </w:pPr>
          </w:p>
        </w:tc>
        <w:tc>
          <w:tcPr>
            <w:tcW w:w="282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gridSpan w:val="2"/>
          </w:tcPr>
          <w:p>
            <w:pPr>
              <w:spacing w:after="0"/>
              <w:rPr>
                <w:sz w:val="4"/>
                <w:szCs w:val="4"/>
                <w:color w:val="auto"/>
              </w:rPr>
            </w:pPr>
          </w:p>
        </w:tc>
      </w:tr>
      <w:tr>
        <w:trPr>
          <w:trHeight w:val="311"/>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440" w:type="dxa"/>
            <w:vAlign w:val="bottom"/>
            <w:tcBorders>
              <w:bottom w:val="single" w:sz="8" w:color="CCEEFF"/>
            </w:tcBorders>
            <w:gridSpan w:val="3"/>
            <w:shd w:val="clear" w:color="auto" w:fill="CCEEFF"/>
          </w:tcPr>
          <w:p>
            <w:pPr>
              <w:ind w:left="2820"/>
              <w:spacing w:after="0"/>
              <w:rPr>
                <w:sz w:val="20"/>
                <w:szCs w:val="20"/>
                <w:color w:val="auto"/>
              </w:rPr>
            </w:pPr>
            <w:r>
              <w:rPr>
                <w:rFonts w:ascii="Times New Roman" w:cs="Times New Roman" w:eastAsia="Times New Roman" w:hAnsi="Times New Roman"/>
                <w:sz w:val="18"/>
                <w:szCs w:val="18"/>
                <w:color w:val="auto"/>
              </w:rPr>
              <w:t>$1,268+</w:t>
            </w:r>
          </w:p>
        </w:tc>
      </w:tr>
      <w:tr>
        <w:trPr>
          <w:trHeight w:val="27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4980" w:type="dxa"/>
            <w:vAlign w:val="bottom"/>
          </w:tcPr>
          <w:p>
            <w:pPr>
              <w:spacing w:after="0"/>
              <w:rPr>
                <w:sz w:val="4"/>
                <w:szCs w:val="4"/>
                <w:color w:val="auto"/>
              </w:rPr>
            </w:pPr>
          </w:p>
        </w:tc>
        <w:tc>
          <w:tcPr>
            <w:tcW w:w="2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304"/>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8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4980" w:type="dxa"/>
            <w:vAlign w:val="bottom"/>
          </w:tcPr>
          <w:p>
            <w:pPr>
              <w:spacing w:after="0"/>
              <w:rPr>
                <w:sz w:val="4"/>
                <w:szCs w:val="4"/>
                <w:color w:val="auto"/>
              </w:rPr>
            </w:pPr>
          </w:p>
        </w:tc>
        <w:tc>
          <w:tcPr>
            <w:tcW w:w="2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7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980" w:type="dxa"/>
            <w:vAlign w:val="bottom"/>
            <w:gridSpan w:val="2"/>
            <w:shd w:val="clear" w:color="auto" w:fill="CCEEFF"/>
          </w:tcPr>
          <w:p>
            <w:pPr>
              <w:ind w:left="2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4980" w:type="dxa"/>
            <w:vAlign w:val="bottom"/>
            <w:shd w:val="clear" w:color="auto" w:fill="CCEEFF"/>
          </w:tcPr>
          <w:p>
            <w:pPr>
              <w:spacing w:after="0"/>
              <w:rPr>
                <w:sz w:val="4"/>
                <w:szCs w:val="4"/>
                <w:color w:val="auto"/>
              </w:rPr>
            </w:pPr>
          </w:p>
        </w:tc>
        <w:tc>
          <w:tcPr>
            <w:tcW w:w="28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5003165</wp:posOffset>
            </wp:positionH>
            <wp:positionV relativeFrom="paragraph">
              <wp:posOffset>-1045210</wp:posOffset>
            </wp:positionV>
            <wp:extent cx="14605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paid</w:t>
      </w:r>
    </w:p>
    <w:p>
      <w:pPr>
        <w:spacing w:after="0" w:line="42" w:lineRule="exact"/>
        <w:rPr>
          <w:sz w:val="20"/>
          <w:szCs w:val="20"/>
          <w:color w:val="auto"/>
        </w:rPr>
      </w:pPr>
    </w:p>
    <w:p>
      <w:pPr>
        <w:jc w:val="both"/>
        <w:ind w:left="640" w:right="299" w:hanging="348"/>
        <w:spacing w:after="0" w:line="236" w:lineRule="auto"/>
        <w:tabs>
          <w:tab w:leader="none" w:pos="64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for the SEC registration fee, estimated expenses are not presently known. The foregoing sets forth the general categories of expenses (other than underwriting discounts and commissions) that we anticipate we will incur in connection with the offering of securities under this registration statement. To the extent required, any applicable prospectus supplement will set forth the estimated aggregate amount of expenses payable in respect of any offering of securities under the registration statement.</w:t>
      </w:r>
    </w:p>
    <w:p>
      <w:pPr>
        <w:spacing w:after="0" w:line="177"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14.</w:t>
        <w:tab/>
        <w:t>Indemnification of Directors and Officers.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Section 145(a) of the DGCL provides, in general, that a corporation may indemnify any person who was or is a party to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86"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spacing w:after="0" w:line="8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09" w:name="page210"/>
    <w:bookmarkEnd w:id="20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Additionally, 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68" w:lineRule="exact"/>
        <w:rPr>
          <w:sz w:val="20"/>
          <w:szCs w:val="20"/>
          <w:color w:val="auto"/>
        </w:rPr>
      </w:pPr>
    </w:p>
    <w:p>
      <w:pPr>
        <w:ind w:left="1000" w:hanging="348"/>
        <w:spacing w:after="0"/>
        <w:tabs>
          <w:tab w:leader="none" w:pos="10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its stockholders.</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the Company’s directors will be eliminated or limited to the fullest extent permitted by the DGCL, as so amended.</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7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w:t>
      </w:r>
    </w:p>
    <w:p>
      <w:pPr>
        <w:spacing w:after="0" w:line="158"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Recent Sales of Unregistered Securities.</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In June 2021, the PIPE Investors purchased from the Company an aggregate of 32,500,000 shares of Class A Common Stock, for a purchase price of $10.00 per share and an aggregate purchase price of $325.0 million, pursuant to Subscription Agreements entered into effective as of December 2020. The sale of the PIPE Shares was made in reliance on the exemption from registration in Section 4(a)(2) under the Securities Act.</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September 3, 2021, the Company entered into the Asset Purchase Agreement with Sprout, Text Ripple, WM Loyalty, LLC, certain equityholders of Sprout and Text Ripple, and Jaret Christopher, as sellers’ representative pursuant to which the Company acquired certain assets of Sprout for a total consideration of approximately $31.2 million, including the issuance by the Company of 1,244,258 shares of Class A Common Stock. The shares were issued in reliance on the exemption from registration in Section 4(a)(2) under the Securities Act.</w:t>
      </w:r>
    </w:p>
    <w:p>
      <w:pPr>
        <w:spacing w:after="0" w:line="75" w:lineRule="exact"/>
        <w:rPr>
          <w:sz w:val="20"/>
          <w:szCs w:val="20"/>
          <w:color w:val="auto"/>
        </w:rPr>
      </w:pPr>
    </w:p>
    <w:p>
      <w:pPr>
        <w:jc w:val="both"/>
        <w:ind w:left="300" w:right="299"/>
        <w:spacing w:after="0" w:line="277" w:lineRule="auto"/>
        <w:rPr>
          <w:sz w:val="20"/>
          <w:szCs w:val="20"/>
          <w:color w:val="auto"/>
        </w:rPr>
      </w:pPr>
      <w:r>
        <w:rPr>
          <w:rFonts w:ascii="Times New Roman" w:cs="Times New Roman" w:eastAsia="Times New Roman" w:hAnsi="Times New Roman"/>
          <w:sz w:val="17"/>
          <w:szCs w:val="17"/>
          <w:color w:val="auto"/>
        </w:rPr>
        <w:t>On September 28, 2021, Ghost Management Group, LLC, a subsidiary of the Company, entered into the Equity Interest Purchase Agreement with TLHC, certain securityholders of TLHC, and Justin Morris, as sellers’ representative, pursuant to which the Company acquired all of the equity interests of TLHC for total consideration of approximately $15.1 million, including the issuance by the Company of 694,540 shares of Class A Common Stock. The shares were issued in reliance on the exemption from registration in Section 4(a)(2) under the Securities Act.</w:t>
      </w:r>
    </w:p>
    <w:p>
      <w:pPr>
        <w:spacing w:after="0" w:line="6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On January 14, 2022, WM In-Store Solutions, LLC (“Merger Sub”), a subsidiary of the Company, acquired Eyechronic LLC d/b/a Enlighten (“Eyechronic”) for total consideration of approximately $35 million, including the issuance by the Company of 4,721,706 shares of Class A Common Stock, pursuant to that certain Agreement and Plan of Reorganization dated as of January 3, 2022 by and among the Company, Eyechronic, Merger Sub, Janus Merger Sub I, LLC and Brian Schwartz, as representative of company indemnitors. The shares were issued in reliance on the exemption from registration in Section 4(a)(2) under the Securities Act.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0" w:name="page211"/>
    <w:bookmarkEnd w:id="2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40" w:type="dxa"/>
            <w:vAlign w:val="bottom"/>
            <w:gridSpan w:val="10"/>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Pr>
          <w:p>
            <w:pPr>
              <w:spacing w:after="0"/>
              <w:rPr>
                <w:sz w:val="16"/>
                <w:szCs w:val="16"/>
                <w:color w:val="auto"/>
              </w:rPr>
            </w:pPr>
          </w:p>
        </w:tc>
        <w:tc>
          <w:tcPr>
            <w:tcW w:w="7580" w:type="dxa"/>
            <w:vAlign w:val="bottom"/>
          </w:tcPr>
          <w:p>
            <w:pPr>
              <w:ind w:left="34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580" w:type="dxa"/>
            <w:vAlign w:val="bottom"/>
            <w:tcBorders>
              <w:bottom w:val="single" w:sz="8" w:color="auto"/>
            </w:tcBorders>
          </w:tcPr>
          <w:p>
            <w:pPr>
              <w:spacing w:after="0"/>
              <w:rPr>
                <w:sz w:val="3"/>
                <w:szCs w:val="3"/>
                <w:color w:val="auto"/>
              </w:rPr>
            </w:pPr>
          </w:p>
        </w:tc>
      </w:tr>
      <w:tr>
        <w:trPr>
          <w:trHeight w:val="223"/>
        </w:trPr>
        <w:tc>
          <w:tcPr>
            <w:tcW w:w="560" w:type="dxa"/>
            <w:vAlign w:val="bottom"/>
            <w:gridSpan w:val="7"/>
            <w:shd w:val="clear" w:color="auto" w:fill="CCEEFF"/>
          </w:tcPr>
          <w:p>
            <w:pPr>
              <w:jc w:val="center"/>
              <w:ind w:left="71"/>
              <w:spacing w:after="0"/>
              <w:rPr>
                <w:rFonts w:ascii="Times New Roman" w:cs="Times New Roman" w:eastAsia="Times New Roman" w:hAnsi="Times New Roman"/>
                <w:sz w:val="18"/>
                <w:szCs w:val="18"/>
                <w:color w:val="0000EE"/>
                <w:w w:val="97"/>
              </w:rPr>
            </w:pPr>
            <w:hyperlink r:id="rId516">
              <w:r>
                <w:rPr>
                  <w:rFonts w:ascii="Times New Roman" w:cs="Times New Roman" w:eastAsia="Times New Roman" w:hAnsi="Times New Roman"/>
                  <w:sz w:val="18"/>
                  <w:szCs w:val="18"/>
                  <w:color w:val="0000EE"/>
                  <w:w w:val="97"/>
                </w:rPr>
                <w:t>2.</w:t>
              </w:r>
              <w:r>
                <w:rPr>
                  <w:rFonts w:ascii="Times New Roman" w:cs="Times New Roman" w:eastAsia="Times New Roman" w:hAnsi="Times New Roman"/>
                  <w:sz w:val="18"/>
                  <w:szCs w:val="18"/>
                  <w:u w:val="single" w:color="auto"/>
                  <w:color w:val="0000EE"/>
                  <w:w w:val="97"/>
                </w:rPr>
                <w:t>1+</w:t>
              </w:r>
            </w:hyperlink>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Agreement and Plan of Merger, dated December 10, 2020, by and among Silver Spike, Merger Sub,</w:t>
            </w:r>
          </w:p>
        </w:tc>
      </w:tr>
      <w:tr>
        <w:trPr>
          <w:trHeight w:val="218"/>
        </w:trPr>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Legacy WMH, and the Holder Representative named therein (incorporated by reference to Exhibit 2.1 to</w:t>
            </w:r>
          </w:p>
        </w:tc>
      </w:tr>
      <w:tr>
        <w:trPr>
          <w:trHeight w:val="241"/>
        </w:trPr>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the Current Report on Form 8-K filed on December 10, 2020).</w:t>
            </w:r>
          </w:p>
        </w:tc>
      </w:tr>
      <w:tr>
        <w:trPr>
          <w:trHeight w:val="203"/>
        </w:trPr>
        <w:tc>
          <w:tcPr>
            <w:tcW w:w="520" w:type="dxa"/>
            <w:vAlign w:val="bottom"/>
            <w:gridSpan w:val="6"/>
          </w:tcPr>
          <w:p>
            <w:pPr>
              <w:jc w:val="center"/>
              <w:ind w:left="131"/>
              <w:spacing w:after="0" w:line="202" w:lineRule="exact"/>
              <w:rPr>
                <w:rFonts w:ascii="Times New Roman" w:cs="Times New Roman" w:eastAsia="Times New Roman" w:hAnsi="Times New Roman"/>
                <w:sz w:val="18"/>
                <w:szCs w:val="18"/>
                <w:color w:val="0000EE"/>
                <w:w w:val="97"/>
              </w:rPr>
            </w:pPr>
            <w:hyperlink r:id="rId517">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hyperlink>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8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color w:val="auto"/>
              </w:rPr>
              <w:t>Certificate of Incorporation of the Company, dated June 15, 2021 (incorporated by reference to</w:t>
            </w:r>
          </w:p>
        </w:tc>
      </w:tr>
      <w:tr>
        <w:trPr>
          <w:trHeight w:val="237"/>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Exhibit 3.1 to the Current Report on Form 8-K filed on June 21, 2021).</w:t>
            </w:r>
          </w:p>
        </w:tc>
      </w:tr>
      <w:tr>
        <w:trPr>
          <w:trHeight w:val="27"/>
        </w:trPr>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580" w:type="dxa"/>
            <w:vAlign w:val="bottom"/>
          </w:tcPr>
          <w:p>
            <w:pPr>
              <w:spacing w:after="0"/>
              <w:rPr>
                <w:sz w:val="2"/>
                <w:szCs w:val="2"/>
                <w:color w:val="auto"/>
              </w:rPr>
            </w:pPr>
          </w:p>
        </w:tc>
      </w:tr>
      <w:tr>
        <w:trPr>
          <w:trHeight w:val="203"/>
        </w:trPr>
        <w:tc>
          <w:tcPr>
            <w:tcW w:w="520" w:type="dxa"/>
            <w:vAlign w:val="bottom"/>
            <w:gridSpan w:val="6"/>
            <w:shd w:val="clear" w:color="auto" w:fill="CCEEFF"/>
          </w:tcPr>
          <w:p>
            <w:pPr>
              <w:jc w:val="center"/>
              <w:ind w:left="131"/>
              <w:spacing w:after="0" w:line="202" w:lineRule="exact"/>
              <w:rPr>
                <w:rFonts w:ascii="Times New Roman" w:cs="Times New Roman" w:eastAsia="Times New Roman" w:hAnsi="Times New Roman"/>
                <w:sz w:val="18"/>
                <w:szCs w:val="18"/>
                <w:color w:val="0000EE"/>
                <w:w w:val="97"/>
              </w:rPr>
            </w:pPr>
            <w:hyperlink r:id="rId518">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2</w:t>
              </w:r>
            </w:hyperlink>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80" w:type="dxa"/>
            <w:vAlign w:val="bottom"/>
            <w:gridSpan w:val="2"/>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Amended and Restated Bylaws of the Company, dated June 16, 2021 (incorporated by reference to</w:t>
            </w:r>
          </w:p>
        </w:tc>
      </w:tr>
      <w:tr>
        <w:trPr>
          <w:trHeight w:val="243"/>
        </w:trPr>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0000EE"/>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76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Exhibit 3.2 to the Current Report on Form 8-K filed on June 21, 2021).</w:t>
            </w:r>
          </w:p>
        </w:tc>
      </w:tr>
      <w:tr>
        <w:trPr>
          <w:trHeight w:val="203"/>
        </w:trPr>
        <w:tc>
          <w:tcPr>
            <w:tcW w:w="520" w:type="dxa"/>
            <w:vAlign w:val="bottom"/>
            <w:gridSpan w:val="6"/>
          </w:tcPr>
          <w:p>
            <w:pPr>
              <w:jc w:val="center"/>
              <w:ind w:left="131"/>
              <w:spacing w:after="0" w:line="202" w:lineRule="exact"/>
              <w:rPr>
                <w:rFonts w:ascii="Times New Roman" w:cs="Times New Roman" w:eastAsia="Times New Roman" w:hAnsi="Times New Roman"/>
                <w:sz w:val="18"/>
                <w:szCs w:val="18"/>
                <w:color w:val="0000EE"/>
                <w:w w:val="97"/>
              </w:rPr>
            </w:pPr>
            <w:hyperlink r:id="rId519">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8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color w:val="auto"/>
              </w:rPr>
              <w:t>Form of Common Stock Certificate of the Company (incorporated by reference to Exhibit 4.1 to the</w:t>
            </w:r>
          </w:p>
        </w:tc>
      </w:tr>
      <w:tr>
        <w:trPr>
          <w:trHeight w:val="237"/>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Current Report on Form 8-K filed on June 21, 2021).</w:t>
            </w:r>
          </w:p>
        </w:tc>
      </w:tr>
      <w:tr>
        <w:trPr>
          <w:trHeight w:val="27"/>
        </w:trPr>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580" w:type="dxa"/>
            <w:vAlign w:val="bottom"/>
          </w:tcPr>
          <w:p>
            <w:pPr>
              <w:spacing w:after="0"/>
              <w:rPr>
                <w:sz w:val="2"/>
                <w:szCs w:val="2"/>
                <w:color w:val="auto"/>
              </w:rPr>
            </w:pPr>
          </w:p>
        </w:tc>
      </w:tr>
      <w:tr>
        <w:trPr>
          <w:trHeight w:val="203"/>
        </w:trPr>
        <w:tc>
          <w:tcPr>
            <w:tcW w:w="520" w:type="dxa"/>
            <w:vAlign w:val="bottom"/>
            <w:gridSpan w:val="6"/>
            <w:shd w:val="clear" w:color="auto" w:fill="CCEEFF"/>
          </w:tcPr>
          <w:p>
            <w:pPr>
              <w:jc w:val="center"/>
              <w:ind w:left="131"/>
              <w:spacing w:after="0" w:line="202" w:lineRule="exact"/>
              <w:rPr>
                <w:rFonts w:ascii="Times New Roman" w:cs="Times New Roman" w:eastAsia="Times New Roman" w:hAnsi="Times New Roman"/>
                <w:sz w:val="18"/>
                <w:szCs w:val="18"/>
                <w:color w:val="0000EE"/>
                <w:w w:val="97"/>
              </w:rPr>
            </w:pPr>
            <w:hyperlink r:id="rId520">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hyperlink>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80" w:type="dxa"/>
            <w:vAlign w:val="bottom"/>
            <w:gridSpan w:val="2"/>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Form of Warrant Certificate of the Company (incorporated by reference to Exhibit 4.2 to the Current</w:t>
            </w:r>
          </w:p>
        </w:tc>
      </w:tr>
      <w:tr>
        <w:trPr>
          <w:trHeight w:val="244"/>
        </w:trPr>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0000EE"/>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76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Report on Form 8-K filed on June 21, 2021).</w:t>
            </w:r>
          </w:p>
        </w:tc>
      </w:tr>
      <w:tr>
        <w:trPr>
          <w:trHeight w:val="203"/>
        </w:trPr>
        <w:tc>
          <w:tcPr>
            <w:tcW w:w="520" w:type="dxa"/>
            <w:vAlign w:val="bottom"/>
            <w:gridSpan w:val="6"/>
          </w:tcPr>
          <w:p>
            <w:pPr>
              <w:jc w:val="center"/>
              <w:ind w:left="131"/>
              <w:spacing w:after="0" w:line="202" w:lineRule="exact"/>
              <w:rPr>
                <w:rFonts w:ascii="Times New Roman" w:cs="Times New Roman" w:eastAsia="Times New Roman" w:hAnsi="Times New Roman"/>
                <w:sz w:val="18"/>
                <w:szCs w:val="18"/>
                <w:color w:val="0000EE"/>
                <w:w w:val="97"/>
              </w:rPr>
            </w:pPr>
            <w:hyperlink r:id="rId521">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3</w:t>
              </w:r>
            </w:hyperlink>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8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color w:val="auto"/>
              </w:rPr>
              <w:t>Warrant Agreement, dated August 7, 2019, between the Company and Continental Stock Transfer &amp;</w:t>
            </w:r>
          </w:p>
        </w:tc>
      </w:tr>
      <w:tr>
        <w:trPr>
          <w:trHeight w:val="218"/>
        </w:trPr>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Trust Company, as warrant agent (incorporated by reference to Exhibit 4.1 filed on Silver Spike’s</w:t>
            </w:r>
          </w:p>
        </w:tc>
      </w:tr>
      <w:tr>
        <w:trPr>
          <w:trHeight w:val="234"/>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Current Report on Form 8-K, filed by the Company on August 12, 2019).</w:t>
            </w:r>
          </w:p>
        </w:tc>
      </w:tr>
      <w:tr>
        <w:trPr>
          <w:trHeight w:val="27"/>
        </w:trPr>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580" w:type="dxa"/>
            <w:vAlign w:val="bottom"/>
          </w:tcPr>
          <w:p>
            <w:pPr>
              <w:spacing w:after="0"/>
              <w:rPr>
                <w:sz w:val="2"/>
                <w:szCs w:val="2"/>
                <w:color w:val="auto"/>
              </w:rPr>
            </w:pPr>
          </w:p>
        </w:tc>
      </w:tr>
      <w:tr>
        <w:trPr>
          <w:trHeight w:val="203"/>
        </w:trPr>
        <w:tc>
          <w:tcPr>
            <w:tcW w:w="520" w:type="dxa"/>
            <w:vAlign w:val="bottom"/>
            <w:gridSpan w:val="6"/>
            <w:shd w:val="clear" w:color="auto" w:fill="CCEEFF"/>
          </w:tcPr>
          <w:p>
            <w:pPr>
              <w:jc w:val="center"/>
              <w:ind w:left="131"/>
              <w:spacing w:after="0" w:line="202" w:lineRule="exact"/>
              <w:rPr>
                <w:rFonts w:ascii="Times New Roman" w:cs="Times New Roman" w:eastAsia="Times New Roman" w:hAnsi="Times New Roman"/>
                <w:sz w:val="18"/>
                <w:szCs w:val="18"/>
                <w:color w:val="0000EE"/>
                <w:w w:val="97"/>
              </w:rPr>
            </w:pPr>
            <w:hyperlink r:id="rId522">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4</w:t>
              </w:r>
            </w:hyperlink>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80" w:type="dxa"/>
            <w:vAlign w:val="bottom"/>
            <w:gridSpan w:val="2"/>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Description of Securities (incorporated by reference to Exhibit 4.5 to the Annual Report on</w:t>
            </w:r>
          </w:p>
        </w:tc>
      </w:tr>
      <w:tr>
        <w:trPr>
          <w:trHeight w:val="243"/>
        </w:trPr>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0000EE"/>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76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Form 10-K filed on May 24, 2024).</w:t>
            </w:r>
          </w:p>
        </w:tc>
      </w:tr>
      <w:tr>
        <w:trPr>
          <w:trHeight w:val="203"/>
        </w:trPr>
        <w:tc>
          <w:tcPr>
            <w:tcW w:w="520" w:type="dxa"/>
            <w:vAlign w:val="bottom"/>
            <w:gridSpan w:val="6"/>
          </w:tcPr>
          <w:p>
            <w:pPr>
              <w:jc w:val="center"/>
              <w:ind w:left="131"/>
              <w:spacing w:after="0" w:line="202" w:lineRule="exact"/>
              <w:rPr>
                <w:rFonts w:ascii="Times New Roman" w:cs="Times New Roman" w:eastAsia="Times New Roman" w:hAnsi="Times New Roman"/>
                <w:sz w:val="18"/>
                <w:szCs w:val="18"/>
                <w:color w:val="0000EE"/>
                <w:w w:val="97"/>
              </w:rPr>
            </w:pPr>
            <w:hyperlink r:id="rId523">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hyperlink>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8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color w:val="auto"/>
              </w:rPr>
              <w:t>Opinion of Cooley LLP*</w:t>
            </w:r>
          </w:p>
        </w:tc>
      </w:tr>
      <w:tr>
        <w:trPr>
          <w:trHeight w:val="48"/>
        </w:trPr>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580" w:type="dxa"/>
            <w:vAlign w:val="bottom"/>
          </w:tcPr>
          <w:p>
            <w:pPr>
              <w:spacing w:after="0"/>
              <w:rPr>
                <w:sz w:val="4"/>
                <w:szCs w:val="4"/>
                <w:color w:val="auto"/>
              </w:rPr>
            </w:pPr>
          </w:p>
        </w:tc>
      </w:tr>
      <w:tr>
        <w:trPr>
          <w:trHeight w:val="203"/>
        </w:trPr>
        <w:tc>
          <w:tcPr>
            <w:tcW w:w="520" w:type="dxa"/>
            <w:vAlign w:val="bottom"/>
            <w:gridSpan w:val="6"/>
            <w:shd w:val="clear" w:color="auto" w:fill="CCEEFF"/>
          </w:tcPr>
          <w:p>
            <w:pPr>
              <w:jc w:val="center"/>
              <w:ind w:left="111"/>
              <w:spacing w:after="0" w:line="202" w:lineRule="exact"/>
              <w:rPr>
                <w:rFonts w:ascii="Times New Roman" w:cs="Times New Roman" w:eastAsia="Times New Roman" w:hAnsi="Times New Roman"/>
                <w:sz w:val="18"/>
                <w:szCs w:val="18"/>
                <w:color w:val="0000EE"/>
              </w:rPr>
            </w:pPr>
            <w:hyperlink r:id="rId52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80" w:type="dxa"/>
            <w:vAlign w:val="bottom"/>
            <w:gridSpan w:val="2"/>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Exchange Agreement, dated as of June 16, 2021, by and among the Company, Silver Spike Sponsor and</w:t>
            </w:r>
          </w:p>
        </w:tc>
      </w:tr>
      <w:tr>
        <w:trPr>
          <w:trHeight w:val="218"/>
        </w:trPr>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the other parties thereto (incorporated by reference to Exhibit 10.1 to the Current Report on Form 8-K</w:t>
            </w:r>
          </w:p>
        </w:tc>
      </w:tr>
      <w:tr>
        <w:trPr>
          <w:trHeight w:val="241"/>
        </w:trPr>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filed on June 21, 2021).</w:t>
            </w:r>
          </w:p>
        </w:tc>
      </w:tr>
      <w:tr>
        <w:trPr>
          <w:trHeight w:val="203"/>
        </w:trPr>
        <w:tc>
          <w:tcPr>
            <w:tcW w:w="520" w:type="dxa"/>
            <w:vAlign w:val="bottom"/>
            <w:gridSpan w:val="6"/>
          </w:tcPr>
          <w:p>
            <w:pPr>
              <w:jc w:val="center"/>
              <w:ind w:left="111"/>
              <w:spacing w:after="0" w:line="202" w:lineRule="exact"/>
              <w:rPr>
                <w:rFonts w:ascii="Times New Roman" w:cs="Times New Roman" w:eastAsia="Times New Roman" w:hAnsi="Times New Roman"/>
                <w:sz w:val="18"/>
                <w:szCs w:val="18"/>
                <w:color w:val="0000EE"/>
              </w:rPr>
            </w:pPr>
            <w:hyperlink r:id="rId52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8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color w:val="auto"/>
              </w:rPr>
              <w:t>Tax Receivable Agreement, dated as of June 16, 2021, by and among the Company and the other parties</w:t>
            </w:r>
          </w:p>
        </w:tc>
      </w:tr>
      <w:tr>
        <w:trPr>
          <w:trHeight w:val="218"/>
        </w:trPr>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thereto (incorporated by reference to Exhibit 10.2 to the Current Report on Form 8-K filed on June 21,</w:t>
            </w:r>
          </w:p>
        </w:tc>
      </w:tr>
      <w:tr>
        <w:trPr>
          <w:trHeight w:val="234"/>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2021).</w:t>
            </w:r>
          </w:p>
        </w:tc>
      </w:tr>
      <w:tr>
        <w:trPr>
          <w:trHeight w:val="27"/>
        </w:trPr>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580" w:type="dxa"/>
            <w:vAlign w:val="bottom"/>
          </w:tcPr>
          <w:p>
            <w:pPr>
              <w:spacing w:after="0"/>
              <w:rPr>
                <w:sz w:val="2"/>
                <w:szCs w:val="2"/>
                <w:color w:val="auto"/>
              </w:rPr>
            </w:pPr>
          </w:p>
        </w:tc>
      </w:tr>
      <w:tr>
        <w:trPr>
          <w:trHeight w:val="203"/>
        </w:trPr>
        <w:tc>
          <w:tcPr>
            <w:tcW w:w="520" w:type="dxa"/>
            <w:vAlign w:val="bottom"/>
            <w:gridSpan w:val="6"/>
            <w:shd w:val="clear" w:color="auto" w:fill="CCEEFF"/>
          </w:tcPr>
          <w:p>
            <w:pPr>
              <w:jc w:val="center"/>
              <w:ind w:left="111"/>
              <w:spacing w:after="0" w:line="202" w:lineRule="exact"/>
              <w:rPr>
                <w:rFonts w:ascii="Times New Roman" w:cs="Times New Roman" w:eastAsia="Times New Roman" w:hAnsi="Times New Roman"/>
                <w:sz w:val="18"/>
                <w:szCs w:val="18"/>
                <w:color w:val="0000EE"/>
              </w:rPr>
            </w:pPr>
            <w:hyperlink r:id="rId52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hyperlink>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80" w:type="dxa"/>
            <w:vAlign w:val="bottom"/>
            <w:gridSpan w:val="2"/>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Fourth Amended and Restated Operating Agreement of WMH LLC (incorporated by reference to</w:t>
            </w:r>
          </w:p>
        </w:tc>
      </w:tr>
      <w:tr>
        <w:trPr>
          <w:trHeight w:val="244"/>
        </w:trPr>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0000EE"/>
              <w:bottom w:val="single" w:sz="8" w:color="CCEEFF"/>
            </w:tcBorders>
            <w:shd w:val="clear" w:color="auto" w:fill="CCEEFF"/>
          </w:tcPr>
          <w:p>
            <w:pPr>
              <w:spacing w:after="0"/>
              <w:rPr>
                <w:sz w:val="21"/>
                <w:szCs w:val="21"/>
                <w:color w:val="auto"/>
              </w:rPr>
            </w:pPr>
          </w:p>
        </w:tc>
        <w:tc>
          <w:tcPr>
            <w:tcW w:w="220" w:type="dxa"/>
            <w:vAlign w:val="bottom"/>
            <w:tcBorders>
              <w:top w:val="single" w:sz="8" w:color="0000EE"/>
              <w:bottom w:val="single" w:sz="8" w:color="CCEEFF"/>
            </w:tcBorders>
            <w:shd w:val="clear" w:color="auto" w:fill="CCEEFF"/>
          </w:tcPr>
          <w:p>
            <w:pPr>
              <w:spacing w:after="0"/>
              <w:rPr>
                <w:sz w:val="21"/>
                <w:szCs w:val="21"/>
                <w:color w:val="auto"/>
              </w:rPr>
            </w:pPr>
          </w:p>
        </w:tc>
        <w:tc>
          <w:tcPr>
            <w:tcW w:w="40" w:type="dxa"/>
            <w:vAlign w:val="bottom"/>
            <w:tcBorders>
              <w:top w:val="single" w:sz="8" w:color="0000EE"/>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76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Exhibit 10.3 to the Current Report on Form 8-K filed on June 21, 2021).</w:t>
            </w:r>
          </w:p>
        </w:tc>
      </w:tr>
      <w:tr>
        <w:trPr>
          <w:trHeight w:val="203"/>
        </w:trPr>
        <w:tc>
          <w:tcPr>
            <w:tcW w:w="520" w:type="dxa"/>
            <w:vAlign w:val="bottom"/>
            <w:gridSpan w:val="6"/>
          </w:tcPr>
          <w:p>
            <w:pPr>
              <w:jc w:val="center"/>
              <w:ind w:left="111"/>
              <w:spacing w:after="0" w:line="202" w:lineRule="exact"/>
              <w:rPr>
                <w:rFonts w:ascii="Times New Roman" w:cs="Times New Roman" w:eastAsia="Times New Roman" w:hAnsi="Times New Roman"/>
                <w:sz w:val="18"/>
                <w:szCs w:val="18"/>
                <w:color w:val="0000EE"/>
              </w:rPr>
            </w:pPr>
            <w:hyperlink r:id="rId52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hyperlink>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8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color w:val="auto"/>
              </w:rPr>
              <w:t>Form of Subscription Agreement (incorporated by reference to Exhibit 10.1 to the Current Report on</w:t>
            </w:r>
          </w:p>
        </w:tc>
      </w:tr>
      <w:tr>
        <w:trPr>
          <w:trHeight w:val="237"/>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8-K filed on December 10, 2020).</w:t>
            </w:r>
          </w:p>
        </w:tc>
      </w:tr>
      <w:tr>
        <w:trPr>
          <w:trHeight w:val="27"/>
        </w:trPr>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580" w:type="dxa"/>
            <w:vAlign w:val="bottom"/>
          </w:tcPr>
          <w:p>
            <w:pPr>
              <w:spacing w:after="0"/>
              <w:rPr>
                <w:sz w:val="2"/>
                <w:szCs w:val="2"/>
                <w:color w:val="auto"/>
              </w:rPr>
            </w:pPr>
          </w:p>
        </w:tc>
      </w:tr>
      <w:tr>
        <w:trPr>
          <w:trHeight w:val="203"/>
        </w:trPr>
        <w:tc>
          <w:tcPr>
            <w:tcW w:w="520" w:type="dxa"/>
            <w:vAlign w:val="bottom"/>
            <w:gridSpan w:val="6"/>
            <w:shd w:val="clear" w:color="auto" w:fill="CCEEFF"/>
          </w:tcPr>
          <w:p>
            <w:pPr>
              <w:jc w:val="center"/>
              <w:ind w:left="111"/>
              <w:spacing w:after="0" w:line="202" w:lineRule="exact"/>
              <w:rPr>
                <w:rFonts w:ascii="Times New Roman" w:cs="Times New Roman" w:eastAsia="Times New Roman" w:hAnsi="Times New Roman"/>
                <w:sz w:val="18"/>
                <w:szCs w:val="18"/>
                <w:color w:val="0000EE"/>
              </w:rPr>
            </w:pPr>
            <w:hyperlink r:id="rId52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hyperlink>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80" w:type="dxa"/>
            <w:vAlign w:val="bottom"/>
            <w:gridSpan w:val="2"/>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Amended and Restated Registration Rights Agreement, dated as of June 16, 2021, by and among the</w:t>
            </w:r>
          </w:p>
        </w:tc>
      </w:tr>
      <w:tr>
        <w:trPr>
          <w:trHeight w:val="218"/>
        </w:trPr>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Company, Silver Spike Sponsor and the other parties thereto (incorporated by reference to Exhibit 10.5</w:t>
            </w:r>
          </w:p>
        </w:tc>
      </w:tr>
      <w:tr>
        <w:trPr>
          <w:trHeight w:val="241"/>
        </w:trPr>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 the Current Report on Form 8-K filed on June 21, 2021).</w:t>
            </w:r>
          </w:p>
        </w:tc>
      </w:tr>
      <w:tr>
        <w:trPr>
          <w:trHeight w:val="203"/>
        </w:trPr>
        <w:tc>
          <w:tcPr>
            <w:tcW w:w="660" w:type="dxa"/>
            <w:vAlign w:val="bottom"/>
            <w:gridSpan w:val="8"/>
          </w:tcPr>
          <w:p>
            <w:pPr>
              <w:jc w:val="center"/>
              <w:spacing w:after="0" w:line="202" w:lineRule="exact"/>
              <w:rPr>
                <w:rFonts w:ascii="Times New Roman" w:cs="Times New Roman" w:eastAsia="Times New Roman" w:hAnsi="Times New Roman"/>
                <w:sz w:val="18"/>
                <w:szCs w:val="18"/>
                <w:color w:val="0000EE"/>
                <w:w w:val="98"/>
              </w:rPr>
            </w:pPr>
            <w:hyperlink r:id="rId529">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6#</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8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color w:val="auto"/>
              </w:rPr>
              <w:t>Form of Indemnification Agreement by and between the Company and its directors and officers</w:t>
            </w:r>
          </w:p>
        </w:tc>
      </w:tr>
      <w:tr>
        <w:trPr>
          <w:trHeight w:val="237"/>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(incorporated by reference to Exhibit 10.6 to the Current Report on Form 8-K filed on June 21, 2021).</w:t>
            </w:r>
          </w:p>
        </w:tc>
      </w:tr>
      <w:tr>
        <w:trPr>
          <w:trHeight w:val="27"/>
        </w:trPr>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580" w:type="dxa"/>
            <w:vAlign w:val="bottom"/>
          </w:tcPr>
          <w:p>
            <w:pPr>
              <w:spacing w:after="0"/>
              <w:rPr>
                <w:sz w:val="2"/>
                <w:szCs w:val="2"/>
                <w:color w:val="auto"/>
              </w:rPr>
            </w:pPr>
          </w:p>
        </w:tc>
      </w:tr>
      <w:tr>
        <w:trPr>
          <w:trHeight w:val="203"/>
        </w:trPr>
        <w:tc>
          <w:tcPr>
            <w:tcW w:w="660" w:type="dxa"/>
            <w:vAlign w:val="bottom"/>
            <w:gridSpan w:val="8"/>
            <w:shd w:val="clear" w:color="auto" w:fill="CCEEFF"/>
          </w:tcPr>
          <w:p>
            <w:pPr>
              <w:jc w:val="center"/>
              <w:spacing w:after="0" w:line="202" w:lineRule="exact"/>
              <w:rPr>
                <w:rFonts w:ascii="Times New Roman" w:cs="Times New Roman" w:eastAsia="Times New Roman" w:hAnsi="Times New Roman"/>
                <w:sz w:val="18"/>
                <w:szCs w:val="18"/>
                <w:color w:val="0000EE"/>
                <w:w w:val="98"/>
              </w:rPr>
            </w:pPr>
            <w:hyperlink r:id="rId530">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7#</w:t>
              </w:r>
            </w:hyperlink>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80" w:type="dxa"/>
            <w:vAlign w:val="bottom"/>
            <w:gridSpan w:val="2"/>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WM Technology, Inc. 2021 Equity Incentive Plan (incorporated by reference to Exhibit 10.7 to the</w:t>
            </w:r>
          </w:p>
        </w:tc>
      </w:tr>
      <w:tr>
        <w:trPr>
          <w:trHeight w:val="243"/>
        </w:trPr>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0000EE"/>
              <w:bottom w:val="single" w:sz="8" w:color="CCEEFF"/>
            </w:tcBorders>
            <w:shd w:val="clear" w:color="auto" w:fill="CCEEFF"/>
          </w:tcPr>
          <w:p>
            <w:pPr>
              <w:spacing w:after="0"/>
              <w:rPr>
                <w:sz w:val="21"/>
                <w:szCs w:val="21"/>
                <w:color w:val="auto"/>
              </w:rPr>
            </w:pPr>
          </w:p>
        </w:tc>
        <w:tc>
          <w:tcPr>
            <w:tcW w:w="60" w:type="dxa"/>
            <w:vAlign w:val="bottom"/>
            <w:tcBorders>
              <w:top w:val="single" w:sz="8" w:color="0000EE"/>
              <w:bottom w:val="single" w:sz="8" w:color="CCEEFF"/>
            </w:tcBorders>
            <w:shd w:val="clear" w:color="auto" w:fill="CCEEFF"/>
          </w:tcPr>
          <w:p>
            <w:pPr>
              <w:spacing w:after="0"/>
              <w:rPr>
                <w:sz w:val="21"/>
                <w:szCs w:val="21"/>
                <w:color w:val="auto"/>
              </w:rPr>
            </w:pPr>
          </w:p>
        </w:tc>
        <w:tc>
          <w:tcPr>
            <w:tcW w:w="220" w:type="dxa"/>
            <w:vAlign w:val="bottom"/>
            <w:tcBorders>
              <w:top w:val="single" w:sz="8" w:color="0000EE"/>
              <w:bottom w:val="single" w:sz="8" w:color="CCEEFF"/>
            </w:tcBorders>
            <w:shd w:val="clear" w:color="auto" w:fill="CCEEFF"/>
          </w:tcPr>
          <w:p>
            <w:pPr>
              <w:spacing w:after="0"/>
              <w:rPr>
                <w:sz w:val="21"/>
                <w:szCs w:val="21"/>
                <w:color w:val="auto"/>
              </w:rPr>
            </w:pPr>
          </w:p>
        </w:tc>
        <w:tc>
          <w:tcPr>
            <w:tcW w:w="40" w:type="dxa"/>
            <w:vAlign w:val="bottom"/>
            <w:tcBorders>
              <w:top w:val="single" w:sz="8" w:color="0000EE"/>
              <w:bottom w:val="single" w:sz="8" w:color="CCEEFF"/>
            </w:tcBorders>
            <w:shd w:val="clear" w:color="auto" w:fill="CCEEFF"/>
          </w:tcPr>
          <w:p>
            <w:pPr>
              <w:spacing w:after="0"/>
              <w:rPr>
                <w:sz w:val="21"/>
                <w:szCs w:val="21"/>
                <w:color w:val="auto"/>
              </w:rPr>
            </w:pPr>
          </w:p>
        </w:tc>
        <w:tc>
          <w:tcPr>
            <w:tcW w:w="40" w:type="dxa"/>
            <w:vAlign w:val="bottom"/>
            <w:tcBorders>
              <w:top w:val="single" w:sz="8" w:color="0000EE"/>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76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Report on Form 8-K filed on June 21, 2021).</w:t>
            </w:r>
          </w:p>
        </w:tc>
      </w:tr>
      <w:tr>
        <w:trPr>
          <w:trHeight w:val="203"/>
        </w:trPr>
        <w:tc>
          <w:tcPr>
            <w:tcW w:w="60" w:type="dxa"/>
            <w:vAlign w:val="bottom"/>
          </w:tcPr>
          <w:p>
            <w:pPr>
              <w:spacing w:after="0"/>
              <w:rPr>
                <w:sz w:val="17"/>
                <w:szCs w:val="17"/>
                <w:color w:val="auto"/>
              </w:rPr>
            </w:pPr>
          </w:p>
        </w:tc>
        <w:tc>
          <w:tcPr>
            <w:tcW w:w="680" w:type="dxa"/>
            <w:vAlign w:val="bottom"/>
            <w:gridSpan w:val="9"/>
          </w:tcPr>
          <w:p>
            <w:pPr>
              <w:jc w:val="center"/>
              <w:ind w:right="80"/>
              <w:spacing w:after="0" w:line="202" w:lineRule="exact"/>
              <w:rPr>
                <w:rFonts w:ascii="Times New Roman" w:cs="Times New Roman" w:eastAsia="Times New Roman" w:hAnsi="Times New Roman"/>
                <w:sz w:val="18"/>
                <w:szCs w:val="18"/>
                <w:color w:val="0000EE"/>
                <w:w w:val="99"/>
              </w:rPr>
            </w:pPr>
            <w:hyperlink r:id="rId531">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7(a)#</w:t>
              </w:r>
            </w:hyperlink>
          </w:p>
        </w:tc>
        <w:tc>
          <w:tcPr>
            <w:tcW w:w="768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color w:val="auto"/>
              </w:rPr>
              <w:t>Form of Stock Option Grant Notice (incorporated by reference to Exhibit 10.7(a) to the Current Report</w:t>
            </w:r>
          </w:p>
        </w:tc>
      </w:tr>
      <w:tr>
        <w:trPr>
          <w:trHeight w:val="237"/>
        </w:trPr>
        <w:tc>
          <w:tcPr>
            <w:tcW w:w="60" w:type="dxa"/>
            <w:vAlign w:val="bottom"/>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on Form 8-K filed on June 21, 2021).</w:t>
            </w:r>
          </w:p>
        </w:tc>
      </w:tr>
      <w:tr>
        <w:trPr>
          <w:trHeight w:val="27"/>
        </w:trPr>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580" w:type="dxa"/>
            <w:vAlign w:val="bottom"/>
          </w:tcPr>
          <w:p>
            <w:pPr>
              <w:spacing w:after="0"/>
              <w:rPr>
                <w:sz w:val="2"/>
                <w:szCs w:val="2"/>
                <w:color w:val="auto"/>
              </w:rPr>
            </w:pPr>
          </w:p>
        </w:tc>
      </w:tr>
      <w:tr>
        <w:trPr>
          <w:trHeight w:val="203"/>
        </w:trPr>
        <w:tc>
          <w:tcPr>
            <w:tcW w:w="60" w:type="dxa"/>
            <w:vAlign w:val="bottom"/>
            <w:shd w:val="clear" w:color="auto" w:fill="CCEEFF"/>
          </w:tcPr>
          <w:p>
            <w:pPr>
              <w:spacing w:after="0"/>
              <w:rPr>
                <w:sz w:val="17"/>
                <w:szCs w:val="17"/>
                <w:color w:val="auto"/>
              </w:rPr>
            </w:pPr>
          </w:p>
        </w:tc>
        <w:tc>
          <w:tcPr>
            <w:tcW w:w="680" w:type="dxa"/>
            <w:vAlign w:val="bottom"/>
            <w:gridSpan w:val="9"/>
            <w:shd w:val="clear" w:color="auto" w:fill="CCEEFF"/>
          </w:tcPr>
          <w:p>
            <w:pPr>
              <w:jc w:val="center"/>
              <w:ind w:right="60"/>
              <w:spacing w:after="0" w:line="202" w:lineRule="exact"/>
              <w:rPr>
                <w:rFonts w:ascii="Times New Roman" w:cs="Times New Roman" w:eastAsia="Times New Roman" w:hAnsi="Times New Roman"/>
                <w:sz w:val="18"/>
                <w:szCs w:val="18"/>
                <w:color w:val="0000EE"/>
              </w:rPr>
            </w:pPr>
            <w:hyperlink r:id="rId53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7(b)#</w:t>
              </w:r>
            </w:hyperlink>
          </w:p>
        </w:tc>
        <w:tc>
          <w:tcPr>
            <w:tcW w:w="7680" w:type="dxa"/>
            <w:vAlign w:val="bottom"/>
            <w:gridSpan w:val="2"/>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w w:val="99"/>
              </w:rPr>
              <w:t>Form of RSU Award Grant Notice (incorporated by reference to Exhibit 10.7(b) to the Current Report on</w:t>
            </w:r>
          </w:p>
        </w:tc>
      </w:tr>
      <w:tr>
        <w:trPr>
          <w:trHeight w:val="243"/>
        </w:trPr>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0000EE"/>
              <w:bottom w:val="single" w:sz="8" w:color="CCEEFF"/>
            </w:tcBorders>
            <w:shd w:val="clear" w:color="auto" w:fill="CCEEFF"/>
          </w:tcPr>
          <w:p>
            <w:pPr>
              <w:spacing w:after="0"/>
              <w:rPr>
                <w:sz w:val="21"/>
                <w:szCs w:val="21"/>
                <w:color w:val="auto"/>
              </w:rPr>
            </w:pPr>
          </w:p>
        </w:tc>
        <w:tc>
          <w:tcPr>
            <w:tcW w:w="40" w:type="dxa"/>
            <w:vAlign w:val="bottom"/>
            <w:tcBorders>
              <w:top w:val="single" w:sz="8" w:color="0000EE"/>
              <w:bottom w:val="single" w:sz="8" w:color="CCEEFF"/>
            </w:tcBorders>
            <w:shd w:val="clear" w:color="auto" w:fill="CCEEFF"/>
          </w:tcPr>
          <w:p>
            <w:pPr>
              <w:spacing w:after="0"/>
              <w:rPr>
                <w:sz w:val="21"/>
                <w:szCs w:val="21"/>
                <w:color w:val="auto"/>
              </w:rPr>
            </w:pPr>
          </w:p>
        </w:tc>
        <w:tc>
          <w:tcPr>
            <w:tcW w:w="60" w:type="dxa"/>
            <w:vAlign w:val="bottom"/>
            <w:tcBorders>
              <w:top w:val="single" w:sz="8" w:color="0000EE"/>
              <w:bottom w:val="single" w:sz="8" w:color="CCEEFF"/>
            </w:tcBorders>
            <w:shd w:val="clear" w:color="auto" w:fill="CCEEFF"/>
          </w:tcPr>
          <w:p>
            <w:pPr>
              <w:spacing w:after="0"/>
              <w:rPr>
                <w:sz w:val="21"/>
                <w:szCs w:val="21"/>
                <w:color w:val="auto"/>
              </w:rPr>
            </w:pPr>
          </w:p>
        </w:tc>
        <w:tc>
          <w:tcPr>
            <w:tcW w:w="220" w:type="dxa"/>
            <w:vAlign w:val="bottom"/>
            <w:tcBorders>
              <w:top w:val="single" w:sz="8" w:color="0000EE"/>
              <w:bottom w:val="single" w:sz="8" w:color="CCEEFF"/>
            </w:tcBorders>
            <w:shd w:val="clear" w:color="auto" w:fill="CCEEFF"/>
          </w:tcPr>
          <w:p>
            <w:pPr>
              <w:spacing w:after="0"/>
              <w:rPr>
                <w:sz w:val="21"/>
                <w:szCs w:val="21"/>
                <w:color w:val="auto"/>
              </w:rPr>
            </w:pPr>
          </w:p>
        </w:tc>
        <w:tc>
          <w:tcPr>
            <w:tcW w:w="40" w:type="dxa"/>
            <w:vAlign w:val="bottom"/>
            <w:tcBorders>
              <w:top w:val="single" w:sz="8" w:color="0000EE"/>
              <w:bottom w:val="single" w:sz="8" w:color="CCEEFF"/>
            </w:tcBorders>
            <w:shd w:val="clear" w:color="auto" w:fill="CCEEFF"/>
          </w:tcPr>
          <w:p>
            <w:pPr>
              <w:spacing w:after="0"/>
              <w:rPr>
                <w:sz w:val="21"/>
                <w:szCs w:val="21"/>
                <w:color w:val="auto"/>
              </w:rPr>
            </w:pPr>
          </w:p>
        </w:tc>
        <w:tc>
          <w:tcPr>
            <w:tcW w:w="40" w:type="dxa"/>
            <w:vAlign w:val="bottom"/>
            <w:tcBorders>
              <w:top w:val="single" w:sz="8" w:color="0000EE"/>
              <w:bottom w:val="single" w:sz="8" w:color="CCEEFF"/>
            </w:tcBorders>
            <w:shd w:val="clear" w:color="auto" w:fill="CCEEFF"/>
          </w:tcPr>
          <w:p>
            <w:pPr>
              <w:spacing w:after="0"/>
              <w:rPr>
                <w:sz w:val="21"/>
                <w:szCs w:val="21"/>
                <w:color w:val="auto"/>
              </w:rPr>
            </w:pPr>
          </w:p>
        </w:tc>
        <w:tc>
          <w:tcPr>
            <w:tcW w:w="100" w:type="dxa"/>
            <w:vAlign w:val="bottom"/>
            <w:tcBorders>
              <w:top w:val="single" w:sz="8" w:color="0000EE"/>
              <w:bottom w:val="single" w:sz="8" w:color="CCEEFF"/>
            </w:tcBorders>
            <w:shd w:val="clear" w:color="auto" w:fill="CCEEFF"/>
          </w:tcPr>
          <w:p>
            <w:pPr>
              <w:spacing w:after="0"/>
              <w:rPr>
                <w:sz w:val="21"/>
                <w:szCs w:val="21"/>
                <w:color w:val="auto"/>
              </w:rPr>
            </w:pPr>
          </w:p>
        </w:tc>
        <w:tc>
          <w:tcPr>
            <w:tcW w:w="20" w:type="dxa"/>
            <w:vAlign w:val="bottom"/>
            <w:tcBorders>
              <w:top w:val="single" w:sz="8" w:color="0000EE"/>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76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Form 8-K filed on June 21, 2021).</w:t>
            </w:r>
          </w:p>
        </w:tc>
      </w:tr>
      <w:tr>
        <w:trPr>
          <w:trHeight w:val="203"/>
        </w:trPr>
        <w:tc>
          <w:tcPr>
            <w:tcW w:w="660" w:type="dxa"/>
            <w:vAlign w:val="bottom"/>
            <w:gridSpan w:val="8"/>
          </w:tcPr>
          <w:p>
            <w:pPr>
              <w:jc w:val="center"/>
              <w:spacing w:after="0" w:line="202" w:lineRule="exact"/>
              <w:rPr>
                <w:rFonts w:ascii="Times New Roman" w:cs="Times New Roman" w:eastAsia="Times New Roman" w:hAnsi="Times New Roman"/>
                <w:sz w:val="18"/>
                <w:szCs w:val="18"/>
                <w:color w:val="0000EE"/>
                <w:w w:val="98"/>
              </w:rPr>
            </w:pPr>
            <w:hyperlink r:id="rId533">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8#</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8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color w:val="auto"/>
              </w:rPr>
              <w:t>WM Technology, Inc. 2021 Employee Stock Purchase Plan (incorporated by reference to Exhibit 10.8 to</w:t>
            </w:r>
          </w:p>
        </w:tc>
      </w:tr>
      <w:tr>
        <w:trPr>
          <w:trHeight w:val="237"/>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Current Report on Form 8-K filed on June 21, 2021).</w:t>
            </w:r>
          </w:p>
        </w:tc>
      </w:tr>
      <w:tr>
        <w:trPr>
          <w:trHeight w:val="27"/>
        </w:trPr>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580" w:type="dxa"/>
            <w:vAlign w:val="bottom"/>
          </w:tcPr>
          <w:p>
            <w:pPr>
              <w:spacing w:after="0"/>
              <w:rPr>
                <w:sz w:val="2"/>
                <w:szCs w:val="2"/>
                <w:color w:val="auto"/>
              </w:rPr>
            </w:pPr>
          </w:p>
        </w:tc>
      </w:tr>
      <w:tr>
        <w:trPr>
          <w:trHeight w:val="203"/>
        </w:trPr>
        <w:tc>
          <w:tcPr>
            <w:tcW w:w="520" w:type="dxa"/>
            <w:vAlign w:val="bottom"/>
            <w:gridSpan w:val="6"/>
            <w:shd w:val="clear" w:color="auto" w:fill="CCEEFF"/>
          </w:tcPr>
          <w:p>
            <w:pPr>
              <w:jc w:val="center"/>
              <w:ind w:left="111"/>
              <w:spacing w:after="0" w:line="202" w:lineRule="exact"/>
              <w:rPr>
                <w:rFonts w:ascii="Times New Roman" w:cs="Times New Roman" w:eastAsia="Times New Roman" w:hAnsi="Times New Roman"/>
                <w:sz w:val="18"/>
                <w:szCs w:val="18"/>
                <w:color w:val="0000EE"/>
              </w:rPr>
            </w:pPr>
            <w:hyperlink r:id="rId53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9</w:t>
              </w:r>
            </w:hyperlink>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80" w:type="dxa"/>
            <w:vAlign w:val="bottom"/>
            <w:gridSpan w:val="2"/>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Lease by and between the Irvine Company LLC and Ghost Media Group, LLC, dated November 11,</w:t>
            </w:r>
          </w:p>
        </w:tc>
      </w:tr>
      <w:tr>
        <w:trPr>
          <w:trHeight w:val="218"/>
        </w:trPr>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2013, as amended (incorporated by reference to Exhibit 10.12 to the Current Report on Form 8-K filed</w:t>
            </w:r>
          </w:p>
        </w:tc>
      </w:tr>
      <w:tr>
        <w:trPr>
          <w:trHeight w:val="241"/>
        </w:trPr>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on June 21, 2021).</w:t>
            </w:r>
          </w:p>
        </w:tc>
      </w:tr>
      <w:tr>
        <w:trPr>
          <w:trHeight w:val="203"/>
        </w:trPr>
        <w:tc>
          <w:tcPr>
            <w:tcW w:w="660" w:type="dxa"/>
            <w:vAlign w:val="bottom"/>
            <w:gridSpan w:val="8"/>
          </w:tcPr>
          <w:p>
            <w:pPr>
              <w:jc w:val="center"/>
              <w:spacing w:after="0" w:line="202" w:lineRule="exact"/>
              <w:rPr>
                <w:rFonts w:ascii="Times New Roman" w:cs="Times New Roman" w:eastAsia="Times New Roman" w:hAnsi="Times New Roman"/>
                <w:sz w:val="18"/>
                <w:szCs w:val="18"/>
                <w:color w:val="0000EE"/>
                <w:w w:val="98"/>
              </w:rPr>
            </w:pPr>
            <w:hyperlink r:id="rId535">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10</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8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color w:val="auto"/>
              </w:rPr>
              <w:t>First Amendment to Lease and Consent to Assignment by and between Discovery Business Center LLC,</w:t>
            </w:r>
          </w:p>
        </w:tc>
      </w:tr>
      <w:tr>
        <w:trPr>
          <w:trHeight w:val="218"/>
        </w:trPr>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as successor-in-interest to the Irvine Company LLC, and Ghost Management Group, LLC, as successor-</w:t>
            </w:r>
          </w:p>
        </w:tc>
      </w:tr>
      <w:tr>
        <w:trPr>
          <w:trHeight w:val="216"/>
        </w:trPr>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in-interest to Ghost Media Group, LLC, dated January 27, 2016 (incorporated by reference to</w:t>
            </w:r>
          </w:p>
        </w:tc>
      </w:tr>
      <w:tr>
        <w:trPr>
          <w:trHeight w:val="234"/>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Exhibit 10.13 to the Current Report on Form 8-K filed on June 21, 2021).</w:t>
            </w:r>
          </w:p>
        </w:tc>
      </w:tr>
      <w:tr>
        <w:trPr>
          <w:trHeight w:val="27"/>
        </w:trPr>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580" w:type="dxa"/>
            <w:vAlign w:val="bottom"/>
          </w:tcPr>
          <w:p>
            <w:pPr>
              <w:spacing w:after="0"/>
              <w:rPr>
                <w:sz w:val="2"/>
                <w:szCs w:val="2"/>
                <w:color w:val="auto"/>
              </w:rPr>
            </w:pPr>
          </w:p>
        </w:tc>
      </w:tr>
      <w:tr>
        <w:trPr>
          <w:trHeight w:val="203"/>
        </w:trPr>
        <w:tc>
          <w:tcPr>
            <w:tcW w:w="560" w:type="dxa"/>
            <w:vAlign w:val="bottom"/>
            <w:gridSpan w:val="7"/>
            <w:shd w:val="clear" w:color="auto" w:fill="CCEEFF"/>
          </w:tcPr>
          <w:p>
            <w:pPr>
              <w:jc w:val="center"/>
              <w:ind w:left="71"/>
              <w:spacing w:after="0" w:line="202" w:lineRule="exact"/>
              <w:rPr>
                <w:rFonts w:ascii="Times New Roman" w:cs="Times New Roman" w:eastAsia="Times New Roman" w:hAnsi="Times New Roman"/>
                <w:sz w:val="18"/>
                <w:szCs w:val="18"/>
                <w:color w:val="0000EE"/>
                <w:w w:val="98"/>
              </w:rPr>
            </w:pPr>
            <w:hyperlink r:id="rId536">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11</w:t>
              </w:r>
            </w:hyperlink>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80" w:type="dxa"/>
            <w:vAlign w:val="bottom"/>
            <w:gridSpan w:val="2"/>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Second Amendment to Lease, by and between Discovery Business Center LLC and Ghost Management</w:t>
            </w:r>
          </w:p>
        </w:tc>
      </w:tr>
      <w:tr>
        <w:trPr>
          <w:trHeight w:val="218"/>
        </w:trPr>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Group, LLC, dated April 7, 2017 (incorporated by reference to Exhibit 10.14 to the Current Report on</w:t>
            </w:r>
          </w:p>
        </w:tc>
      </w:tr>
      <w:tr>
        <w:trPr>
          <w:trHeight w:val="241"/>
        </w:trPr>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Form 8-K filed on June 21, 2021).</w:t>
            </w:r>
          </w:p>
        </w:tc>
      </w:tr>
      <w:tr>
        <w:trPr>
          <w:trHeight w:val="203"/>
        </w:trPr>
        <w:tc>
          <w:tcPr>
            <w:tcW w:w="660" w:type="dxa"/>
            <w:vAlign w:val="bottom"/>
            <w:gridSpan w:val="8"/>
          </w:tcPr>
          <w:p>
            <w:pPr>
              <w:jc w:val="center"/>
              <w:spacing w:after="0" w:line="202" w:lineRule="exact"/>
              <w:rPr>
                <w:rFonts w:ascii="Times New Roman" w:cs="Times New Roman" w:eastAsia="Times New Roman" w:hAnsi="Times New Roman"/>
                <w:sz w:val="18"/>
                <w:szCs w:val="18"/>
                <w:color w:val="0000EE"/>
                <w:w w:val="98"/>
              </w:rPr>
            </w:pPr>
            <w:hyperlink r:id="rId537">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12</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8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color w:val="auto"/>
              </w:rPr>
              <w:t>Third Amendment to Lease, by and between Discovery Business Center LLC and Ghost Management</w:t>
            </w:r>
          </w:p>
        </w:tc>
      </w:tr>
      <w:tr>
        <w:trPr>
          <w:trHeight w:val="218"/>
        </w:trPr>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Group, LLC, dated December 29, 2017 (incorporated by reference to Exhibit 10.15 to the Current Report</w:t>
            </w:r>
          </w:p>
        </w:tc>
      </w:tr>
      <w:tr>
        <w:trPr>
          <w:trHeight w:val="234"/>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on Form 8-K filed on June 21,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-8031480</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1" w:name="page212"/>
    <w:bookmarkEnd w:id="2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4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Pr>
          <w:p>
            <w:pPr>
              <w:spacing w:after="0"/>
              <w:rPr>
                <w:sz w:val="16"/>
                <w:szCs w:val="16"/>
                <w:color w:val="auto"/>
              </w:rPr>
            </w:pPr>
          </w:p>
        </w:tc>
        <w:tc>
          <w:tcPr>
            <w:tcW w:w="7580" w:type="dxa"/>
            <w:vAlign w:val="bottom"/>
          </w:tcPr>
          <w:p>
            <w:pPr>
              <w:ind w:left="34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580" w:type="dxa"/>
            <w:vAlign w:val="bottom"/>
            <w:tcBorders>
              <w:bottom w:val="single" w:sz="8" w:color="auto"/>
            </w:tcBorders>
          </w:tcPr>
          <w:p>
            <w:pPr>
              <w:spacing w:after="0"/>
              <w:rPr>
                <w:sz w:val="3"/>
                <w:szCs w:val="3"/>
                <w:color w:val="auto"/>
              </w:rPr>
            </w:pPr>
          </w:p>
        </w:tc>
      </w:tr>
      <w:tr>
        <w:trPr>
          <w:trHeight w:val="223"/>
        </w:trPr>
        <w:tc>
          <w:tcPr>
            <w:tcW w:w="620" w:type="dxa"/>
            <w:vAlign w:val="bottom"/>
            <w:gridSpan w:val="6"/>
            <w:shd w:val="clear" w:color="auto" w:fill="CCEEFF"/>
          </w:tcPr>
          <w:p>
            <w:pPr>
              <w:jc w:val="center"/>
              <w:ind w:left="11"/>
              <w:spacing w:after="0"/>
              <w:rPr>
                <w:rFonts w:ascii="Times New Roman" w:cs="Times New Roman" w:eastAsia="Times New Roman" w:hAnsi="Times New Roman"/>
                <w:sz w:val="18"/>
                <w:szCs w:val="18"/>
                <w:color w:val="0000EE"/>
                <w:w w:val="98"/>
              </w:rPr>
            </w:pPr>
            <w:hyperlink r:id="rId540">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13</w:t>
              </w:r>
            </w:hyperlink>
          </w:p>
        </w:tc>
        <w:tc>
          <w:tcPr>
            <w:tcW w:w="120" w:type="dxa"/>
            <w:vAlign w:val="bottom"/>
            <w:shd w:val="clear" w:color="auto" w:fill="CCEEFF"/>
          </w:tcPr>
          <w:p>
            <w:pPr>
              <w:spacing w:after="0"/>
              <w:rPr>
                <w:sz w:val="19"/>
                <w:szCs w:val="19"/>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Fourth Amendment to Lease, by and between Discovery Business Center LLC and Ghost Management</w:t>
            </w:r>
          </w:p>
        </w:tc>
      </w:tr>
      <w:tr>
        <w:trPr>
          <w:trHeight w:val="218"/>
        </w:trPr>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3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Group, LLC, dated May 3, 2018 (incorporated by reference to Exhibit 10.16 to the Current Report on</w:t>
            </w:r>
          </w:p>
        </w:tc>
      </w:tr>
      <w:tr>
        <w:trPr>
          <w:trHeight w:val="241"/>
        </w:trPr>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Form 8-K filed on June 21, 2021).</w:t>
            </w:r>
          </w:p>
        </w:tc>
      </w:tr>
      <w:tr>
        <w:trPr>
          <w:trHeight w:val="203"/>
        </w:trPr>
        <w:tc>
          <w:tcPr>
            <w:tcW w:w="620" w:type="dxa"/>
            <w:vAlign w:val="bottom"/>
            <w:gridSpan w:val="6"/>
          </w:tcPr>
          <w:p>
            <w:pPr>
              <w:jc w:val="center"/>
              <w:ind w:left="11"/>
              <w:spacing w:after="0" w:line="202" w:lineRule="exact"/>
              <w:rPr>
                <w:rFonts w:ascii="Times New Roman" w:cs="Times New Roman" w:eastAsia="Times New Roman" w:hAnsi="Times New Roman"/>
                <w:sz w:val="18"/>
                <w:szCs w:val="18"/>
                <w:color w:val="0000EE"/>
                <w:w w:val="98"/>
              </w:rPr>
            </w:pPr>
            <w:hyperlink r:id="rId541">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14</w:t>
              </w:r>
            </w:hyperlink>
          </w:p>
        </w:tc>
        <w:tc>
          <w:tcPr>
            <w:tcW w:w="120" w:type="dxa"/>
            <w:vAlign w:val="bottom"/>
          </w:tcPr>
          <w:p>
            <w:pPr>
              <w:spacing w:after="0"/>
              <w:rPr>
                <w:sz w:val="17"/>
                <w:szCs w:val="17"/>
                <w:color w:val="auto"/>
              </w:rPr>
            </w:pPr>
          </w:p>
        </w:tc>
        <w:tc>
          <w:tcPr>
            <w:tcW w:w="768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color w:val="auto"/>
              </w:rPr>
              <w:t>WM Technology, Inc. Non-Employee Director Compensation Policy (incorporated by reference to</w:t>
            </w:r>
          </w:p>
        </w:tc>
      </w:tr>
      <w:tr>
        <w:trPr>
          <w:trHeight w:val="237"/>
        </w:trPr>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Exhibit 10.1 to the Quarterly Report on Form 10-Q filed on November 12, 2021).</w:t>
            </w:r>
          </w:p>
        </w:tc>
      </w:tr>
      <w:tr>
        <w:trPr>
          <w:trHeight w:val="27"/>
        </w:trPr>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580" w:type="dxa"/>
            <w:vAlign w:val="bottom"/>
          </w:tcPr>
          <w:p>
            <w:pPr>
              <w:spacing w:after="0"/>
              <w:rPr>
                <w:sz w:val="2"/>
                <w:szCs w:val="2"/>
                <w:color w:val="auto"/>
              </w:rPr>
            </w:pPr>
          </w:p>
        </w:tc>
      </w:tr>
      <w:tr>
        <w:trPr>
          <w:trHeight w:val="203"/>
        </w:trPr>
        <w:tc>
          <w:tcPr>
            <w:tcW w:w="740" w:type="dxa"/>
            <w:vAlign w:val="bottom"/>
            <w:gridSpan w:val="7"/>
            <w:shd w:val="clear" w:color="auto" w:fill="CCEEFF"/>
          </w:tcPr>
          <w:p>
            <w:pPr>
              <w:jc w:val="center"/>
              <w:spacing w:after="0" w:line="202" w:lineRule="exact"/>
              <w:rPr>
                <w:rFonts w:ascii="Times New Roman" w:cs="Times New Roman" w:eastAsia="Times New Roman" w:hAnsi="Times New Roman"/>
                <w:sz w:val="18"/>
                <w:szCs w:val="18"/>
                <w:color w:val="0000EE"/>
              </w:rPr>
            </w:pPr>
            <w:hyperlink r:id="rId54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15#</w:t>
              </w:r>
            </w:hyperlink>
          </w:p>
        </w:tc>
        <w:tc>
          <w:tcPr>
            <w:tcW w:w="7680" w:type="dxa"/>
            <w:vAlign w:val="bottom"/>
            <w:gridSpan w:val="2"/>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Amended and Restated WM Technology, Inc. Non-Employee Director Compensation Policy</w:t>
            </w:r>
          </w:p>
        </w:tc>
      </w:tr>
      <w:tr>
        <w:trPr>
          <w:trHeight w:val="243"/>
        </w:trPr>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0000EE"/>
              <w:bottom w:val="single" w:sz="8" w:color="CCEEFF"/>
            </w:tcBorders>
            <w:shd w:val="clear" w:color="auto" w:fill="CCEEFF"/>
          </w:tcPr>
          <w:p>
            <w:pPr>
              <w:spacing w:after="0"/>
              <w:rPr>
                <w:sz w:val="21"/>
                <w:szCs w:val="21"/>
                <w:color w:val="auto"/>
              </w:rPr>
            </w:pPr>
          </w:p>
        </w:tc>
        <w:tc>
          <w:tcPr>
            <w:tcW w:w="40" w:type="dxa"/>
            <w:vAlign w:val="bottom"/>
            <w:tcBorders>
              <w:top w:val="single" w:sz="8" w:color="0000EE"/>
              <w:bottom w:val="single" w:sz="8" w:color="CCEEFF"/>
            </w:tcBorders>
            <w:shd w:val="clear" w:color="auto" w:fill="CCEEFF"/>
          </w:tcPr>
          <w:p>
            <w:pPr>
              <w:spacing w:after="0"/>
              <w:rPr>
                <w:sz w:val="21"/>
                <w:szCs w:val="21"/>
                <w:color w:val="auto"/>
              </w:rPr>
            </w:pPr>
          </w:p>
        </w:tc>
        <w:tc>
          <w:tcPr>
            <w:tcW w:w="320" w:type="dxa"/>
            <w:vAlign w:val="bottom"/>
            <w:tcBorders>
              <w:top w:val="single" w:sz="8" w:color="0000EE"/>
              <w:bottom w:val="single" w:sz="8" w:color="CCEEFF"/>
            </w:tcBorders>
            <w:shd w:val="clear" w:color="auto" w:fill="CCEEFF"/>
          </w:tcPr>
          <w:p>
            <w:pPr>
              <w:spacing w:after="0"/>
              <w:rPr>
                <w:sz w:val="21"/>
                <w:szCs w:val="21"/>
                <w:color w:val="auto"/>
              </w:rPr>
            </w:pPr>
          </w:p>
        </w:tc>
        <w:tc>
          <w:tcPr>
            <w:tcW w:w="40" w:type="dxa"/>
            <w:vAlign w:val="bottom"/>
            <w:tcBorders>
              <w:top w:val="single" w:sz="8" w:color="0000EE"/>
              <w:bottom w:val="single" w:sz="8" w:color="CCEEFF"/>
            </w:tcBorders>
            <w:shd w:val="clear" w:color="auto" w:fill="CCEEFF"/>
          </w:tcPr>
          <w:p>
            <w:pPr>
              <w:spacing w:after="0"/>
              <w:rPr>
                <w:sz w:val="21"/>
                <w:szCs w:val="21"/>
                <w:color w:val="auto"/>
              </w:rPr>
            </w:pPr>
          </w:p>
        </w:tc>
        <w:tc>
          <w:tcPr>
            <w:tcW w:w="60" w:type="dxa"/>
            <w:vAlign w:val="bottom"/>
            <w:tcBorders>
              <w:top w:val="single" w:sz="8" w:color="0000EE"/>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6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(incorporated by reference to Exhibit 10.2 to the Current Report on Form 8-K filed on October 6, 2023).</w:t>
            </w:r>
          </w:p>
        </w:tc>
      </w:tr>
      <w:tr>
        <w:trPr>
          <w:trHeight w:val="203"/>
        </w:trPr>
        <w:tc>
          <w:tcPr>
            <w:tcW w:w="740" w:type="dxa"/>
            <w:vAlign w:val="bottom"/>
            <w:gridSpan w:val="7"/>
          </w:tcPr>
          <w:p>
            <w:pPr>
              <w:jc w:val="center"/>
              <w:spacing w:after="0" w:line="202" w:lineRule="exact"/>
              <w:rPr>
                <w:rFonts w:ascii="Times New Roman" w:cs="Times New Roman" w:eastAsia="Times New Roman" w:hAnsi="Times New Roman"/>
                <w:sz w:val="18"/>
                <w:szCs w:val="18"/>
                <w:color w:val="0000EE"/>
              </w:rPr>
            </w:pPr>
            <w:hyperlink r:id="rId54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16#</w:t>
              </w:r>
            </w:hyperlink>
          </w:p>
        </w:tc>
        <w:tc>
          <w:tcPr>
            <w:tcW w:w="768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color w:val="auto"/>
              </w:rPr>
              <w:t>Separation and Release Agreement by and between Ghost Management Group, LLC and Duncan</w:t>
            </w:r>
          </w:p>
        </w:tc>
      </w:tr>
      <w:tr>
        <w:trPr>
          <w:trHeight w:val="218"/>
        </w:trPr>
        <w:tc>
          <w:tcPr>
            <w:tcW w:w="120" w:type="dxa"/>
            <w:vAlign w:val="bottom"/>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Grazier, dated August 2, 2024 (incorporated herein by reference to Exhibit 10.1# to the Quarterly Report</w:t>
            </w:r>
          </w:p>
        </w:tc>
      </w:tr>
      <w:tr>
        <w:trPr>
          <w:trHeight w:val="234"/>
        </w:trPr>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on Form 10-Q filed on November 12, 2024).</w:t>
            </w:r>
          </w:p>
        </w:tc>
      </w:tr>
      <w:tr>
        <w:trPr>
          <w:trHeight w:val="27"/>
        </w:trPr>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580" w:type="dxa"/>
            <w:vAlign w:val="bottom"/>
          </w:tcPr>
          <w:p>
            <w:pPr>
              <w:spacing w:after="0"/>
              <w:rPr>
                <w:sz w:val="2"/>
                <w:szCs w:val="2"/>
                <w:color w:val="auto"/>
              </w:rPr>
            </w:pPr>
          </w:p>
        </w:tc>
      </w:tr>
      <w:tr>
        <w:trPr>
          <w:trHeight w:val="203"/>
        </w:trPr>
        <w:tc>
          <w:tcPr>
            <w:tcW w:w="740" w:type="dxa"/>
            <w:vAlign w:val="bottom"/>
            <w:gridSpan w:val="7"/>
            <w:shd w:val="clear" w:color="auto" w:fill="CCEEFF"/>
          </w:tcPr>
          <w:p>
            <w:pPr>
              <w:jc w:val="center"/>
              <w:spacing w:after="0" w:line="202" w:lineRule="exact"/>
              <w:rPr>
                <w:rFonts w:ascii="Times New Roman" w:cs="Times New Roman" w:eastAsia="Times New Roman" w:hAnsi="Times New Roman"/>
                <w:sz w:val="18"/>
                <w:szCs w:val="18"/>
                <w:color w:val="0000EE"/>
              </w:rPr>
            </w:pPr>
            <w:hyperlink r:id="rId54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17#</w:t>
              </w:r>
            </w:hyperlink>
          </w:p>
        </w:tc>
        <w:tc>
          <w:tcPr>
            <w:tcW w:w="7680" w:type="dxa"/>
            <w:vAlign w:val="bottom"/>
            <w:gridSpan w:val="2"/>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Retention Agreement, effective October 2, 2023, by and between the Company and Duncan Grazier</w:t>
            </w:r>
          </w:p>
        </w:tc>
      </w:tr>
      <w:tr>
        <w:trPr>
          <w:trHeight w:val="244"/>
        </w:trPr>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0000EE"/>
              <w:bottom w:val="single" w:sz="8" w:color="CCEEFF"/>
            </w:tcBorders>
            <w:shd w:val="clear" w:color="auto" w:fill="CCEEFF"/>
          </w:tcPr>
          <w:p>
            <w:pPr>
              <w:spacing w:after="0"/>
              <w:rPr>
                <w:sz w:val="21"/>
                <w:szCs w:val="21"/>
                <w:color w:val="auto"/>
              </w:rPr>
            </w:pPr>
          </w:p>
        </w:tc>
        <w:tc>
          <w:tcPr>
            <w:tcW w:w="40" w:type="dxa"/>
            <w:vAlign w:val="bottom"/>
            <w:tcBorders>
              <w:top w:val="single" w:sz="8" w:color="0000EE"/>
              <w:bottom w:val="single" w:sz="8" w:color="CCEEFF"/>
            </w:tcBorders>
            <w:shd w:val="clear" w:color="auto" w:fill="CCEEFF"/>
          </w:tcPr>
          <w:p>
            <w:pPr>
              <w:spacing w:after="0"/>
              <w:rPr>
                <w:sz w:val="21"/>
                <w:szCs w:val="21"/>
                <w:color w:val="auto"/>
              </w:rPr>
            </w:pPr>
          </w:p>
        </w:tc>
        <w:tc>
          <w:tcPr>
            <w:tcW w:w="320" w:type="dxa"/>
            <w:vAlign w:val="bottom"/>
            <w:tcBorders>
              <w:top w:val="single" w:sz="8" w:color="0000EE"/>
              <w:bottom w:val="single" w:sz="8" w:color="CCEEFF"/>
            </w:tcBorders>
            <w:shd w:val="clear" w:color="auto" w:fill="CCEEFF"/>
          </w:tcPr>
          <w:p>
            <w:pPr>
              <w:spacing w:after="0"/>
              <w:rPr>
                <w:sz w:val="21"/>
                <w:szCs w:val="21"/>
                <w:color w:val="auto"/>
              </w:rPr>
            </w:pPr>
          </w:p>
        </w:tc>
        <w:tc>
          <w:tcPr>
            <w:tcW w:w="40" w:type="dxa"/>
            <w:vAlign w:val="bottom"/>
            <w:tcBorders>
              <w:top w:val="single" w:sz="8" w:color="0000EE"/>
              <w:bottom w:val="single" w:sz="8" w:color="CCEEFF"/>
            </w:tcBorders>
            <w:shd w:val="clear" w:color="auto" w:fill="CCEEFF"/>
          </w:tcPr>
          <w:p>
            <w:pPr>
              <w:spacing w:after="0"/>
              <w:rPr>
                <w:sz w:val="21"/>
                <w:szCs w:val="21"/>
                <w:color w:val="auto"/>
              </w:rPr>
            </w:pPr>
          </w:p>
        </w:tc>
        <w:tc>
          <w:tcPr>
            <w:tcW w:w="60" w:type="dxa"/>
            <w:vAlign w:val="bottom"/>
            <w:tcBorders>
              <w:top w:val="single" w:sz="8" w:color="0000EE"/>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6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(incorporated by reference to Exhibit 10.1 to the Current Report on Form 8-K filed on October 6, 2023).</w:t>
            </w:r>
          </w:p>
        </w:tc>
      </w:tr>
      <w:tr>
        <w:trPr>
          <w:trHeight w:val="203"/>
        </w:trPr>
        <w:tc>
          <w:tcPr>
            <w:tcW w:w="740" w:type="dxa"/>
            <w:vAlign w:val="bottom"/>
            <w:gridSpan w:val="7"/>
          </w:tcPr>
          <w:p>
            <w:pPr>
              <w:jc w:val="center"/>
              <w:spacing w:after="0" w:line="202" w:lineRule="exact"/>
              <w:rPr>
                <w:rFonts w:ascii="Times New Roman" w:cs="Times New Roman" w:eastAsia="Times New Roman" w:hAnsi="Times New Roman"/>
                <w:sz w:val="18"/>
                <w:szCs w:val="18"/>
                <w:color w:val="0000EE"/>
              </w:rPr>
            </w:pPr>
            <w:hyperlink r:id="rId54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18#</w:t>
              </w:r>
            </w:hyperlink>
          </w:p>
        </w:tc>
        <w:tc>
          <w:tcPr>
            <w:tcW w:w="768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color w:val="auto"/>
              </w:rPr>
              <w:t>Employment Agreement, dated November 7, 2024, by and between Ghost Management Group, LLC a</w:t>
            </w:r>
          </w:p>
        </w:tc>
      </w:tr>
      <w:tr>
        <w:trPr>
          <w:trHeight w:val="218"/>
        </w:trPr>
        <w:tc>
          <w:tcPr>
            <w:tcW w:w="120" w:type="dxa"/>
            <w:vAlign w:val="bottom"/>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subsidiary of WM Technology, Inc. and Douglas Francis (incorporated herein by reference to</w:t>
            </w:r>
          </w:p>
        </w:tc>
      </w:tr>
      <w:tr>
        <w:trPr>
          <w:trHeight w:val="234"/>
        </w:trPr>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Exhibit 10.3# to the Quarterly Report on Form 10-Q filed on November 12, 2024).</w:t>
            </w:r>
          </w:p>
        </w:tc>
      </w:tr>
      <w:tr>
        <w:trPr>
          <w:trHeight w:val="27"/>
        </w:trPr>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580" w:type="dxa"/>
            <w:vAlign w:val="bottom"/>
          </w:tcPr>
          <w:p>
            <w:pPr>
              <w:spacing w:after="0"/>
              <w:rPr>
                <w:sz w:val="2"/>
                <w:szCs w:val="2"/>
                <w:color w:val="auto"/>
              </w:rPr>
            </w:pPr>
          </w:p>
        </w:tc>
      </w:tr>
      <w:tr>
        <w:trPr>
          <w:trHeight w:val="203"/>
        </w:trPr>
        <w:tc>
          <w:tcPr>
            <w:tcW w:w="740" w:type="dxa"/>
            <w:vAlign w:val="bottom"/>
            <w:gridSpan w:val="7"/>
            <w:shd w:val="clear" w:color="auto" w:fill="CCEEFF"/>
          </w:tcPr>
          <w:p>
            <w:pPr>
              <w:jc w:val="center"/>
              <w:spacing w:after="0" w:line="202" w:lineRule="exact"/>
              <w:rPr>
                <w:rFonts w:ascii="Times New Roman" w:cs="Times New Roman" w:eastAsia="Times New Roman" w:hAnsi="Times New Roman"/>
                <w:sz w:val="18"/>
                <w:szCs w:val="18"/>
                <w:color w:val="0000EE"/>
              </w:rPr>
            </w:pPr>
            <w:hyperlink r:id="rId54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19#</w:t>
              </w:r>
            </w:hyperlink>
          </w:p>
        </w:tc>
        <w:tc>
          <w:tcPr>
            <w:tcW w:w="7680" w:type="dxa"/>
            <w:vAlign w:val="bottom"/>
            <w:gridSpan w:val="2"/>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Employment Agreement, dated April 4, 2019, by and between the Company and Brian Camire</w:t>
            </w:r>
          </w:p>
        </w:tc>
      </w:tr>
      <w:tr>
        <w:trPr>
          <w:trHeight w:val="243"/>
        </w:trPr>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0000EE"/>
              <w:bottom w:val="single" w:sz="8" w:color="CCEEFF"/>
            </w:tcBorders>
            <w:shd w:val="clear" w:color="auto" w:fill="CCEEFF"/>
          </w:tcPr>
          <w:p>
            <w:pPr>
              <w:spacing w:after="0"/>
              <w:rPr>
                <w:sz w:val="21"/>
                <w:szCs w:val="21"/>
                <w:color w:val="auto"/>
              </w:rPr>
            </w:pPr>
          </w:p>
        </w:tc>
        <w:tc>
          <w:tcPr>
            <w:tcW w:w="40" w:type="dxa"/>
            <w:vAlign w:val="bottom"/>
            <w:tcBorders>
              <w:top w:val="single" w:sz="8" w:color="0000EE"/>
              <w:bottom w:val="single" w:sz="8" w:color="CCEEFF"/>
            </w:tcBorders>
            <w:shd w:val="clear" w:color="auto" w:fill="CCEEFF"/>
          </w:tcPr>
          <w:p>
            <w:pPr>
              <w:spacing w:after="0"/>
              <w:rPr>
                <w:sz w:val="21"/>
                <w:szCs w:val="21"/>
                <w:color w:val="auto"/>
              </w:rPr>
            </w:pPr>
          </w:p>
        </w:tc>
        <w:tc>
          <w:tcPr>
            <w:tcW w:w="320" w:type="dxa"/>
            <w:vAlign w:val="bottom"/>
            <w:tcBorders>
              <w:top w:val="single" w:sz="8" w:color="0000EE"/>
              <w:bottom w:val="single" w:sz="8" w:color="CCEEFF"/>
            </w:tcBorders>
            <w:shd w:val="clear" w:color="auto" w:fill="CCEEFF"/>
          </w:tcPr>
          <w:p>
            <w:pPr>
              <w:spacing w:after="0"/>
              <w:rPr>
                <w:sz w:val="21"/>
                <w:szCs w:val="21"/>
                <w:color w:val="auto"/>
              </w:rPr>
            </w:pPr>
          </w:p>
        </w:tc>
        <w:tc>
          <w:tcPr>
            <w:tcW w:w="40" w:type="dxa"/>
            <w:vAlign w:val="bottom"/>
            <w:tcBorders>
              <w:top w:val="single" w:sz="8" w:color="0000EE"/>
              <w:bottom w:val="single" w:sz="8" w:color="CCEEFF"/>
            </w:tcBorders>
            <w:shd w:val="clear" w:color="auto" w:fill="CCEEFF"/>
          </w:tcPr>
          <w:p>
            <w:pPr>
              <w:spacing w:after="0"/>
              <w:rPr>
                <w:sz w:val="21"/>
                <w:szCs w:val="21"/>
                <w:color w:val="auto"/>
              </w:rPr>
            </w:pPr>
          </w:p>
        </w:tc>
        <w:tc>
          <w:tcPr>
            <w:tcW w:w="60" w:type="dxa"/>
            <w:vAlign w:val="bottom"/>
            <w:tcBorders>
              <w:top w:val="single" w:sz="8" w:color="0000EE"/>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6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(incorporated by reference to Exhibit 10.20 to the Annual Report on Form 10-K filed on May 24, 2024).</w:t>
            </w:r>
          </w:p>
        </w:tc>
      </w:tr>
      <w:tr>
        <w:trPr>
          <w:trHeight w:val="203"/>
        </w:trPr>
        <w:tc>
          <w:tcPr>
            <w:tcW w:w="740" w:type="dxa"/>
            <w:vAlign w:val="bottom"/>
            <w:gridSpan w:val="7"/>
          </w:tcPr>
          <w:p>
            <w:pPr>
              <w:jc w:val="center"/>
              <w:spacing w:after="0" w:line="202" w:lineRule="exact"/>
              <w:rPr>
                <w:rFonts w:ascii="Times New Roman" w:cs="Times New Roman" w:eastAsia="Times New Roman" w:hAnsi="Times New Roman"/>
                <w:sz w:val="18"/>
                <w:szCs w:val="18"/>
                <w:color w:val="0000EE"/>
              </w:rPr>
            </w:pPr>
            <w:hyperlink r:id="rId54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20#</w:t>
              </w:r>
            </w:hyperlink>
          </w:p>
        </w:tc>
        <w:tc>
          <w:tcPr>
            <w:tcW w:w="768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color w:val="auto"/>
              </w:rPr>
              <w:t>Executive Services Agreement, dated July 16, 2023, by and between SeatonHill Partners, L.P. and WM</w:t>
            </w:r>
          </w:p>
        </w:tc>
      </w:tr>
      <w:tr>
        <w:trPr>
          <w:trHeight w:val="218"/>
        </w:trPr>
        <w:tc>
          <w:tcPr>
            <w:tcW w:w="120" w:type="dxa"/>
            <w:vAlign w:val="bottom"/>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Technology Inc. (incorporated herein by reference to Exhibit 10.1 to the Current Report on Form 8-K</w:t>
            </w:r>
          </w:p>
        </w:tc>
      </w:tr>
      <w:tr>
        <w:trPr>
          <w:trHeight w:val="234"/>
        </w:trPr>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filed by WM Technology, Inc. on July 20, 2023).</w:t>
            </w:r>
          </w:p>
        </w:tc>
      </w:tr>
      <w:tr>
        <w:trPr>
          <w:trHeight w:val="27"/>
        </w:trPr>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580" w:type="dxa"/>
            <w:vAlign w:val="bottom"/>
          </w:tcPr>
          <w:p>
            <w:pPr>
              <w:spacing w:after="0"/>
              <w:rPr>
                <w:sz w:val="2"/>
                <w:szCs w:val="2"/>
                <w:color w:val="auto"/>
              </w:rPr>
            </w:pPr>
          </w:p>
        </w:tc>
      </w:tr>
      <w:tr>
        <w:trPr>
          <w:trHeight w:val="203"/>
        </w:trPr>
        <w:tc>
          <w:tcPr>
            <w:tcW w:w="740" w:type="dxa"/>
            <w:vAlign w:val="bottom"/>
            <w:gridSpan w:val="7"/>
            <w:shd w:val="clear" w:color="auto" w:fill="CCEEFF"/>
          </w:tcPr>
          <w:p>
            <w:pPr>
              <w:jc w:val="center"/>
              <w:spacing w:after="0" w:line="202" w:lineRule="exact"/>
              <w:rPr>
                <w:rFonts w:ascii="Times New Roman" w:cs="Times New Roman" w:eastAsia="Times New Roman" w:hAnsi="Times New Roman"/>
                <w:sz w:val="18"/>
                <w:szCs w:val="18"/>
                <w:color w:val="0000EE"/>
              </w:rPr>
            </w:pPr>
            <w:hyperlink r:id="rId54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21#</w:t>
              </w:r>
            </w:hyperlink>
          </w:p>
        </w:tc>
        <w:tc>
          <w:tcPr>
            <w:tcW w:w="7680" w:type="dxa"/>
            <w:vAlign w:val="bottom"/>
            <w:gridSpan w:val="2"/>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Separation and Release Agreement, by and between Randa McMinn and WM Technology, Inc, dated</w:t>
            </w:r>
          </w:p>
        </w:tc>
      </w:tr>
      <w:tr>
        <w:trPr>
          <w:trHeight w:val="218"/>
        </w:trPr>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3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October 18, 2023 (incorporated herein by reference to Exhibit 10.5# to the Quarterly Report on</w:t>
            </w:r>
          </w:p>
        </w:tc>
      </w:tr>
      <w:tr>
        <w:trPr>
          <w:trHeight w:val="241"/>
        </w:trPr>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Form 10-Q filed on November 8, 2023).</w:t>
            </w:r>
          </w:p>
        </w:tc>
      </w:tr>
      <w:tr>
        <w:trPr>
          <w:trHeight w:val="203"/>
        </w:trPr>
        <w:tc>
          <w:tcPr>
            <w:tcW w:w="740" w:type="dxa"/>
            <w:vAlign w:val="bottom"/>
            <w:gridSpan w:val="7"/>
          </w:tcPr>
          <w:p>
            <w:pPr>
              <w:jc w:val="center"/>
              <w:spacing w:after="0" w:line="202" w:lineRule="exact"/>
              <w:rPr>
                <w:rFonts w:ascii="Times New Roman" w:cs="Times New Roman" w:eastAsia="Times New Roman" w:hAnsi="Times New Roman"/>
                <w:sz w:val="18"/>
                <w:szCs w:val="18"/>
                <w:color w:val="0000EE"/>
              </w:rPr>
            </w:pPr>
            <w:hyperlink r:id="rId54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22#</w:t>
              </w:r>
            </w:hyperlink>
          </w:p>
        </w:tc>
        <w:tc>
          <w:tcPr>
            <w:tcW w:w="768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color w:val="auto"/>
              </w:rPr>
              <w:t>Amendment to Executive Services Agreement, by and between SeatonHill Partners, L.P. and WM</w:t>
            </w:r>
          </w:p>
        </w:tc>
      </w:tr>
      <w:tr>
        <w:trPr>
          <w:trHeight w:val="218"/>
        </w:trPr>
        <w:tc>
          <w:tcPr>
            <w:tcW w:w="120" w:type="dxa"/>
            <w:vAlign w:val="bottom"/>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Technology Inc., dated February 26, 2024 (incorporated by reference to Exhibit 10.23 to the Annual</w:t>
            </w:r>
          </w:p>
        </w:tc>
      </w:tr>
      <w:tr>
        <w:trPr>
          <w:trHeight w:val="234"/>
        </w:trPr>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Report on Form 10-K filed on May 24, 2024).</w:t>
            </w:r>
          </w:p>
        </w:tc>
      </w:tr>
      <w:tr>
        <w:trPr>
          <w:trHeight w:val="27"/>
        </w:trPr>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580" w:type="dxa"/>
            <w:vAlign w:val="bottom"/>
          </w:tcPr>
          <w:p>
            <w:pPr>
              <w:spacing w:after="0"/>
              <w:rPr>
                <w:sz w:val="2"/>
                <w:szCs w:val="2"/>
                <w:color w:val="auto"/>
              </w:rPr>
            </w:pPr>
          </w:p>
        </w:tc>
      </w:tr>
      <w:tr>
        <w:trPr>
          <w:trHeight w:val="203"/>
        </w:trPr>
        <w:tc>
          <w:tcPr>
            <w:tcW w:w="740" w:type="dxa"/>
            <w:vAlign w:val="bottom"/>
            <w:gridSpan w:val="7"/>
            <w:shd w:val="clear" w:color="auto" w:fill="CCEEFF"/>
          </w:tcPr>
          <w:p>
            <w:pPr>
              <w:jc w:val="center"/>
              <w:spacing w:after="0" w:line="202" w:lineRule="exact"/>
              <w:rPr>
                <w:rFonts w:ascii="Times New Roman" w:cs="Times New Roman" w:eastAsia="Times New Roman" w:hAnsi="Times New Roman"/>
                <w:sz w:val="18"/>
                <w:szCs w:val="18"/>
                <w:color w:val="0000EE"/>
              </w:rPr>
            </w:pPr>
            <w:hyperlink r:id="rId55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23#</w:t>
              </w:r>
            </w:hyperlink>
          </w:p>
        </w:tc>
        <w:tc>
          <w:tcPr>
            <w:tcW w:w="7680" w:type="dxa"/>
            <w:vAlign w:val="bottom"/>
            <w:gridSpan w:val="2"/>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Fifth Amendment to Lease, by and between Discovery Business Center LLC and Ghost Management</w:t>
            </w:r>
          </w:p>
        </w:tc>
      </w:tr>
      <w:tr>
        <w:trPr>
          <w:trHeight w:val="218"/>
        </w:trPr>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3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Group, LLC, dated September 30, 2024 (incorporated herein by reference to Exhibit 10.2# to the</w:t>
            </w:r>
          </w:p>
        </w:tc>
      </w:tr>
      <w:tr>
        <w:trPr>
          <w:trHeight w:val="241"/>
        </w:trPr>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Quarterly Report on Form 10-Q filed on November 12, 2024).</w:t>
            </w:r>
          </w:p>
        </w:tc>
      </w:tr>
      <w:tr>
        <w:trPr>
          <w:trHeight w:val="203"/>
        </w:trPr>
        <w:tc>
          <w:tcPr>
            <w:tcW w:w="560" w:type="dxa"/>
            <w:vAlign w:val="bottom"/>
            <w:gridSpan w:val="5"/>
          </w:tcPr>
          <w:p>
            <w:pPr>
              <w:jc w:val="center"/>
              <w:ind w:left="71"/>
              <w:spacing w:after="0" w:line="202" w:lineRule="exact"/>
              <w:rPr>
                <w:rFonts w:ascii="Times New Roman" w:cs="Times New Roman" w:eastAsia="Times New Roman" w:hAnsi="Times New Roman"/>
                <w:sz w:val="18"/>
                <w:szCs w:val="18"/>
                <w:color w:val="0000EE"/>
              </w:rPr>
            </w:pPr>
            <w:hyperlink r:id="rId551">
              <w:r>
                <w:rPr>
                  <w:rFonts w:ascii="Times New Roman" w:cs="Times New Roman" w:eastAsia="Times New Roman" w:hAnsi="Times New Roman"/>
                  <w:sz w:val="18"/>
                  <w:szCs w:val="18"/>
                  <w:color w:val="0000EE"/>
                </w:rPr>
                <w:t>21.</w:t>
              </w:r>
              <w:r>
                <w:rPr>
                  <w:rFonts w:ascii="Times New Roman" w:cs="Times New Roman" w:eastAsia="Times New Roman" w:hAnsi="Times New Roman"/>
                  <w:sz w:val="18"/>
                  <w:szCs w:val="18"/>
                  <w:u w:val="single" w:color="auto"/>
                  <w:color w:val="0000EE"/>
                </w:rPr>
                <w:t>1</w:t>
              </w:r>
            </w:hyperlink>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8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color w:val="auto"/>
              </w:rPr>
              <w:t>List of Subsidiaries of the Registrant (incorporated by reference to Exhibit 10.7 to the Annual Report on</w:t>
            </w:r>
          </w:p>
        </w:tc>
      </w:tr>
      <w:tr>
        <w:trPr>
          <w:trHeight w:val="237"/>
        </w:trPr>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10-K filed on May 24, 2024).</w:t>
            </w:r>
          </w:p>
        </w:tc>
      </w:tr>
      <w:tr>
        <w:trPr>
          <w:trHeight w:val="27"/>
        </w:trPr>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580" w:type="dxa"/>
            <w:vAlign w:val="bottom"/>
          </w:tcPr>
          <w:p>
            <w:pPr>
              <w:spacing w:after="0"/>
              <w:rPr>
                <w:sz w:val="2"/>
                <w:szCs w:val="2"/>
                <w:color w:val="auto"/>
              </w:rPr>
            </w:pPr>
          </w:p>
        </w:tc>
      </w:tr>
      <w:tr>
        <w:trPr>
          <w:trHeight w:val="203"/>
        </w:trPr>
        <w:tc>
          <w:tcPr>
            <w:tcW w:w="200" w:type="dxa"/>
            <w:vAlign w:val="bottom"/>
            <w:gridSpan w:val="3"/>
            <w:shd w:val="clear" w:color="auto" w:fill="CCEEFF"/>
          </w:tcPr>
          <w:p>
            <w:pPr>
              <w:spacing w:after="0"/>
              <w:rPr>
                <w:sz w:val="17"/>
                <w:szCs w:val="17"/>
                <w:color w:val="auto"/>
              </w:rPr>
            </w:pPr>
          </w:p>
        </w:tc>
        <w:tc>
          <w:tcPr>
            <w:tcW w:w="360" w:type="dxa"/>
            <w:vAlign w:val="bottom"/>
            <w:gridSpan w:val="2"/>
            <w:shd w:val="clear" w:color="auto" w:fill="CCEEFF"/>
          </w:tcPr>
          <w:p>
            <w:pPr>
              <w:jc w:val="center"/>
              <w:ind w:right="40"/>
              <w:spacing w:after="0" w:line="202"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80" w:type="dxa"/>
            <w:vAlign w:val="bottom"/>
            <w:gridSpan w:val="2"/>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Consent of Baker Tilly US, LLP</w:t>
            </w:r>
          </w:p>
        </w:tc>
      </w:tr>
      <w:tr>
        <w:trPr>
          <w:trHeight w:val="48"/>
        </w:trPr>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580" w:type="dxa"/>
            <w:vAlign w:val="bottom"/>
            <w:tcBorders>
              <w:top w:val="single" w:sz="8" w:color="CCEEFF"/>
            </w:tcBorders>
            <w:shd w:val="clear" w:color="auto" w:fill="CCEEFF"/>
          </w:tcPr>
          <w:p>
            <w:pPr>
              <w:spacing w:after="0"/>
              <w:rPr>
                <w:sz w:val="4"/>
                <w:szCs w:val="4"/>
                <w:color w:val="auto"/>
              </w:rPr>
            </w:pPr>
          </w:p>
        </w:tc>
      </w:tr>
      <w:tr>
        <w:trPr>
          <w:trHeight w:val="203"/>
        </w:trPr>
        <w:tc>
          <w:tcPr>
            <w:tcW w:w="200" w:type="dxa"/>
            <w:vAlign w:val="bottom"/>
            <w:gridSpan w:val="3"/>
          </w:tcPr>
          <w:p>
            <w:pPr>
              <w:spacing w:after="0"/>
              <w:rPr>
                <w:sz w:val="17"/>
                <w:szCs w:val="17"/>
                <w:color w:val="auto"/>
              </w:rPr>
            </w:pPr>
          </w:p>
        </w:tc>
        <w:tc>
          <w:tcPr>
            <w:tcW w:w="360" w:type="dxa"/>
            <w:vAlign w:val="bottom"/>
            <w:gridSpan w:val="2"/>
          </w:tcPr>
          <w:p>
            <w:pPr>
              <w:jc w:val="center"/>
              <w:ind w:right="40"/>
              <w:spacing w:after="0" w:line="202"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8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color w:val="auto"/>
              </w:rPr>
              <w:t>Consent of Moss Adams, LLP</w:t>
            </w:r>
          </w:p>
        </w:tc>
      </w:tr>
      <w:tr>
        <w:trPr>
          <w:trHeight w:val="48"/>
        </w:trPr>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580" w:type="dxa"/>
            <w:vAlign w:val="bottom"/>
          </w:tcPr>
          <w:p>
            <w:pPr>
              <w:spacing w:after="0"/>
              <w:rPr>
                <w:sz w:val="4"/>
                <w:szCs w:val="4"/>
                <w:color w:val="auto"/>
              </w:rPr>
            </w:pPr>
          </w:p>
        </w:tc>
      </w:tr>
      <w:tr>
        <w:trPr>
          <w:trHeight w:val="203"/>
        </w:trPr>
        <w:tc>
          <w:tcPr>
            <w:tcW w:w="160" w:type="dxa"/>
            <w:vAlign w:val="bottom"/>
            <w:gridSpan w:val="2"/>
            <w:shd w:val="clear" w:color="auto" w:fill="CCEEFF"/>
          </w:tcPr>
          <w:p>
            <w:pPr>
              <w:spacing w:after="0"/>
              <w:rPr>
                <w:sz w:val="17"/>
                <w:szCs w:val="17"/>
                <w:color w:val="auto"/>
              </w:rPr>
            </w:pPr>
          </w:p>
        </w:tc>
        <w:tc>
          <w:tcPr>
            <w:tcW w:w="460" w:type="dxa"/>
            <w:vAlign w:val="bottom"/>
            <w:gridSpan w:val="4"/>
            <w:shd w:val="clear" w:color="auto" w:fill="CCEEFF"/>
          </w:tcPr>
          <w:p>
            <w:pPr>
              <w:jc w:val="center"/>
              <w:ind w:right="60"/>
              <w:spacing w:after="0" w:line="202" w:lineRule="exact"/>
              <w:rPr>
                <w:rFonts w:ascii="Times New Roman" w:cs="Times New Roman" w:eastAsia="Times New Roman" w:hAnsi="Times New Roman"/>
                <w:sz w:val="18"/>
                <w:szCs w:val="18"/>
                <w:color w:val="0000EE"/>
                <w:w w:val="98"/>
              </w:rPr>
            </w:pPr>
            <w:hyperlink r:id="rId523">
              <w:r>
                <w:rPr>
                  <w:rFonts w:ascii="Times New Roman" w:cs="Times New Roman" w:eastAsia="Times New Roman" w:hAnsi="Times New Roman"/>
                  <w:sz w:val="18"/>
                  <w:szCs w:val="18"/>
                  <w:color w:val="0000EE"/>
                  <w:w w:val="98"/>
                </w:rPr>
                <w:t>23.</w:t>
              </w:r>
              <w:r>
                <w:rPr>
                  <w:rFonts w:ascii="Times New Roman" w:cs="Times New Roman" w:eastAsia="Times New Roman" w:hAnsi="Times New Roman"/>
                  <w:sz w:val="18"/>
                  <w:szCs w:val="18"/>
                  <w:u w:val="single" w:color="auto"/>
                  <w:color w:val="0000EE"/>
                  <w:w w:val="98"/>
                </w:rPr>
                <w:t>3*</w:t>
              </w:r>
            </w:hyperlink>
          </w:p>
        </w:tc>
        <w:tc>
          <w:tcPr>
            <w:tcW w:w="120" w:type="dxa"/>
            <w:vAlign w:val="bottom"/>
            <w:shd w:val="clear" w:color="auto" w:fill="CCEEFF"/>
          </w:tcPr>
          <w:p>
            <w:pPr>
              <w:spacing w:after="0"/>
              <w:rPr>
                <w:sz w:val="17"/>
                <w:szCs w:val="17"/>
                <w:color w:val="auto"/>
              </w:rPr>
            </w:pPr>
          </w:p>
        </w:tc>
        <w:tc>
          <w:tcPr>
            <w:tcW w:w="7680" w:type="dxa"/>
            <w:vAlign w:val="bottom"/>
            <w:gridSpan w:val="2"/>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Consent of Cooley LLP (included in Exhibit 5.1)</w:t>
            </w:r>
          </w:p>
        </w:tc>
      </w:tr>
      <w:tr>
        <w:trPr>
          <w:trHeight w:val="48"/>
        </w:trPr>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580" w:type="dxa"/>
            <w:vAlign w:val="bottom"/>
            <w:tcBorders>
              <w:top w:val="single" w:sz="8" w:color="CCEEFF"/>
            </w:tcBorders>
            <w:shd w:val="clear" w:color="auto" w:fill="CCEEFF"/>
          </w:tcPr>
          <w:p>
            <w:pPr>
              <w:spacing w:after="0"/>
              <w:rPr>
                <w:sz w:val="4"/>
                <w:szCs w:val="4"/>
                <w:color w:val="auto"/>
              </w:rPr>
            </w:pPr>
          </w:p>
        </w:tc>
      </w:tr>
      <w:tr>
        <w:trPr>
          <w:trHeight w:val="203"/>
        </w:trPr>
        <w:tc>
          <w:tcPr>
            <w:tcW w:w="160" w:type="dxa"/>
            <w:vAlign w:val="bottom"/>
            <w:gridSpan w:val="2"/>
          </w:tcPr>
          <w:p>
            <w:pPr>
              <w:spacing w:after="0"/>
              <w:rPr>
                <w:sz w:val="17"/>
                <w:szCs w:val="17"/>
                <w:color w:val="auto"/>
              </w:rPr>
            </w:pPr>
          </w:p>
        </w:tc>
        <w:tc>
          <w:tcPr>
            <w:tcW w:w="460" w:type="dxa"/>
            <w:vAlign w:val="bottom"/>
            <w:gridSpan w:val="4"/>
          </w:tcPr>
          <w:p>
            <w:pPr>
              <w:jc w:val="center"/>
              <w:ind w:right="60"/>
              <w:spacing w:after="0" w:line="202" w:lineRule="exact"/>
              <w:rPr>
                <w:rFonts w:ascii="Times New Roman" w:cs="Times New Roman" w:eastAsia="Times New Roman" w:hAnsi="Times New Roman"/>
                <w:sz w:val="18"/>
                <w:szCs w:val="18"/>
                <w:color w:val="0000EE"/>
                <w:w w:val="98"/>
              </w:rPr>
            </w:pPr>
            <w:hyperlink r:id="rId552">
              <w:r>
                <w:rPr>
                  <w:rFonts w:ascii="Times New Roman" w:cs="Times New Roman" w:eastAsia="Times New Roman" w:hAnsi="Times New Roman"/>
                  <w:sz w:val="18"/>
                  <w:szCs w:val="18"/>
                  <w:color w:val="0000EE"/>
                  <w:w w:val="98"/>
                </w:rPr>
                <w:t>24.</w:t>
              </w:r>
              <w:r>
                <w:rPr>
                  <w:rFonts w:ascii="Times New Roman" w:cs="Times New Roman" w:eastAsia="Times New Roman" w:hAnsi="Times New Roman"/>
                  <w:sz w:val="18"/>
                  <w:szCs w:val="18"/>
                  <w:u w:val="single" w:color="auto"/>
                  <w:color w:val="0000EE"/>
                  <w:w w:val="98"/>
                </w:rPr>
                <w:t>1*</w:t>
              </w:r>
            </w:hyperlink>
          </w:p>
        </w:tc>
        <w:tc>
          <w:tcPr>
            <w:tcW w:w="120" w:type="dxa"/>
            <w:vAlign w:val="bottom"/>
          </w:tcPr>
          <w:p>
            <w:pPr>
              <w:spacing w:after="0"/>
              <w:rPr>
                <w:sz w:val="17"/>
                <w:szCs w:val="17"/>
                <w:color w:val="auto"/>
              </w:rPr>
            </w:pPr>
          </w:p>
        </w:tc>
        <w:tc>
          <w:tcPr>
            <w:tcW w:w="768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color w:val="auto"/>
              </w:rPr>
              <w:t>Power of Attorney (included on signature page of Registration Statement on Form S-1 filed on July 8,</w:t>
            </w:r>
          </w:p>
        </w:tc>
      </w:tr>
      <w:tr>
        <w:trPr>
          <w:trHeight w:val="237"/>
        </w:trPr>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2021)</w:t>
            </w:r>
          </w:p>
        </w:tc>
      </w:tr>
      <w:tr>
        <w:trPr>
          <w:trHeight w:val="27"/>
        </w:trPr>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580" w:type="dxa"/>
            <w:vAlign w:val="bottom"/>
          </w:tcPr>
          <w:p>
            <w:pPr>
              <w:spacing w:after="0"/>
              <w:rPr>
                <w:sz w:val="2"/>
                <w:szCs w:val="2"/>
                <w:color w:val="auto"/>
              </w:rPr>
            </w:pPr>
          </w:p>
        </w:tc>
      </w:tr>
      <w:tr>
        <w:trPr>
          <w:trHeight w:val="203"/>
        </w:trPr>
        <w:tc>
          <w:tcPr>
            <w:tcW w:w="200" w:type="dxa"/>
            <w:vAlign w:val="bottom"/>
            <w:gridSpan w:val="3"/>
            <w:shd w:val="clear" w:color="auto" w:fill="CCEEFF"/>
          </w:tcPr>
          <w:p>
            <w:pPr>
              <w:spacing w:after="0"/>
              <w:rPr>
                <w:sz w:val="17"/>
                <w:szCs w:val="17"/>
                <w:color w:val="auto"/>
              </w:rPr>
            </w:pPr>
          </w:p>
        </w:tc>
        <w:tc>
          <w:tcPr>
            <w:tcW w:w="360" w:type="dxa"/>
            <w:vAlign w:val="bottom"/>
            <w:gridSpan w:val="2"/>
            <w:shd w:val="clear" w:color="auto" w:fill="CCEEFF"/>
          </w:tcPr>
          <w:p>
            <w:pPr>
              <w:jc w:val="center"/>
              <w:ind w:right="40"/>
              <w:spacing w:after="0" w:line="202" w:lineRule="exact"/>
              <w:rPr>
                <w:sz w:val="20"/>
                <w:szCs w:val="20"/>
                <w:color w:val="auto"/>
              </w:rPr>
            </w:pPr>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u w:val="single" w:color="auto"/>
                <w:color w:val="0000EE"/>
              </w:rPr>
              <w:t>2</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80" w:type="dxa"/>
            <w:vAlign w:val="bottom"/>
            <w:gridSpan w:val="2"/>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Power of Attorney (included on signature page).</w:t>
            </w:r>
          </w:p>
        </w:tc>
      </w:tr>
      <w:tr>
        <w:trPr>
          <w:trHeight w:val="48"/>
        </w:trPr>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580" w:type="dxa"/>
            <w:vAlign w:val="bottom"/>
            <w:tcBorders>
              <w:top w:val="single" w:sz="8" w:color="CCEEFF"/>
            </w:tcBorders>
            <w:shd w:val="clear" w:color="auto" w:fill="CCEEFF"/>
          </w:tcPr>
          <w:p>
            <w:pPr>
              <w:spacing w:after="0"/>
              <w:rPr>
                <w:sz w:val="4"/>
                <w:szCs w:val="4"/>
                <w:color w:val="auto"/>
              </w:rPr>
            </w:pPr>
          </w:p>
        </w:tc>
      </w:tr>
      <w:tr>
        <w:trPr>
          <w:trHeight w:val="225"/>
        </w:trPr>
        <w:tc>
          <w:tcPr>
            <w:tcW w:w="740" w:type="dxa"/>
            <w:vAlign w:val="bottom"/>
            <w:gridSpan w:val="7"/>
          </w:tcPr>
          <w:p>
            <w:pPr>
              <w:jc w:val="center"/>
              <w:ind w:right="20"/>
              <w:spacing w:after="0"/>
              <w:rPr>
                <w:sz w:val="20"/>
                <w:szCs w:val="20"/>
                <w:color w:val="auto"/>
              </w:rPr>
            </w:pPr>
            <w:r>
              <w:rPr>
                <w:rFonts w:ascii="Times New Roman" w:cs="Times New Roman" w:eastAsia="Times New Roman" w:hAnsi="Times New Roman"/>
                <w:sz w:val="18"/>
                <w:szCs w:val="18"/>
                <w:color w:val="auto"/>
                <w:w w:val="99"/>
              </w:rPr>
              <w:t>101.INS</w:t>
            </w: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w:t>
            </w:r>
          </w:p>
        </w:tc>
      </w:tr>
      <w:tr>
        <w:trPr>
          <w:trHeight w:val="234"/>
        </w:trPr>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r>
      <w:tr>
        <w:trPr>
          <w:trHeight w:val="27"/>
        </w:trPr>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580" w:type="dxa"/>
            <w:vAlign w:val="bottom"/>
          </w:tcPr>
          <w:p>
            <w:pPr>
              <w:spacing w:after="0"/>
              <w:rPr>
                <w:sz w:val="2"/>
                <w:szCs w:val="2"/>
                <w:color w:val="auto"/>
              </w:rPr>
            </w:pPr>
          </w:p>
        </w:tc>
      </w:tr>
      <w:tr>
        <w:trPr>
          <w:trHeight w:val="250"/>
        </w:trPr>
        <w:tc>
          <w:tcPr>
            <w:tcW w:w="740" w:type="dxa"/>
            <w:vAlign w:val="bottom"/>
            <w:tcBorders>
              <w:bottom w:val="single" w:sz="8" w:color="CCEEFF"/>
            </w:tcBorders>
            <w:gridSpan w:val="7"/>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43"/>
        </w:trPr>
        <w:tc>
          <w:tcPr>
            <w:tcW w:w="740" w:type="dxa"/>
            <w:vAlign w:val="bottom"/>
            <w:gridSpan w:val="7"/>
          </w:tcPr>
          <w:p>
            <w:pPr>
              <w:jc w:val="center"/>
              <w:ind w:right="20"/>
              <w:spacing w:after="0"/>
              <w:rPr>
                <w:sz w:val="20"/>
                <w:szCs w:val="20"/>
                <w:color w:val="auto"/>
              </w:rPr>
            </w:pPr>
            <w:r>
              <w:rPr>
                <w:rFonts w:ascii="Times New Roman" w:cs="Times New Roman" w:eastAsia="Times New Roman" w:hAnsi="Times New Roman"/>
                <w:sz w:val="18"/>
                <w:szCs w:val="18"/>
                <w:color w:val="auto"/>
              </w:rPr>
              <w:t>101.CAL</w:t>
            </w: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7"/>
        </w:trPr>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580" w:type="dxa"/>
            <w:vAlign w:val="bottom"/>
          </w:tcPr>
          <w:p>
            <w:pPr>
              <w:spacing w:after="0"/>
              <w:rPr>
                <w:sz w:val="2"/>
                <w:szCs w:val="2"/>
                <w:color w:val="auto"/>
              </w:rPr>
            </w:pPr>
          </w:p>
        </w:tc>
      </w:tr>
      <w:tr>
        <w:trPr>
          <w:trHeight w:val="250"/>
        </w:trPr>
        <w:tc>
          <w:tcPr>
            <w:tcW w:w="740" w:type="dxa"/>
            <w:vAlign w:val="bottom"/>
            <w:tcBorders>
              <w:bottom w:val="single" w:sz="8" w:color="CCEEFF"/>
            </w:tcBorders>
            <w:gridSpan w:val="7"/>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43"/>
        </w:trPr>
        <w:tc>
          <w:tcPr>
            <w:tcW w:w="740" w:type="dxa"/>
            <w:vAlign w:val="bottom"/>
            <w:gridSpan w:val="7"/>
          </w:tcPr>
          <w:p>
            <w:pPr>
              <w:jc w:val="center"/>
              <w:ind w:right="20"/>
              <w:spacing w:after="0"/>
              <w:rPr>
                <w:sz w:val="20"/>
                <w:szCs w:val="20"/>
                <w:color w:val="auto"/>
              </w:rPr>
            </w:pPr>
            <w:r>
              <w:rPr>
                <w:rFonts w:ascii="Times New Roman" w:cs="Times New Roman" w:eastAsia="Times New Roman" w:hAnsi="Times New Roman"/>
                <w:sz w:val="18"/>
                <w:szCs w:val="18"/>
                <w:color w:val="auto"/>
              </w:rPr>
              <w:t>101.LAB</w:t>
            </w: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7"/>
        </w:trPr>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580" w:type="dxa"/>
            <w:vAlign w:val="bottom"/>
          </w:tcPr>
          <w:p>
            <w:pPr>
              <w:spacing w:after="0"/>
              <w:rPr>
                <w:sz w:val="2"/>
                <w:szCs w:val="2"/>
                <w:color w:val="auto"/>
              </w:rPr>
            </w:pPr>
          </w:p>
        </w:tc>
      </w:tr>
      <w:tr>
        <w:trPr>
          <w:trHeight w:val="250"/>
        </w:trPr>
        <w:tc>
          <w:tcPr>
            <w:tcW w:w="740" w:type="dxa"/>
            <w:vAlign w:val="bottom"/>
            <w:tcBorders>
              <w:bottom w:val="single" w:sz="8" w:color="CCEEFF"/>
            </w:tcBorders>
            <w:gridSpan w:val="7"/>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101.PRE</w:t>
            </w: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43"/>
        </w:trPr>
        <w:tc>
          <w:tcPr>
            <w:tcW w:w="520" w:type="dxa"/>
            <w:vAlign w:val="bottom"/>
            <w:gridSpan w:val="4"/>
          </w:tcPr>
          <w:p>
            <w:pPr>
              <w:jc w:val="center"/>
              <w:ind w:left="111"/>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3257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53">
                      <a:extLst>
                        <a:ext uri="{28A0092B-C50C-407E-A947-70E740481C1C}"/>
                      </a:extLst>
                    </a:blip>
                    <a:srcRect/>
                    <a:stretch>
                      <a:fillRect/>
                    </a:stretch>
                  </pic:blipFill>
                  <pic:spPr bwMode="auto">
                    <a:xfrm>
                      <a:off x="0" y="0"/>
                      <a:ext cx="5349240" cy="3257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-7002780</wp:posOffset>
            </wp:positionV>
            <wp:extent cx="6858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 w:lineRule="exact"/>
        <w:rPr>
          <w:sz w:val="20"/>
          <w:szCs w:val="20"/>
          <w:color w:val="auto"/>
        </w:rPr>
      </w:pPr>
    </w:p>
    <w:p>
      <w:pPr>
        <w:ind w:left="1140" w:right="1059" w:hanging="612"/>
        <w:spacing w:after="0" w:line="282" w:lineRule="auto"/>
        <w:tabs>
          <w:tab w:leader="none" w:pos="1140" w:val="left"/>
        </w:tabs>
        <w:numPr>
          <w:ilvl w:val="1"/>
          <w:numId w:val="14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Filing Fee Table (incorporated by reference to the Registration Statement on Form S-1 filed on December 2, 2021).</w:t>
      </w:r>
    </w:p>
    <w:p>
      <w:pPr>
        <w:spacing w:after="0" w:line="359" w:lineRule="exact"/>
        <w:rPr>
          <w:rFonts w:ascii="Times New Roman" w:cs="Times New Roman" w:eastAsia="Times New Roman" w:hAnsi="Times New Roman"/>
          <w:sz w:val="18"/>
          <w:szCs w:val="18"/>
          <w:u w:val="single" w:color="auto"/>
          <w:color w:val="0000EE"/>
        </w:rPr>
      </w:pPr>
    </w:p>
    <w:p>
      <w:pPr>
        <w:ind w:left="640" w:right="319" w:hanging="348"/>
        <w:spacing w:after="0" w:line="261" w:lineRule="auto"/>
        <w:tabs>
          <w:tab w:leader="none" w:pos="64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exhibits and schedules to this Exhibit have been omitted in accordance with Regulation S-K Item 601(b)(2). We agree to furnish a copy of all omitted exhibits and schedules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-250190</wp:posOffset>
            </wp:positionV>
            <wp:extent cx="82296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5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ind w:left="300" w:right="3939" w:hanging="8"/>
        <w:spacing w:after="0" w:line="342" w:lineRule="auto"/>
        <w:tabs>
          <w:tab w:leader="none" w:pos="651"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 contract or agreement. * Previously filed.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2" w:name="page213"/>
    <w:bookmarkEnd w:id="2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17.</w:t>
        <w:tab/>
        <w:t>Undertakings.</w:t>
      </w:r>
    </w:p>
    <w:p>
      <w:pPr>
        <w:spacing w:after="0" w:line="121" w:lineRule="exact"/>
        <w:rPr>
          <w:sz w:val="20"/>
          <w:szCs w:val="20"/>
          <w:color w:val="auto"/>
        </w:rPr>
      </w:pPr>
    </w:p>
    <w:p>
      <w:pPr>
        <w:ind w:left="640" w:hanging="348"/>
        <w:spacing w:after="0"/>
        <w:tabs>
          <w:tab w:leader="none" w:pos="6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53"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2"/>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17" w:lineRule="exact"/>
        <w:rPr>
          <w:rFonts w:ascii="Times New Roman" w:cs="Times New Roman" w:eastAsia="Times New Roman" w:hAnsi="Times New Roman"/>
          <w:sz w:val="18"/>
          <w:szCs w:val="18"/>
          <w:color w:val="auto"/>
        </w:rPr>
      </w:pPr>
    </w:p>
    <w:p>
      <w:pPr>
        <w:jc w:val="both"/>
        <w:ind w:left="1360" w:right="319" w:hanging="348"/>
        <w:spacing w:after="0" w:line="253" w:lineRule="auto"/>
        <w:tabs>
          <w:tab w:leader="none" w:pos="1360" w:val="left"/>
        </w:tabs>
        <w:numPr>
          <w:ilvl w:val="2"/>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86" w:lineRule="exact"/>
        <w:rPr>
          <w:rFonts w:ascii="Times New Roman" w:cs="Times New Roman" w:eastAsia="Times New Roman" w:hAnsi="Times New Roman"/>
          <w:sz w:val="18"/>
          <w:szCs w:val="18"/>
          <w:color w:val="auto"/>
        </w:rPr>
      </w:pPr>
    </w:p>
    <w:p>
      <w:pPr>
        <w:ind w:left="1360" w:right="319" w:hanging="348"/>
        <w:spacing w:after="0" w:line="261" w:lineRule="auto"/>
        <w:tabs>
          <w:tab w:leader="none" w:pos="1360" w:val="left"/>
        </w:tabs>
        <w:numPr>
          <w:ilvl w:val="2"/>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ind w:left="1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1380" w:right="2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provided, howeve</w:t>
      </w:r>
      <w:r>
        <w:rPr>
          <w:rFonts w:ascii="Times New Roman" w:cs="Times New Roman" w:eastAsia="Times New Roman" w:hAnsi="Times New Roman"/>
          <w:sz w:val="18"/>
          <w:szCs w:val="18"/>
          <w:color w:val="auto"/>
        </w:rPr>
        <w:t>r, that: Paragraphs (a)(1)(i), (a)(1)(ii) and (a)(1)(iii) of this section do not apply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information required to be included in a post-effective amendment by those paragraphs is contained in reports filed with or furnished to the Commission by the registrant pursuant to Section 13 or Section 15(d) of the Securities and Exchange Act of 1934, as amended (the “Exchange Act”), that are incorporated by reference in the registration statement, or is contained in a form of prospectus filed pursuant to Rule 424(b) that is part of the registration statement.</w:t>
      </w:r>
    </w:p>
    <w:p>
      <w:pPr>
        <w:spacing w:after="0" w:line="8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17"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2"/>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7" w:lineRule="exact"/>
        <w:rPr>
          <w:rFonts w:ascii="Times New Roman" w:cs="Times New Roman" w:eastAsia="Times New Roman" w:hAnsi="Times New Roman"/>
          <w:sz w:val="18"/>
          <w:szCs w:val="18"/>
          <w:color w:val="auto"/>
        </w:rPr>
      </w:pPr>
    </w:p>
    <w:p>
      <w:pPr>
        <w:jc w:val="both"/>
        <w:ind w:left="1360" w:right="319" w:hanging="348"/>
        <w:spacing w:after="0" w:line="261" w:lineRule="auto"/>
        <w:tabs>
          <w:tab w:leader="none" w:pos="1360" w:val="left"/>
        </w:tabs>
        <w:numPr>
          <w:ilvl w:val="2"/>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w:t>
      </w:r>
    </w:p>
    <w:p>
      <w:pPr>
        <w:jc w:val="both"/>
        <w:ind w:left="1360" w:right="31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3" w:name="page214"/>
    <w:bookmarkEnd w:id="2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56" w:lineRule="auto"/>
        <w:tabs>
          <w:tab w:leader="none" w:pos="100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9"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53"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5" w:lineRule="auto"/>
        <w:tabs>
          <w:tab w:leader="none" w:pos="100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0" w:lineRule="exact"/>
        <w:rPr>
          <w:rFonts w:ascii="Times New Roman" w:cs="Times New Roman" w:eastAsia="Times New Roman" w:hAnsi="Times New Roman"/>
          <w:sz w:val="18"/>
          <w:szCs w:val="18"/>
          <w:color w:val="auto"/>
        </w:rPr>
      </w:pPr>
    </w:p>
    <w:p>
      <w:pPr>
        <w:jc w:val="both"/>
        <w:ind w:left="640" w:right="299" w:hanging="348"/>
        <w:spacing w:after="0" w:line="253" w:lineRule="auto"/>
        <w:tabs>
          <w:tab w:leader="none" w:pos="6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4" w:name="page215"/>
    <w:bookmarkEnd w:id="2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S-1 and has duly caused this Post-Effective Amendment No. 6 to Registration Statement to be signed on its behalf by the undersigned, thereunto duly authorized in the City of Irvine, State of California on December 4, 2024.</w:t>
      </w:r>
    </w:p>
    <w:p>
      <w:pPr>
        <w:spacing w:after="0" w:line="21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WM TECHNOLOGY, INC.</w:t>
      </w:r>
    </w:p>
    <w:p>
      <w:pPr>
        <w:spacing w:after="0" w:line="33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i w:val="1"/>
          <w:iCs w:val="1"/>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52705</wp:posOffset>
            </wp:positionV>
            <wp:extent cx="260604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9">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1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Name: Douglas Francis</w:t>
      </w:r>
    </w:p>
    <w:p>
      <w:pPr>
        <w:spacing w:after="0" w:line="6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Douglas Francis and Susan Echard as his or her true and lawful attorneys-in-fact, proxies and agents, each with full power of substitution and resubstitution and full power to act without the other, for him or her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w:t>
      </w:r>
    </w:p>
    <w:p>
      <w:pPr>
        <w:spacing w:after="0" w:line="8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Post-Effective Amendment No. 6 on Form S-1 has been signed by the following persons in the capacities and on the dates indicated.</w:t>
      </w:r>
    </w:p>
    <w:p>
      <w:pPr>
        <w:spacing w:after="0" w:line="8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82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80" w:type="dxa"/>
            <w:vAlign w:val="bottom"/>
          </w:tcPr>
          <w:p>
            <w:pPr>
              <w:spacing w:after="0"/>
              <w:rPr>
                <w:sz w:val="16"/>
                <w:szCs w:val="16"/>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37"/>
        </w:trPr>
        <w:tc>
          <w:tcPr>
            <w:tcW w:w="28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34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15"/>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 Douglas Francis</w:t>
            </w:r>
          </w:p>
        </w:tc>
        <w:tc>
          <w:tcPr>
            <w:tcW w:w="180" w:type="dxa"/>
            <w:vAlign w:val="bottom"/>
          </w:tcPr>
          <w:p>
            <w:pPr>
              <w:spacing w:after="0"/>
              <w:rPr>
                <w:sz w:val="24"/>
                <w:szCs w:val="24"/>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4, 2024</w:t>
            </w:r>
          </w:p>
        </w:tc>
        <w:tc>
          <w:tcPr>
            <w:tcW w:w="0" w:type="dxa"/>
            <w:vAlign w:val="bottom"/>
          </w:tcPr>
          <w:p>
            <w:pPr>
              <w:spacing w:after="0"/>
              <w:rPr>
                <w:sz w:val="1"/>
                <w:szCs w:val="1"/>
                <w:color w:val="auto"/>
              </w:rPr>
            </w:pPr>
          </w:p>
        </w:tc>
      </w:tr>
      <w:tr>
        <w:trPr>
          <w:trHeight w:val="72"/>
        </w:trPr>
        <w:tc>
          <w:tcPr>
            <w:tcW w:w="2820" w:type="dxa"/>
            <w:vAlign w:val="bottom"/>
            <w:tcBorders>
              <w:bottom w:val="single" w:sz="8" w:color="auto"/>
            </w:tcBorders>
          </w:tcPr>
          <w:p>
            <w:pPr>
              <w:spacing w:after="0"/>
              <w:rPr>
                <w:sz w:val="6"/>
                <w:szCs w:val="6"/>
                <w:color w:val="auto"/>
              </w:rPr>
            </w:pPr>
          </w:p>
        </w:tc>
        <w:tc>
          <w:tcPr>
            <w:tcW w:w="180" w:type="dxa"/>
            <w:vAlign w:val="bottom"/>
            <w:vMerge w:val="restart"/>
          </w:tcPr>
          <w:p>
            <w:pPr>
              <w:spacing w:after="0"/>
              <w:rPr>
                <w:sz w:val="6"/>
                <w:szCs w:val="6"/>
                <w:color w:val="auto"/>
              </w:rPr>
            </w:pPr>
          </w:p>
        </w:tc>
        <w:tc>
          <w:tcPr>
            <w:tcW w:w="36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Douglas Francis</w:t>
            </w:r>
          </w:p>
        </w:tc>
        <w:tc>
          <w:tcPr>
            <w:tcW w:w="180" w:type="dxa"/>
            <w:vAlign w:val="bottom"/>
            <w:vMerge w:val="continue"/>
          </w:tcPr>
          <w:p>
            <w:pPr>
              <w:spacing w:after="0"/>
              <w:rPr>
                <w:sz w:val="12"/>
                <w:szCs w:val="12"/>
                <w:color w:val="auto"/>
              </w:rPr>
            </w:pPr>
          </w:p>
        </w:tc>
        <w:tc>
          <w:tcPr>
            <w:tcW w:w="3680" w:type="dxa"/>
            <w:vAlign w:val="bottom"/>
            <w:gridSpan w:val="2"/>
            <w:vMerge w:val="continue"/>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2"/>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 Susan Echard</w:t>
            </w:r>
          </w:p>
        </w:tc>
        <w:tc>
          <w:tcPr>
            <w:tcW w:w="180" w:type="dxa"/>
            <w:vAlign w:val="bottom"/>
          </w:tcPr>
          <w:p>
            <w:pPr>
              <w:spacing w:after="0"/>
              <w:rPr>
                <w:sz w:val="24"/>
                <w:szCs w:val="24"/>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4, 2024</w:t>
            </w:r>
          </w:p>
        </w:tc>
        <w:tc>
          <w:tcPr>
            <w:tcW w:w="0" w:type="dxa"/>
            <w:vAlign w:val="bottom"/>
          </w:tcPr>
          <w:p>
            <w:pPr>
              <w:spacing w:after="0"/>
              <w:rPr>
                <w:sz w:val="1"/>
                <w:szCs w:val="1"/>
                <w:color w:val="auto"/>
              </w:rPr>
            </w:pPr>
          </w:p>
        </w:tc>
      </w:tr>
      <w:tr>
        <w:trPr>
          <w:trHeight w:val="126"/>
        </w:trPr>
        <w:tc>
          <w:tcPr>
            <w:tcW w:w="2820" w:type="dxa"/>
            <w:vAlign w:val="bottom"/>
            <w:tcBorders>
              <w:bottom w:val="single" w:sz="8" w:color="auto"/>
            </w:tcBorders>
          </w:tcPr>
          <w:p>
            <w:pPr>
              <w:spacing w:after="0"/>
              <w:rPr>
                <w:sz w:val="10"/>
                <w:szCs w:val="10"/>
                <w:color w:val="auto"/>
              </w:rPr>
            </w:pPr>
          </w:p>
        </w:tc>
        <w:tc>
          <w:tcPr>
            <w:tcW w:w="180" w:type="dxa"/>
            <w:vAlign w:val="bottom"/>
            <w:vMerge w:val="restart"/>
          </w:tcPr>
          <w:p>
            <w:pPr>
              <w:spacing w:after="0"/>
              <w:rPr>
                <w:sz w:val="10"/>
                <w:szCs w:val="10"/>
                <w:color w:val="auto"/>
              </w:rPr>
            </w:pPr>
          </w:p>
        </w:tc>
        <w:tc>
          <w:tcPr>
            <w:tcW w:w="36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w w:val="99"/>
              </w:rPr>
              <w:t>(Principal Financial Officer and</w:t>
            </w: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Susan Echard</w:t>
            </w:r>
          </w:p>
        </w:tc>
        <w:tc>
          <w:tcPr>
            <w:tcW w:w="180" w:type="dxa"/>
            <w:vAlign w:val="bottom"/>
            <w:vMerge w:val="continue"/>
          </w:tcPr>
          <w:p>
            <w:pPr>
              <w:spacing w:after="0"/>
              <w:rPr>
                <w:sz w:val="6"/>
                <w:szCs w:val="6"/>
                <w:color w:val="auto"/>
              </w:rPr>
            </w:pPr>
          </w:p>
        </w:tc>
        <w:tc>
          <w:tcPr>
            <w:tcW w:w="3680" w:type="dxa"/>
            <w:vAlign w:val="bottom"/>
            <w:gridSpan w:val="2"/>
            <w:vMerge w:val="continue"/>
          </w:tcPr>
          <w:p>
            <w:pPr>
              <w:spacing w:after="0"/>
              <w:rPr>
                <w:sz w:val="6"/>
                <w:szCs w:val="6"/>
                <w:color w:val="auto"/>
              </w:rPr>
            </w:pP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8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4, 2024</w:t>
            </w:r>
          </w:p>
        </w:tc>
        <w:tc>
          <w:tcPr>
            <w:tcW w:w="0" w:type="dxa"/>
            <w:vAlign w:val="bottom"/>
          </w:tcPr>
          <w:p>
            <w:pPr>
              <w:spacing w:after="0"/>
              <w:rPr>
                <w:sz w:val="1"/>
                <w:szCs w:val="1"/>
                <w:color w:val="auto"/>
              </w:rPr>
            </w:pPr>
          </w:p>
        </w:tc>
      </w:tr>
      <w:tr>
        <w:trPr>
          <w:trHeight w:val="54"/>
        </w:trPr>
        <w:tc>
          <w:tcPr>
            <w:tcW w:w="28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Tony Aquila</w:t>
            </w:r>
          </w:p>
        </w:tc>
        <w:tc>
          <w:tcPr>
            <w:tcW w:w="1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4, 2024</w:t>
            </w:r>
          </w:p>
        </w:tc>
        <w:tc>
          <w:tcPr>
            <w:tcW w:w="0" w:type="dxa"/>
            <w:vAlign w:val="bottom"/>
          </w:tcPr>
          <w:p>
            <w:pPr>
              <w:spacing w:after="0"/>
              <w:rPr>
                <w:sz w:val="1"/>
                <w:szCs w:val="1"/>
                <w:color w:val="auto"/>
              </w:rPr>
            </w:pPr>
          </w:p>
        </w:tc>
      </w:tr>
      <w:tr>
        <w:trPr>
          <w:trHeight w:val="54"/>
        </w:trPr>
        <w:tc>
          <w:tcPr>
            <w:tcW w:w="28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Anthony Bay</w:t>
            </w:r>
          </w:p>
        </w:tc>
        <w:tc>
          <w:tcPr>
            <w:tcW w:w="1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4, 2024</w:t>
            </w:r>
          </w:p>
        </w:tc>
        <w:tc>
          <w:tcPr>
            <w:tcW w:w="0" w:type="dxa"/>
            <w:vAlign w:val="bottom"/>
          </w:tcPr>
          <w:p>
            <w:pPr>
              <w:spacing w:after="0"/>
              <w:rPr>
                <w:sz w:val="1"/>
                <w:szCs w:val="1"/>
                <w:color w:val="auto"/>
              </w:rPr>
            </w:pPr>
          </w:p>
        </w:tc>
      </w:tr>
      <w:tr>
        <w:trPr>
          <w:trHeight w:val="54"/>
        </w:trPr>
        <w:tc>
          <w:tcPr>
            <w:tcW w:w="28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Brenda Freeman</w:t>
            </w:r>
          </w:p>
        </w:tc>
        <w:tc>
          <w:tcPr>
            <w:tcW w:w="1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4, 2024</w:t>
            </w:r>
          </w:p>
        </w:tc>
        <w:tc>
          <w:tcPr>
            <w:tcW w:w="0" w:type="dxa"/>
            <w:vAlign w:val="bottom"/>
          </w:tcPr>
          <w:p>
            <w:pPr>
              <w:spacing w:after="0"/>
              <w:rPr>
                <w:sz w:val="1"/>
                <w:szCs w:val="1"/>
                <w:color w:val="auto"/>
              </w:rPr>
            </w:pPr>
          </w:p>
        </w:tc>
      </w:tr>
      <w:tr>
        <w:trPr>
          <w:trHeight w:val="54"/>
        </w:trPr>
        <w:tc>
          <w:tcPr>
            <w:tcW w:w="28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Olga Gonzalez</w:t>
            </w:r>
          </w:p>
        </w:tc>
        <w:tc>
          <w:tcPr>
            <w:tcW w:w="1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4, 2024</w:t>
            </w:r>
          </w:p>
        </w:tc>
        <w:tc>
          <w:tcPr>
            <w:tcW w:w="0" w:type="dxa"/>
            <w:vAlign w:val="bottom"/>
          </w:tcPr>
          <w:p>
            <w:pPr>
              <w:spacing w:after="0"/>
              <w:rPr>
                <w:sz w:val="1"/>
                <w:szCs w:val="1"/>
                <w:color w:val="auto"/>
              </w:rPr>
            </w:pPr>
          </w:p>
        </w:tc>
      </w:tr>
      <w:tr>
        <w:trPr>
          <w:trHeight w:val="54"/>
        </w:trPr>
        <w:tc>
          <w:tcPr>
            <w:tcW w:w="28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Scott Gordon</w:t>
            </w:r>
          </w:p>
        </w:tc>
        <w:tc>
          <w:tcPr>
            <w:tcW w:w="1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 Glen Ibbott</w:t>
            </w:r>
          </w:p>
        </w:tc>
        <w:tc>
          <w:tcPr>
            <w:tcW w:w="180" w:type="dxa"/>
            <w:vAlign w:val="bottom"/>
          </w:tcPr>
          <w:p>
            <w:pPr>
              <w:spacing w:after="0"/>
              <w:rPr>
                <w:sz w:val="24"/>
                <w:szCs w:val="24"/>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4, 2024</w:t>
            </w:r>
          </w:p>
        </w:tc>
        <w:tc>
          <w:tcPr>
            <w:tcW w:w="0" w:type="dxa"/>
            <w:vAlign w:val="bottom"/>
          </w:tcPr>
          <w:p>
            <w:pPr>
              <w:spacing w:after="0"/>
              <w:rPr>
                <w:sz w:val="1"/>
                <w:szCs w:val="1"/>
                <w:color w:val="auto"/>
              </w:rPr>
            </w:pPr>
          </w:p>
        </w:tc>
      </w:tr>
      <w:tr>
        <w:trPr>
          <w:trHeight w:val="54"/>
        </w:trPr>
        <w:tc>
          <w:tcPr>
            <w:tcW w:w="28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Glen Ibbott</w:t>
            </w:r>
          </w:p>
        </w:tc>
        <w:tc>
          <w:tcPr>
            <w:tcW w:w="1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*By:  /s/ Douglas Francis</w:t>
            </w:r>
          </w:p>
        </w:tc>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34290</wp:posOffset>
            </wp:positionV>
            <wp:extent cx="204025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60">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8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Name: Douglas Francis, Attorney-in-Fact</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9019"/>
          </w:cols>
          <w:pgMar w:left="1440" w:top="263" w:right="1440" w:bottom="704" w:gutter="0" w:footer="0" w:header="0"/>
        </w:sectPr>
      </w:pPr>
    </w:p>
    <w:bookmarkStart w:id="215" w:name="page216"/>
    <w:bookmarkEnd w:id="21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hereby consent to the use in this Post-Effective Amendment No. 6 to the Registration Statement (No. 333-261466) on Form S-1 of WM Technology, Inc. of our report dated March 16, 2023, relating to the consolidated financial statements, appearing in the Prospectus, which is part of this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our firm under the heading “Experts” in such Registration Statement.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Baker Tilly US,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consent to the use in this Post-Effective Amendment No. 6 to Registration Statement on Form S-1 (No. 333-261466) of WM Technology, Inc. (the “Company”) of our report dated May 24, 2024, relating to the consolidated financial statements of the Company as of and for the year ended December 31, 2023 (which report expresses an unqualified opinion and includes an explanatory paragraph relating a restatement of previously reported 2023 quarterly revenue and credit losses). We also consent to the reference to us under the heading “Experts” in such Registration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Moss Adams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BD3EE7B"/>
    <w:multiLevelType w:val="hybridMultilevel"/>
    <w:lvl w:ilvl="0">
      <w:lvlJc w:val="left"/>
      <w:lvlText w:val="%1"/>
      <w:numFmt w:val="decimal"/>
      <w:start w:val="41"/>
    </w:lvl>
  </w:abstractNum>
  <w:abstractNum w:abstractNumId="1">
    <w:nsid w:val="51D9C564"/>
    <w:multiLevelType w:val="hybridMultilevel"/>
    <w:lvl w:ilvl="0">
      <w:lvlJc w:val="left"/>
      <w:lvlText w:val="%1"/>
      <w:numFmt w:val="decimal"/>
      <w:start w:val="41"/>
    </w:lvl>
  </w:abstractNum>
  <w:abstractNum w:abstractNumId="2">
    <w:nsid w:val="613EFDC5"/>
    <w:multiLevelType w:val="hybridMultilevel"/>
    <w:lvl w:ilvl="0">
      <w:lvlJc w:val="left"/>
      <w:lvlText w:val="•"/>
      <w:numFmt w:val="bullet"/>
      <w:start w:val="1"/>
    </w:lvl>
  </w:abstractNum>
  <w:abstractNum w:abstractNumId="3">
    <w:nsid w:val="BF72B14"/>
    <w:multiLevelType w:val="hybridMultilevel"/>
    <w:lvl w:ilvl="0">
      <w:lvlJc w:val="left"/>
      <w:lvlText w:val="•"/>
      <w:numFmt w:val="bullet"/>
      <w:start w:val="1"/>
    </w:lvl>
  </w:abstractNum>
  <w:abstractNum w:abstractNumId="4">
    <w:nsid w:val="11447B73"/>
    <w:multiLevelType w:val="hybridMultilevel"/>
    <w:lvl w:ilvl="0">
      <w:lvlJc w:val="left"/>
      <w:lvlText w:val="•"/>
      <w:numFmt w:val="bullet"/>
      <w:start w:val="1"/>
    </w:lvl>
  </w:abstractNum>
  <w:abstractNum w:abstractNumId="5">
    <w:nsid w:val="42963E5A"/>
    <w:multiLevelType w:val="hybridMultilevel"/>
    <w:lvl w:ilvl="0">
      <w:lvlJc w:val="left"/>
      <w:lvlText w:val="•"/>
      <w:numFmt w:val="bullet"/>
      <w:start w:val="1"/>
    </w:lvl>
  </w:abstractNum>
  <w:abstractNum w:abstractNumId="6">
    <w:nsid w:val="A0382C5"/>
    <w:multiLevelType w:val="hybridMultilevel"/>
    <w:lvl w:ilvl="0">
      <w:lvlJc w:val="left"/>
      <w:lvlText w:val="•"/>
      <w:numFmt w:val="bullet"/>
      <w:start w:val="1"/>
    </w:lvl>
  </w:abstractNum>
  <w:abstractNum w:abstractNumId="7">
    <w:nsid w:val="8F2B15E"/>
    <w:multiLevelType w:val="hybridMultilevel"/>
    <w:lvl w:ilvl="0">
      <w:lvlJc w:val="left"/>
      <w:lvlText w:val="•"/>
      <w:numFmt w:val="bullet"/>
      <w:start w:val="1"/>
    </w:lvl>
  </w:abstractNum>
  <w:abstractNum w:abstractNumId="8">
    <w:nsid w:val="1A32234B"/>
    <w:multiLevelType w:val="hybridMultilevel"/>
    <w:lvl w:ilvl="0">
      <w:lvlJc w:val="left"/>
      <w:lvlText w:val="•"/>
      <w:numFmt w:val="bullet"/>
      <w:start w:val="1"/>
    </w:lvl>
  </w:abstractNum>
  <w:abstractNum w:abstractNumId="9">
    <w:nsid w:val="3B0FD379"/>
    <w:multiLevelType w:val="hybridMultilevel"/>
    <w:lvl w:ilvl="0">
      <w:lvlJc w:val="left"/>
      <w:lvlText w:val="•"/>
      <w:numFmt w:val="bullet"/>
      <w:start w:val="1"/>
    </w:lvl>
  </w:abstractNum>
  <w:abstractNum w:abstractNumId="10">
    <w:nsid w:val="68EB2F63"/>
    <w:multiLevelType w:val="hybridMultilevel"/>
    <w:lvl w:ilvl="0">
      <w:lvlJc w:val="left"/>
      <w:lvlText w:val="1"/>
      <w:numFmt w:val="bullet"/>
      <w:start w:val="1"/>
    </w:lvl>
  </w:abstractNum>
  <w:abstractNum w:abstractNumId="11">
    <w:nsid w:val="4962813B"/>
    <w:multiLevelType w:val="hybridMultilevel"/>
    <w:lvl w:ilvl="0">
      <w:lvlJc w:val="left"/>
      <w:lvlText w:val="•"/>
      <w:numFmt w:val="bullet"/>
      <w:start w:val="1"/>
    </w:lvl>
  </w:abstractNum>
  <w:abstractNum w:abstractNumId="12">
    <w:nsid w:val="60B6DF70"/>
    <w:multiLevelType w:val="hybridMultilevel"/>
    <w:lvl w:ilvl="0">
      <w:lvlJc w:val="left"/>
      <w:lvlText w:val="•"/>
      <w:numFmt w:val="bullet"/>
      <w:start w:val="1"/>
    </w:lvl>
  </w:abstractNum>
  <w:abstractNum w:abstractNumId="13">
    <w:nsid w:val="6A5EE64"/>
    <w:multiLevelType w:val="hybridMultilevel"/>
    <w:lvl w:ilvl="0">
      <w:lvlJc w:val="left"/>
      <w:lvlText w:val="•"/>
      <w:numFmt w:val="bullet"/>
      <w:start w:val="1"/>
    </w:lvl>
  </w:abstractNum>
  <w:abstractNum w:abstractNumId="14">
    <w:nsid w:val="14330624"/>
    <w:multiLevelType w:val="hybridMultilevel"/>
    <w:lvl w:ilvl="0">
      <w:lvlJc w:val="left"/>
      <w:lvlText w:val="•"/>
      <w:numFmt w:val="bullet"/>
      <w:start w:val="1"/>
    </w:lvl>
  </w:abstractNum>
  <w:abstractNum w:abstractNumId="15">
    <w:nsid w:val="7FFFCA11"/>
    <w:multiLevelType w:val="hybridMultilevel"/>
    <w:lvl w:ilvl="0">
      <w:lvlJc w:val="left"/>
      <w:lvlText w:val="•"/>
      <w:numFmt w:val="bullet"/>
      <w:start w:val="1"/>
    </w:lvl>
  </w:abstractNum>
  <w:abstractNum w:abstractNumId="16">
    <w:nsid w:val="1A27709E"/>
    <w:multiLevelType w:val="hybridMultilevel"/>
    <w:lvl w:ilvl="0">
      <w:lvlJc w:val="left"/>
      <w:lvlText w:val="•"/>
      <w:numFmt w:val="bullet"/>
      <w:start w:val="1"/>
    </w:lvl>
  </w:abstractNum>
  <w:abstractNum w:abstractNumId="17">
    <w:nsid w:val="71EA1109"/>
    <w:multiLevelType w:val="hybridMultilevel"/>
    <w:lvl w:ilvl="0">
      <w:lvlJc w:val="left"/>
      <w:lvlText w:val="•"/>
      <w:numFmt w:val="bullet"/>
      <w:start w:val="1"/>
    </w:lvl>
  </w:abstractNum>
  <w:abstractNum w:abstractNumId="18">
    <w:nsid w:val="100F59DC"/>
    <w:multiLevelType w:val="hybridMultilevel"/>
    <w:lvl w:ilvl="0">
      <w:lvlJc w:val="left"/>
      <w:lvlText w:val="•"/>
      <w:numFmt w:val="bullet"/>
      <w:start w:val="1"/>
    </w:lvl>
  </w:abstractNum>
  <w:abstractNum w:abstractNumId="19">
    <w:nsid w:val="7FB7E0AA"/>
    <w:multiLevelType w:val="hybridMultilevel"/>
    <w:lvl w:ilvl="0">
      <w:lvlJc w:val="left"/>
      <w:lvlText w:val="•"/>
      <w:numFmt w:val="bullet"/>
      <w:start w:val="1"/>
    </w:lvl>
  </w:abstractNum>
  <w:abstractNum w:abstractNumId="20">
    <w:nsid w:val="6EB5BD4"/>
    <w:multiLevelType w:val="hybridMultilevel"/>
    <w:lvl w:ilvl="0">
      <w:lvlJc w:val="left"/>
      <w:lvlText w:val="•"/>
      <w:numFmt w:val="bullet"/>
      <w:start w:val="1"/>
    </w:lvl>
  </w:abstractNum>
  <w:abstractNum w:abstractNumId="21">
    <w:nsid w:val="6F6DD9AC"/>
    <w:multiLevelType w:val="hybridMultilevel"/>
    <w:lvl w:ilvl="0">
      <w:lvlJc w:val="left"/>
      <w:lvlText w:val="•"/>
      <w:numFmt w:val="bullet"/>
      <w:start w:val="1"/>
    </w:lvl>
  </w:abstractNum>
  <w:abstractNum w:abstractNumId="22">
    <w:nsid w:val="94211F2"/>
    <w:multiLevelType w:val="hybridMultilevel"/>
    <w:lvl w:ilvl="0">
      <w:lvlJc w:val="left"/>
      <w:lvlText w:val="•"/>
      <w:numFmt w:val="bullet"/>
      <w:start w:val="1"/>
    </w:lvl>
  </w:abstractNum>
  <w:abstractNum w:abstractNumId="23">
    <w:nsid w:val="885E1B"/>
    <w:multiLevelType w:val="hybridMultilevel"/>
    <w:lvl w:ilvl="0">
      <w:lvlJc w:val="left"/>
      <w:lvlText w:val="•"/>
      <w:numFmt w:val="bullet"/>
      <w:start w:val="1"/>
    </w:lvl>
  </w:abstractNum>
  <w:abstractNum w:abstractNumId="24">
    <w:nsid w:val="76272110"/>
    <w:multiLevelType w:val="hybridMultilevel"/>
    <w:lvl w:ilvl="0">
      <w:lvlJc w:val="left"/>
      <w:lvlText w:val="•"/>
      <w:numFmt w:val="bullet"/>
      <w:start w:val="1"/>
    </w:lvl>
  </w:abstractNum>
  <w:abstractNum w:abstractNumId="25">
    <w:nsid w:val="4C04A8AF"/>
    <w:multiLevelType w:val="hybridMultilevel"/>
    <w:lvl w:ilvl="0">
      <w:lvlJc w:val="left"/>
      <w:lvlText w:val="(%1)"/>
      <w:numFmt w:val="decimal"/>
      <w:start w:val="1"/>
    </w:lvl>
  </w:abstractNum>
  <w:abstractNum w:abstractNumId="26">
    <w:nsid w:val="1716703B"/>
    <w:multiLevelType w:val="hybridMultilevel"/>
    <w:lvl w:ilvl="0">
      <w:lvlJc w:val="left"/>
      <w:lvlText w:val="(%1)"/>
      <w:numFmt w:val="decimal"/>
      <w:start w:val="1"/>
    </w:lvl>
  </w:abstractNum>
  <w:abstractNum w:abstractNumId="27">
    <w:nsid w:val="14E17E33"/>
    <w:multiLevelType w:val="hybridMultilevel"/>
    <w:lvl w:ilvl="0">
      <w:lvlJc w:val="left"/>
      <w:lvlText w:val="•"/>
      <w:numFmt w:val="bullet"/>
      <w:start w:val="1"/>
    </w:lvl>
  </w:abstractNum>
  <w:abstractNum w:abstractNumId="28">
    <w:nsid w:val="3222E7CD"/>
    <w:multiLevelType w:val="hybridMultilevel"/>
    <w:lvl w:ilvl="0">
      <w:lvlJc w:val="left"/>
      <w:lvlText w:val="%1."/>
      <w:numFmt w:val="decimal"/>
      <w:start w:val="1"/>
    </w:lvl>
  </w:abstractNum>
  <w:abstractNum w:abstractNumId="29">
    <w:nsid w:val="74DE0EE3"/>
    <w:multiLevelType w:val="hybridMultilevel"/>
    <w:lvl w:ilvl="0">
      <w:lvlJc w:val="left"/>
      <w:lvlText w:val="%1."/>
      <w:numFmt w:val="decimal"/>
      <w:start w:val="1"/>
    </w:lvl>
  </w:abstractNum>
  <w:abstractNum w:abstractNumId="30">
    <w:nsid w:val="68EBC550"/>
    <w:multiLevelType w:val="hybridMultilevel"/>
    <w:lvl w:ilvl="0">
      <w:lvlJc w:val="left"/>
      <w:lvlText w:val="%1."/>
      <w:numFmt w:val="decimal"/>
      <w:start w:val="1"/>
    </w:lvl>
  </w:abstractNum>
  <w:abstractNum w:abstractNumId="31">
    <w:nsid w:val="2DF6D648"/>
    <w:multiLevelType w:val="hybridMultilevel"/>
    <w:lvl w:ilvl="0">
      <w:lvlJc w:val="left"/>
      <w:lvlText w:val="%1."/>
      <w:numFmt w:val="decimal"/>
      <w:start w:val="1"/>
    </w:lvl>
  </w:abstractNum>
  <w:abstractNum w:abstractNumId="32">
    <w:nsid w:val="46B7D447"/>
    <w:multiLevelType w:val="hybridMultilevel"/>
    <w:lvl w:ilvl="0">
      <w:lvlJc w:val="left"/>
      <w:lvlText w:val="%1."/>
      <w:numFmt w:val="decimal"/>
      <w:start w:val="1"/>
    </w:lvl>
  </w:abstractNum>
  <w:abstractNum w:abstractNumId="33">
    <w:nsid w:val="4A2AC315"/>
    <w:multiLevelType w:val="hybridMultilevel"/>
    <w:lvl w:ilvl="0">
      <w:lvlJc w:val="left"/>
      <w:lvlText w:val="%1."/>
      <w:numFmt w:val="decimal"/>
      <w:start w:val="1"/>
    </w:lvl>
  </w:abstractNum>
  <w:abstractNum w:abstractNumId="34">
    <w:nsid w:val="39EE015C"/>
    <w:multiLevelType w:val="hybridMultilevel"/>
    <w:lvl w:ilvl="0">
      <w:lvlJc w:val="left"/>
      <w:lvlText w:val="•"/>
      <w:numFmt w:val="bullet"/>
      <w:start w:val="1"/>
    </w:lvl>
  </w:abstractNum>
  <w:abstractNum w:abstractNumId="35">
    <w:nsid w:val="57FC4FBB"/>
    <w:multiLevelType w:val="hybridMultilevel"/>
    <w:lvl w:ilvl="0">
      <w:lvlJc w:val="left"/>
      <w:lvlText w:val="2"/>
      <w:numFmt w:val="bullet"/>
      <w:start w:val="1"/>
    </w:lvl>
  </w:abstractNum>
  <w:abstractNum w:abstractNumId="36">
    <w:nsid w:val="CC1016F"/>
    <w:multiLevelType w:val="hybridMultilevel"/>
    <w:lvl w:ilvl="0">
      <w:lvlJc w:val="left"/>
      <w:lvlText w:val="3"/>
      <w:numFmt w:val="bullet"/>
      <w:start w:val="1"/>
    </w:lvl>
  </w:abstractNum>
  <w:abstractNum w:abstractNumId="37">
    <w:nsid w:val="43F18422"/>
    <w:multiLevelType w:val="hybridMultilevel"/>
    <w:lvl w:ilvl="0">
      <w:lvlJc w:val="left"/>
      <w:lvlText w:val="•"/>
      <w:numFmt w:val="bullet"/>
      <w:start w:val="1"/>
    </w:lvl>
  </w:abstractNum>
  <w:abstractNum w:abstractNumId="38">
    <w:nsid w:val="60EF0119"/>
    <w:multiLevelType w:val="hybridMultilevel"/>
    <w:lvl w:ilvl="0">
      <w:lvlJc w:val="left"/>
      <w:lvlText w:val="•"/>
      <w:numFmt w:val="bullet"/>
      <w:start w:val="1"/>
    </w:lvl>
  </w:abstractNum>
  <w:abstractNum w:abstractNumId="39">
    <w:nsid w:val="26F324BA"/>
    <w:multiLevelType w:val="hybridMultilevel"/>
    <w:lvl w:ilvl="0">
      <w:lvlJc w:val="left"/>
      <w:lvlText w:val="•"/>
      <w:numFmt w:val="bullet"/>
      <w:start w:val="1"/>
    </w:lvl>
    <w:lvl w:ilvl="1">
      <w:lvlJc w:val="left"/>
      <w:lvlText w:val="○"/>
      <w:numFmt w:val="bullet"/>
      <w:start w:val="1"/>
    </w:lvl>
  </w:abstractNum>
  <w:abstractNum w:abstractNumId="40">
    <w:nsid w:val="7F01579B"/>
    <w:multiLevelType w:val="hybridMultilevel"/>
    <w:lvl w:ilvl="0">
      <w:lvlJc w:val="left"/>
      <w:lvlText w:val="•"/>
      <w:numFmt w:val="bullet"/>
      <w:start w:val="1"/>
    </w:lvl>
  </w:abstractNum>
  <w:abstractNum w:abstractNumId="41">
    <w:nsid w:val="49DA307D"/>
    <w:multiLevelType w:val="hybridMultilevel"/>
    <w:lvl w:ilvl="0">
      <w:lvlJc w:val="left"/>
      <w:lvlText w:val="•"/>
      <w:numFmt w:val="bullet"/>
      <w:start w:val="1"/>
    </w:lvl>
  </w:abstractNum>
  <w:abstractNum w:abstractNumId="42">
    <w:nsid w:val="7055A5F5"/>
    <w:multiLevelType w:val="hybridMultilevel"/>
    <w:lvl w:ilvl="0">
      <w:lvlJc w:val="left"/>
      <w:lvlText w:val="4"/>
      <w:numFmt w:val="bullet"/>
      <w:start w:val="1"/>
    </w:lvl>
  </w:abstractNum>
  <w:abstractNum w:abstractNumId="43">
    <w:nsid w:val="5FB8370B"/>
    <w:multiLevelType w:val="hybridMultilevel"/>
    <w:lvl w:ilvl="0">
      <w:lvlJc w:val="left"/>
      <w:lvlText w:val="5"/>
      <w:numFmt w:val="bullet"/>
      <w:start w:val="1"/>
    </w:lvl>
  </w:abstractNum>
  <w:abstractNum w:abstractNumId="44">
    <w:nsid w:val="50801EE1"/>
    <w:multiLevelType w:val="hybridMultilevel"/>
    <w:lvl w:ilvl="0">
      <w:lvlJc w:val="left"/>
      <w:lvlText w:val="•"/>
      <w:numFmt w:val="bullet"/>
      <w:start w:val="1"/>
    </w:lvl>
  </w:abstractNum>
  <w:abstractNum w:abstractNumId="45">
    <w:nsid w:val="488AC1A"/>
    <w:multiLevelType w:val="hybridMultilevel"/>
    <w:lvl w:ilvl="0">
      <w:lvlJc w:val="left"/>
      <w:lvlText w:val="•"/>
      <w:numFmt w:val="bullet"/>
      <w:start w:val="1"/>
    </w:lvl>
  </w:abstractNum>
  <w:abstractNum w:abstractNumId="46">
    <w:nsid w:val="5FB8011C"/>
    <w:multiLevelType w:val="hybridMultilevel"/>
    <w:lvl w:ilvl="0">
      <w:lvlJc w:val="left"/>
      <w:lvlText w:val="•"/>
      <w:numFmt w:val="bullet"/>
      <w:start w:val="1"/>
    </w:lvl>
  </w:abstractNum>
  <w:abstractNum w:abstractNumId="47">
    <w:nsid w:val="6AA78F7F"/>
    <w:multiLevelType w:val="hybridMultilevel"/>
    <w:lvl w:ilvl="0">
      <w:lvlJc w:val="left"/>
      <w:lvlText w:val="*"/>
      <w:numFmt w:val="bullet"/>
      <w:start w:val="1"/>
    </w:lvl>
  </w:abstractNum>
  <w:abstractNum w:abstractNumId="48">
    <w:nsid w:val="7672BD23"/>
    <w:multiLevelType w:val="hybridMultilevel"/>
    <w:lvl w:ilvl="0">
      <w:lvlJc w:val="left"/>
      <w:lvlText w:val="**"/>
      <w:numFmt w:val="bullet"/>
      <w:start w:val="1"/>
    </w:lvl>
  </w:abstractNum>
  <w:abstractNum w:abstractNumId="49">
    <w:nsid w:val="6FC75AF8"/>
    <w:multiLevelType w:val="hybridMultilevel"/>
    <w:lvl w:ilvl="0">
      <w:lvlJc w:val="left"/>
      <w:lvlText w:val="***"/>
      <w:numFmt w:val="bullet"/>
      <w:start w:val="1"/>
    </w:lvl>
  </w:abstractNum>
  <w:abstractNum w:abstractNumId="50">
    <w:nsid w:val="6A5F7029"/>
    <w:multiLevelType w:val="hybridMultilevel"/>
    <w:lvl w:ilvl="0">
      <w:lvlJc w:val="left"/>
      <w:lvlText w:val="•"/>
      <w:numFmt w:val="bullet"/>
      <w:start w:val="1"/>
    </w:lvl>
  </w:abstractNum>
  <w:abstractNum w:abstractNumId="51">
    <w:nsid w:val="7D5E18F8"/>
    <w:multiLevelType w:val="hybridMultilevel"/>
    <w:lvl w:ilvl="0">
      <w:lvlJc w:val="left"/>
      <w:lvlText w:val="•"/>
      <w:numFmt w:val="bullet"/>
      <w:start w:val="1"/>
    </w:lvl>
  </w:abstractNum>
  <w:abstractNum w:abstractNumId="52">
    <w:nsid w:val="5F3534A4"/>
    <w:multiLevelType w:val="hybridMultilevel"/>
    <w:lvl w:ilvl="0">
      <w:lvlJc w:val="left"/>
      <w:lvlText w:val="•"/>
      <w:numFmt w:val="bullet"/>
      <w:start w:val="1"/>
    </w:lvl>
  </w:abstractNum>
  <w:abstractNum w:abstractNumId="53">
    <w:nsid w:val="73A1821B"/>
    <w:multiLevelType w:val="hybridMultilevel"/>
    <w:lvl w:ilvl="0">
      <w:lvlJc w:val="left"/>
      <w:lvlText w:val="•"/>
      <w:numFmt w:val="bullet"/>
      <w:start w:val="1"/>
    </w:lvl>
  </w:abstractNum>
  <w:abstractNum w:abstractNumId="54">
    <w:nsid w:val="7DE67713"/>
    <w:multiLevelType w:val="hybridMultilevel"/>
    <w:lvl w:ilvl="0">
      <w:lvlJc w:val="left"/>
      <w:lvlText w:val="•"/>
      <w:numFmt w:val="bullet"/>
      <w:start w:val="1"/>
    </w:lvl>
  </w:abstractNum>
  <w:abstractNum w:abstractNumId="55">
    <w:nsid w:val="555C55B5"/>
    <w:multiLevelType w:val="hybridMultilevel"/>
    <w:lvl w:ilvl="0">
      <w:lvlJc w:val="left"/>
      <w:lvlText w:val="•"/>
      <w:numFmt w:val="bullet"/>
      <w:start w:val="1"/>
    </w:lvl>
  </w:abstractNum>
  <w:abstractNum w:abstractNumId="56">
    <w:nsid w:val="3FA62ACA"/>
    <w:multiLevelType w:val="hybridMultilevel"/>
    <w:lvl w:ilvl="0">
      <w:lvlJc w:val="left"/>
      <w:lvlText w:val="(%1)"/>
      <w:numFmt w:val="decimal"/>
    </w:lvl>
    <w:lvl w:ilvl="1">
      <w:lvlJc w:val="left"/>
      <w:lvlText w:val="•"/>
      <w:numFmt w:val="bullet"/>
      <w:start w:val="1"/>
    </w:lvl>
  </w:abstractNum>
  <w:abstractNum w:abstractNumId="57">
    <w:nsid w:val="14FCE74E"/>
    <w:multiLevelType w:val="hybridMultilevel"/>
    <w:lvl w:ilvl="0">
      <w:lvlJc w:val="left"/>
      <w:lvlText w:val="•"/>
      <w:numFmt w:val="bullet"/>
      <w:start w:val="1"/>
    </w:lvl>
  </w:abstractNum>
  <w:abstractNum w:abstractNumId="58">
    <w:nsid w:val="6A3DD3E8"/>
    <w:multiLevelType w:val="hybridMultilevel"/>
    <w:lvl w:ilvl="0">
      <w:lvlJc w:val="left"/>
      <w:lvlText w:val="•"/>
      <w:numFmt w:val="bullet"/>
      <w:start w:val="1"/>
    </w:lvl>
  </w:abstractNum>
  <w:abstractNum w:abstractNumId="59">
    <w:nsid w:val="71C91298"/>
    <w:multiLevelType w:val="hybridMultilevel"/>
    <w:lvl w:ilvl="0">
      <w:lvlJc w:val="left"/>
      <w:lvlText w:val="•"/>
      <w:numFmt w:val="bullet"/>
      <w:start w:val="1"/>
    </w:lvl>
  </w:abstractNum>
  <w:abstractNum w:abstractNumId="60">
    <w:nsid w:val="9DAF632"/>
    <w:multiLevelType w:val="hybridMultilevel"/>
    <w:lvl w:ilvl="0">
      <w:lvlJc w:val="left"/>
      <w:lvlText w:val="•"/>
      <w:numFmt w:val="bullet"/>
      <w:start w:val="1"/>
    </w:lvl>
  </w:abstractNum>
  <w:abstractNum w:abstractNumId="61">
    <w:nsid w:val="53299938"/>
    <w:multiLevelType w:val="hybridMultilevel"/>
    <w:lvl w:ilvl="0">
      <w:lvlJc w:val="left"/>
      <w:lvlText w:val="•"/>
      <w:numFmt w:val="bullet"/>
      <w:start w:val="1"/>
    </w:lvl>
  </w:abstractNum>
  <w:abstractNum w:abstractNumId="62">
    <w:nsid w:val="1FBFE8E0"/>
    <w:multiLevelType w:val="hybridMultilevel"/>
    <w:lvl w:ilvl="0">
      <w:lvlJc w:val="left"/>
      <w:lvlText w:val="(%1)"/>
      <w:numFmt w:val="decimal"/>
      <w:start w:val="1"/>
    </w:lvl>
  </w:abstractNum>
  <w:abstractNum w:abstractNumId="63">
    <w:nsid w:val="5092CA79"/>
    <w:multiLevelType w:val="hybridMultilevel"/>
    <w:lvl w:ilvl="0">
      <w:lvlJc w:val="left"/>
      <w:lvlText w:val="(%1)"/>
      <w:numFmt w:val="decimal"/>
      <w:start w:val="1"/>
    </w:lvl>
  </w:abstractNum>
  <w:abstractNum w:abstractNumId="64">
    <w:nsid w:val="1D545C4D"/>
    <w:multiLevelType w:val="hybridMultilevel"/>
    <w:lvl w:ilvl="0">
      <w:lvlJc w:val="left"/>
      <w:lvlText w:val="(%1)"/>
      <w:numFmt w:val="decimal"/>
      <w:start w:val="1"/>
    </w:lvl>
  </w:abstractNum>
  <w:abstractNum w:abstractNumId="65">
    <w:nsid w:val="59ADEA3D"/>
    <w:multiLevelType w:val="hybridMultilevel"/>
    <w:lvl w:ilvl="0">
      <w:lvlJc w:val="left"/>
      <w:lvlText w:val="•"/>
      <w:numFmt w:val="bullet"/>
      <w:start w:val="1"/>
    </w:lvl>
  </w:abstractNum>
  <w:abstractNum w:abstractNumId="66">
    <w:nsid w:val="288F1A34"/>
    <w:multiLevelType w:val="hybridMultilevel"/>
    <w:lvl w:ilvl="0">
      <w:lvlJc w:val="left"/>
      <w:lvlText w:val="(%1)"/>
      <w:numFmt w:val="decimal"/>
      <w:start w:val="1"/>
    </w:lvl>
  </w:abstractNum>
  <w:abstractNum w:abstractNumId="67">
    <w:nsid w:val="2A155DBC"/>
    <w:multiLevelType w:val="hybridMultilevel"/>
    <w:lvl w:ilvl="0">
      <w:lvlJc w:val="left"/>
      <w:lvlText w:val="(%1)"/>
      <w:numFmt w:val="decimal"/>
      <w:start w:val="1"/>
    </w:lvl>
    <w:lvl w:ilvl="1">
      <w:lvlJc w:val="left"/>
      <w:lvlText w:val="(%2)"/>
      <w:numFmt w:val="lowerRoman"/>
      <w:start w:val="2"/>
    </w:lvl>
  </w:abstractNum>
  <w:abstractNum w:abstractNumId="68">
    <w:nsid w:val="1D9F6E5F"/>
    <w:multiLevelType w:val="hybridMultilevel"/>
    <w:lvl w:ilvl="0">
      <w:lvlJc w:val="left"/>
      <w:lvlText w:val="(%1)"/>
      <w:numFmt w:val="decimal"/>
      <w:start w:val="1"/>
    </w:lvl>
  </w:abstractNum>
  <w:abstractNum w:abstractNumId="69">
    <w:nsid w:val="97E1B4E"/>
    <w:multiLevelType w:val="hybridMultilevel"/>
    <w:lvl w:ilvl="0">
      <w:lvlJc w:val="left"/>
      <w:lvlText w:val="(%1)"/>
      <w:numFmt w:val="lowerRoman"/>
      <w:start w:val="1"/>
    </w:lvl>
  </w:abstractNum>
  <w:abstractNum w:abstractNumId="70">
    <w:nsid w:val="51088277"/>
    <w:multiLevelType w:val="hybridMultilevel"/>
    <w:lvl w:ilvl="0">
      <w:lvlJc w:val="left"/>
      <w:lvlText w:val="(%1)"/>
      <w:numFmt w:val="lowerRoman"/>
      <w:start w:val="4"/>
    </w:lvl>
  </w:abstractNum>
  <w:abstractNum w:abstractNumId="71">
    <w:nsid w:val="1CA0C5FA"/>
    <w:multiLevelType w:val="hybridMultilevel"/>
    <w:lvl w:ilvl="0">
      <w:lvlJc w:val="left"/>
      <w:lvlText w:val="(%1)"/>
      <w:numFmt w:val="decimal"/>
      <w:start w:val="1"/>
    </w:lvl>
  </w:abstractNum>
  <w:abstractNum w:abstractNumId="72">
    <w:nsid w:val="53584BCB"/>
    <w:multiLevelType w:val="hybridMultilevel"/>
    <w:lvl w:ilvl="0">
      <w:lvlJc w:val="left"/>
      <w:lvlText w:val="(%1)"/>
      <w:numFmt w:val="decimal"/>
      <w:start w:val="1"/>
    </w:lvl>
  </w:abstractNum>
  <w:abstractNum w:abstractNumId="73">
    <w:nsid w:val="415E286C"/>
    <w:multiLevelType w:val="hybridMultilevel"/>
    <w:lvl w:ilvl="0">
      <w:lvlJc w:val="left"/>
      <w:lvlText w:val="(%1)"/>
      <w:numFmt w:val="decimal"/>
      <w:start w:val="4"/>
    </w:lvl>
  </w:abstractNum>
  <w:abstractNum w:abstractNumId="74">
    <w:nsid w:val="7C58FD05"/>
    <w:multiLevelType w:val="hybridMultilevel"/>
    <w:lvl w:ilvl="0">
      <w:lvlJc w:val="left"/>
      <w:lvlText w:val="(%1)"/>
      <w:numFmt w:val="decimal"/>
      <w:start w:val="1"/>
    </w:lvl>
  </w:abstractNum>
  <w:abstractNum w:abstractNumId="75">
    <w:nsid w:val="23D86AAC"/>
    <w:multiLevelType w:val="hybridMultilevel"/>
    <w:lvl w:ilvl="0">
      <w:lvlJc w:val="left"/>
      <w:lvlText w:val="(%1)"/>
      <w:numFmt w:val="decimal"/>
      <w:start w:val="1"/>
    </w:lvl>
  </w:abstractNum>
  <w:abstractNum w:abstractNumId="76">
    <w:nsid w:val="45E6D486"/>
    <w:multiLevelType w:val="hybridMultilevel"/>
    <w:lvl w:ilvl="0">
      <w:lvlJc w:val="left"/>
      <w:lvlText w:val="(%1)"/>
      <w:numFmt w:val="lowerRoman"/>
      <w:start w:val="1"/>
    </w:lvl>
  </w:abstractNum>
  <w:abstractNum w:abstractNumId="77">
    <w:nsid w:val="5C10FE21"/>
    <w:multiLevelType w:val="hybridMultilevel"/>
    <w:lvl w:ilvl="0">
      <w:lvlJc w:val="left"/>
      <w:lvlText w:val="•"/>
      <w:numFmt w:val="bullet"/>
      <w:start w:val="1"/>
    </w:lvl>
  </w:abstractNum>
  <w:abstractNum w:abstractNumId="78">
    <w:nsid w:val="E7FFA2B"/>
    <w:multiLevelType w:val="hybridMultilevel"/>
    <w:lvl w:ilvl="0">
      <w:lvlJc w:val="left"/>
      <w:lvlText w:val="•"/>
      <w:numFmt w:val="bullet"/>
      <w:start w:val="1"/>
    </w:lvl>
  </w:abstractNum>
  <w:abstractNum w:abstractNumId="79">
    <w:nsid w:val="3C5991AA"/>
    <w:multiLevelType w:val="hybridMultilevel"/>
    <w:lvl w:ilvl="0">
      <w:lvlJc w:val="left"/>
      <w:lvlText w:val="*"/>
      <w:numFmt w:val="bullet"/>
      <w:start w:val="1"/>
    </w:lvl>
  </w:abstractNum>
  <w:abstractNum w:abstractNumId="80">
    <w:nsid w:val="4BD8591A"/>
    <w:multiLevelType w:val="hybridMultilevel"/>
    <w:lvl w:ilvl="0">
      <w:lvlJc w:val="left"/>
      <w:lvlText w:val="(%1)"/>
      <w:numFmt w:val="decimal"/>
      <w:start w:val="1"/>
    </w:lvl>
  </w:abstractNum>
  <w:abstractNum w:abstractNumId="81">
    <w:nsid w:val="78DF6A55"/>
    <w:multiLevelType w:val="hybridMultilevel"/>
    <w:lvl w:ilvl="0">
      <w:lvlJc w:val="left"/>
      <w:lvlText w:val="(%1)"/>
      <w:numFmt w:val="decimal"/>
      <w:start w:val="2"/>
    </w:lvl>
  </w:abstractNum>
  <w:abstractNum w:abstractNumId="82">
    <w:nsid w:val="39B7AAA2"/>
    <w:multiLevelType w:val="hybridMultilevel"/>
    <w:lvl w:ilvl="0">
      <w:lvlJc w:val="left"/>
      <w:lvlText w:val="(%1)"/>
      <w:numFmt w:val="lowerRoman"/>
      <w:start w:val="2"/>
    </w:lvl>
  </w:abstractNum>
  <w:abstractNum w:abstractNumId="83">
    <w:nsid w:val="2B0D8DBE"/>
    <w:multiLevelType w:val="hybridMultilevel"/>
    <w:lvl w:ilvl="0">
      <w:lvlJc w:val="left"/>
      <w:lvlText w:val="*"/>
      <w:numFmt w:val="bullet"/>
      <w:start w:val="1"/>
    </w:lvl>
  </w:abstractNum>
  <w:abstractNum w:abstractNumId="84">
    <w:nsid w:val="6C80EC70"/>
    <w:multiLevelType w:val="hybridMultilevel"/>
    <w:lvl w:ilvl="0">
      <w:lvlJc w:val="left"/>
      <w:lvlText w:val="(%1)"/>
      <w:numFmt w:val="decimal"/>
      <w:start w:val="1"/>
    </w:lvl>
  </w:abstractNum>
  <w:abstractNum w:abstractNumId="85">
    <w:nsid w:val="379E21B5"/>
    <w:multiLevelType w:val="hybridMultilevel"/>
    <w:lvl w:ilvl="0">
      <w:lvlJc w:val="left"/>
      <w:lvlText w:val="(%1)"/>
      <w:numFmt w:val="lowerRoman"/>
      <w:start w:val="10"/>
    </w:lvl>
  </w:abstractNum>
  <w:abstractNum w:abstractNumId="86">
    <w:nsid w:val="69E373"/>
    <w:multiLevelType w:val="hybridMultilevel"/>
    <w:lvl w:ilvl="0">
      <w:lvlJc w:val="left"/>
      <w:lvlText w:val="•"/>
      <w:numFmt w:val="bullet"/>
      <w:start w:val="1"/>
    </w:lvl>
  </w:abstractNum>
  <w:abstractNum w:abstractNumId="87">
    <w:nsid w:val="2C27173B"/>
    <w:multiLevelType w:val="hybridMultilevel"/>
    <w:lvl w:ilvl="0">
      <w:lvlJc w:val="left"/>
      <w:lvlText w:val="(%1)"/>
      <w:numFmt w:val="decimal"/>
      <w:start w:val="1"/>
    </w:lvl>
  </w:abstractNum>
  <w:abstractNum w:abstractNumId="88">
    <w:nsid w:val="4C9B0904"/>
    <w:multiLevelType w:val="hybridMultilevel"/>
    <w:lvl w:ilvl="0">
      <w:lvlJc w:val="left"/>
      <w:lvlText w:val="•"/>
      <w:numFmt w:val="bullet"/>
      <w:start w:val="1"/>
    </w:lvl>
  </w:abstractNum>
  <w:abstractNum w:abstractNumId="89">
    <w:nsid w:val="6AA7B75C"/>
    <w:multiLevelType w:val="hybridMultilevel"/>
    <w:lvl w:ilvl="0">
      <w:lvlJc w:val="left"/>
      <w:lvlText w:val="•"/>
      <w:numFmt w:val="bullet"/>
      <w:start w:val="1"/>
    </w:lvl>
  </w:abstractNum>
  <w:abstractNum w:abstractNumId="90">
    <w:nsid w:val="1DF029D3"/>
    <w:multiLevelType w:val="hybridMultilevel"/>
    <w:lvl w:ilvl="0">
      <w:lvlJc w:val="left"/>
      <w:lvlText w:val="•"/>
      <w:numFmt w:val="bullet"/>
      <w:start w:val="1"/>
    </w:lvl>
  </w:abstractNum>
  <w:abstractNum w:abstractNumId="91">
    <w:nsid w:val="5675FF36"/>
    <w:multiLevelType w:val="hybridMultilevel"/>
    <w:lvl w:ilvl="0">
      <w:lvlJc w:val="left"/>
      <w:lvlText w:val="•"/>
      <w:numFmt w:val="bullet"/>
      <w:start w:val="1"/>
    </w:lvl>
  </w:abstractNum>
  <w:abstractNum w:abstractNumId="92">
    <w:nsid w:val="3DD15094"/>
    <w:multiLevelType w:val="hybridMultilevel"/>
    <w:lvl w:ilvl="0">
      <w:lvlJc w:val="left"/>
      <w:lvlText w:val="•"/>
      <w:numFmt w:val="bullet"/>
      <w:start w:val="1"/>
    </w:lvl>
  </w:abstractNum>
  <w:abstractNum w:abstractNumId="93">
    <w:nsid w:val="3DB012B3"/>
    <w:multiLevelType w:val="hybridMultilevel"/>
    <w:lvl w:ilvl="0">
      <w:lvlJc w:val="left"/>
      <w:lvlText w:val="(%1)"/>
      <w:numFmt w:val="decimal"/>
      <w:start w:val="2"/>
    </w:lvl>
  </w:abstractNum>
  <w:abstractNum w:abstractNumId="94">
    <w:nsid w:val="2708C9AF"/>
    <w:multiLevelType w:val="hybridMultilevel"/>
    <w:lvl w:ilvl="0">
      <w:lvlJc w:val="left"/>
      <w:lvlText w:val="•"/>
      <w:numFmt w:val="bullet"/>
      <w:start w:val="1"/>
    </w:lvl>
  </w:abstractNum>
  <w:abstractNum w:abstractNumId="95">
    <w:nsid w:val="5B25ACE2"/>
    <w:multiLevelType w:val="hybridMultilevel"/>
    <w:lvl w:ilvl="0">
      <w:lvlJc w:val="left"/>
      <w:lvlText w:val="%1."/>
      <w:numFmt w:val="decimal"/>
      <w:start w:val="1"/>
    </w:lvl>
  </w:abstractNum>
  <w:abstractNum w:abstractNumId="96">
    <w:nsid w:val="175DFCF0"/>
    <w:multiLevelType w:val="hybridMultilevel"/>
    <w:lvl w:ilvl="0">
      <w:lvlJc w:val="left"/>
      <w:lvlText w:val="-"/>
      <w:numFmt w:val="bullet"/>
      <w:start w:val="1"/>
    </w:lvl>
  </w:abstractNum>
  <w:abstractNum w:abstractNumId="97">
    <w:nsid w:val="4F97E3E4"/>
    <w:multiLevelType w:val="hybridMultilevel"/>
    <w:lvl w:ilvl="0">
      <w:lvlJc w:val="left"/>
      <w:lvlText w:val="%1."/>
      <w:numFmt w:val="decimal"/>
      <w:start w:val="1"/>
    </w:lvl>
  </w:abstractNum>
  <w:abstractNum w:abstractNumId="98">
    <w:nsid w:val="53B0A9E"/>
    <w:multiLevelType w:val="hybridMultilevel"/>
    <w:lvl w:ilvl="0">
      <w:lvlJc w:val="left"/>
      <w:lvlText w:val="%1."/>
      <w:numFmt w:val="decimal"/>
      <w:start w:val="1"/>
    </w:lvl>
  </w:abstractNum>
  <w:abstractNum w:abstractNumId="99">
    <w:nsid w:val="34FD6B4F"/>
    <w:multiLevelType w:val="hybridMultilevel"/>
    <w:lvl w:ilvl="0">
      <w:lvlJc w:val="left"/>
      <w:lvlText w:val="%1."/>
      <w:numFmt w:val="decimal"/>
      <w:start w:val="2"/>
    </w:lvl>
  </w:abstractNum>
  <w:abstractNum w:abstractNumId="100">
    <w:nsid w:val="5915FF32"/>
    <w:multiLevelType w:val="hybridMultilevel"/>
    <w:lvl w:ilvl="0">
      <w:lvlJc w:val="left"/>
      <w:lvlText w:val="1"/>
      <w:numFmt w:val="bullet"/>
      <w:start w:val="1"/>
    </w:lvl>
  </w:abstractNum>
  <w:abstractNum w:abstractNumId="101">
    <w:nsid w:val="56438D15"/>
    <w:multiLevelType w:val="hybridMultilevel"/>
    <w:lvl w:ilvl="0">
      <w:lvlJc w:val="left"/>
      <w:lvlText w:val="%1."/>
      <w:numFmt w:val="decimal"/>
      <w:start w:val="3"/>
    </w:lvl>
  </w:abstractNum>
  <w:abstractNum w:abstractNumId="102">
    <w:nsid w:val="519E3149"/>
    <w:multiLevelType w:val="hybridMultilevel"/>
    <w:lvl w:ilvl="0">
      <w:lvlJc w:val="left"/>
      <w:lvlText w:val="•"/>
      <w:numFmt w:val="bullet"/>
      <w:start w:val="1"/>
    </w:lvl>
  </w:abstractNum>
  <w:abstractNum w:abstractNumId="103">
    <w:nsid w:val="2C6E4AFD"/>
    <w:multiLevelType w:val="hybridMultilevel"/>
    <w:lvl w:ilvl="0">
      <w:lvlJc w:val="left"/>
      <w:lvlText w:val="•"/>
      <w:numFmt w:val="bullet"/>
      <w:start w:val="1"/>
    </w:lvl>
  </w:abstractNum>
  <w:abstractNum w:abstractNumId="104">
    <w:nsid w:val="17A1B582"/>
    <w:multiLevelType w:val="hybridMultilevel"/>
    <w:lvl w:ilvl="0">
      <w:lvlJc w:val="left"/>
      <w:lvlText w:val="•"/>
      <w:numFmt w:val="bullet"/>
      <w:start w:val="1"/>
    </w:lvl>
    <w:lvl w:ilvl="1">
      <w:lvlJc w:val="left"/>
      <w:lvlText w:val="○"/>
      <w:numFmt w:val="bullet"/>
      <w:start w:val="1"/>
    </w:lvl>
  </w:abstractNum>
  <w:abstractNum w:abstractNumId="105">
    <w:nsid w:val="4DF72E4E"/>
    <w:multiLevelType w:val="hybridMultilevel"/>
    <w:lvl w:ilvl="0">
      <w:lvlJc w:val="left"/>
      <w:lvlText w:val="•"/>
      <w:numFmt w:val="bullet"/>
      <w:start w:val="1"/>
    </w:lvl>
  </w:abstractNum>
  <w:abstractNum w:abstractNumId="106">
    <w:nsid w:val="5046B5A9"/>
    <w:multiLevelType w:val="hybridMultilevel"/>
    <w:lvl w:ilvl="0">
      <w:lvlJc w:val="left"/>
      <w:lvlText w:val="1"/>
      <w:numFmt w:val="bullet"/>
      <w:start w:val="1"/>
    </w:lvl>
  </w:abstractNum>
  <w:abstractNum w:abstractNumId="107">
    <w:nsid w:val="5D888A08"/>
    <w:multiLevelType w:val="hybridMultilevel"/>
    <w:lvl w:ilvl="0">
      <w:lvlJc w:val="left"/>
      <w:lvlText w:val="2"/>
      <w:numFmt w:val="bullet"/>
      <w:start w:val="1"/>
    </w:lvl>
  </w:abstractNum>
  <w:abstractNum w:abstractNumId="108">
    <w:nsid w:val="2A082C70"/>
    <w:multiLevelType w:val="hybridMultilevel"/>
    <w:lvl w:ilvl="0">
      <w:lvlJc w:val="left"/>
      <w:lvlText w:val="%1."/>
      <w:numFmt w:val="decimal"/>
      <w:start w:val="4"/>
    </w:lvl>
  </w:abstractNum>
  <w:abstractNum w:abstractNumId="109">
    <w:nsid w:val="5EC6AFD4"/>
    <w:multiLevelType w:val="hybridMultilevel"/>
    <w:lvl w:ilvl="0">
      <w:lvlJc w:val="left"/>
      <w:lvlText w:val="%1."/>
      <w:numFmt w:val="decimal"/>
      <w:start w:val="5"/>
    </w:lvl>
  </w:abstractNum>
  <w:abstractNum w:abstractNumId="110">
    <w:nsid w:val="19E21BB2"/>
    <w:multiLevelType w:val="hybridMultilevel"/>
    <w:lvl w:ilvl="0">
      <w:lvlJc w:val="left"/>
      <w:lvlText w:val="•"/>
      <w:numFmt w:val="bullet"/>
      <w:start w:val="1"/>
    </w:lvl>
  </w:abstractNum>
  <w:abstractNum w:abstractNumId="111">
    <w:nsid w:val="75E0858A"/>
    <w:multiLevelType w:val="hybridMultilevel"/>
    <w:lvl w:ilvl="0">
      <w:lvlJc w:val="left"/>
      <w:lvlText w:val="%1."/>
      <w:numFmt w:val="decimal"/>
      <w:start w:val="6"/>
    </w:lvl>
  </w:abstractNum>
  <w:abstractNum w:abstractNumId="112">
    <w:nsid w:val="57A61A29"/>
    <w:multiLevelType w:val="hybridMultilevel"/>
    <w:lvl w:ilvl="0">
      <w:lvlJc w:val="left"/>
      <w:lvlText w:val="%1."/>
      <w:numFmt w:val="decimal"/>
      <w:start w:val="7"/>
    </w:lvl>
  </w:abstractNum>
  <w:abstractNum w:abstractNumId="113">
    <w:nsid w:val="5399C654"/>
    <w:multiLevelType w:val="hybridMultilevel"/>
    <w:lvl w:ilvl="0">
      <w:lvlJc w:val="left"/>
      <w:lvlText w:val="%1."/>
      <w:numFmt w:val="decimal"/>
      <w:start w:val="8"/>
    </w:lvl>
  </w:abstractNum>
  <w:abstractNum w:abstractNumId="114">
    <w:nsid w:val="20EE1348"/>
    <w:multiLevelType w:val="hybridMultilevel"/>
    <w:lvl w:ilvl="0">
      <w:lvlJc w:val="left"/>
      <w:lvlText w:val="%1."/>
      <w:numFmt w:val="decimal"/>
      <w:start w:val="9"/>
    </w:lvl>
  </w:abstractNum>
  <w:abstractNum w:abstractNumId="115">
    <w:nsid w:val="4427069A"/>
    <w:multiLevelType w:val="hybridMultilevel"/>
    <w:lvl w:ilvl="0">
      <w:lvlJc w:val="left"/>
      <w:lvlText w:val="(%1)"/>
      <w:numFmt w:val="decimal"/>
      <w:start w:val="1"/>
    </w:lvl>
  </w:abstractNum>
  <w:abstractNum w:abstractNumId="116">
    <w:nsid w:val="B37E80A"/>
    <w:multiLevelType w:val="hybridMultilevel"/>
    <w:lvl w:ilvl="0">
      <w:lvlJc w:val="left"/>
      <w:lvlText w:val="•"/>
      <w:numFmt w:val="bullet"/>
      <w:start w:val="1"/>
    </w:lvl>
  </w:abstractNum>
  <w:abstractNum w:abstractNumId="117">
    <w:nsid w:val="2157F6BC"/>
    <w:multiLevelType w:val="hybridMultilevel"/>
    <w:lvl w:ilvl="0">
      <w:lvlJc w:val="left"/>
      <w:lvlText w:val="•"/>
      <w:numFmt w:val="bullet"/>
      <w:start w:val="1"/>
    </w:lvl>
  </w:abstractNum>
  <w:abstractNum w:abstractNumId="118">
    <w:nsid w:val="704E1DD5"/>
    <w:multiLevelType w:val="hybridMultilevel"/>
    <w:lvl w:ilvl="0">
      <w:lvlJc w:val="left"/>
      <w:lvlText w:val="•"/>
      <w:numFmt w:val="bullet"/>
      <w:start w:val="1"/>
    </w:lvl>
  </w:abstractNum>
  <w:abstractNum w:abstractNumId="119">
    <w:nsid w:val="57D2F10E"/>
    <w:multiLevelType w:val="hybridMultilevel"/>
    <w:lvl w:ilvl="0">
      <w:lvlJc w:val="left"/>
      <w:lvlText w:val="•"/>
      <w:numFmt w:val="bullet"/>
      <w:start w:val="1"/>
    </w:lvl>
  </w:abstractNum>
  <w:abstractNum w:abstractNumId="120">
    <w:nsid w:val="BFFAE18"/>
    <w:multiLevelType w:val="hybridMultilevel"/>
    <w:lvl w:ilvl="0">
      <w:lvlJc w:val="left"/>
      <w:lvlText w:val="%1."/>
      <w:numFmt w:val="decimal"/>
      <w:start w:val="1"/>
    </w:lvl>
  </w:abstractNum>
  <w:abstractNum w:abstractNumId="121">
    <w:nsid w:val="E3E47A8"/>
    <w:multiLevelType w:val="hybridMultilevel"/>
    <w:lvl w:ilvl="0">
      <w:lvlJc w:val="left"/>
      <w:lvlText w:val="%1."/>
      <w:numFmt w:val="decimal"/>
      <w:start w:val="2"/>
    </w:lvl>
  </w:abstractNum>
  <w:abstractNum w:abstractNumId="122">
    <w:nsid w:val="2E48F044"/>
    <w:multiLevelType w:val="hybridMultilevel"/>
    <w:lvl w:ilvl="0">
      <w:lvlJc w:val="left"/>
      <w:lvlText w:val="(%1)"/>
      <w:numFmt w:val="lowerRoman"/>
      <w:start w:val="2"/>
    </w:lvl>
  </w:abstractNum>
  <w:abstractNum w:abstractNumId="123">
    <w:nsid w:val="49D0FEAC"/>
    <w:multiLevelType w:val="hybridMultilevel"/>
    <w:lvl w:ilvl="0">
      <w:lvlJc w:val="left"/>
      <w:lvlText w:val="%1."/>
      <w:numFmt w:val="decimal"/>
      <w:start w:val="3"/>
    </w:lvl>
  </w:abstractNum>
  <w:abstractNum w:abstractNumId="124">
    <w:nsid w:val="4BEE5A5B"/>
    <w:multiLevelType w:val="hybridMultilevel"/>
    <w:lvl w:ilvl="0">
      <w:lvlJc w:val="left"/>
      <w:lvlText w:val="•"/>
      <w:numFmt w:val="bullet"/>
      <w:start w:val="1"/>
    </w:lvl>
  </w:abstractNum>
  <w:abstractNum w:abstractNumId="125">
    <w:nsid w:val="5551B9F3"/>
    <w:multiLevelType w:val="hybridMultilevel"/>
    <w:lvl w:ilvl="0">
      <w:lvlJc w:val="left"/>
      <w:lvlText w:val="•"/>
      <w:numFmt w:val="bullet"/>
      <w:start w:val="1"/>
    </w:lvl>
  </w:abstractNum>
  <w:abstractNum w:abstractNumId="126">
    <w:nsid w:val="24F6AB8E"/>
    <w:multiLevelType w:val="hybridMultilevel"/>
    <w:lvl w:ilvl="0">
      <w:lvlJc w:val="left"/>
      <w:lvlText w:val="•"/>
      <w:numFmt w:val="bullet"/>
      <w:start w:val="1"/>
    </w:lvl>
  </w:abstractNum>
  <w:abstractNum w:abstractNumId="127">
    <w:nsid w:val="634C574C"/>
    <w:multiLevelType w:val="hybridMultilevel"/>
    <w:lvl w:ilvl="0">
      <w:lvlJc w:val="left"/>
      <w:lvlText w:val="1"/>
      <w:numFmt w:val="bullet"/>
      <w:start w:val="1"/>
    </w:lvl>
  </w:abstractNum>
  <w:abstractNum w:abstractNumId="128">
    <w:nsid w:val="24E99DD7"/>
    <w:multiLevelType w:val="hybridMultilevel"/>
    <w:lvl w:ilvl="0">
      <w:lvlJc w:val="left"/>
      <w:lvlText w:val="%1."/>
      <w:numFmt w:val="decimal"/>
      <w:start w:val="4"/>
    </w:lvl>
  </w:abstractNum>
  <w:abstractNum w:abstractNumId="129">
    <w:nsid w:val="2A31B62D"/>
    <w:multiLevelType w:val="hybridMultilevel"/>
    <w:lvl w:ilvl="0">
      <w:lvlJc w:val="left"/>
      <w:lvlText w:val="%1."/>
      <w:numFmt w:val="decimal"/>
      <w:start w:val="5"/>
    </w:lvl>
  </w:abstractNum>
  <w:abstractNum w:abstractNumId="130">
    <w:nsid w:val="1849C29B"/>
    <w:multiLevelType w:val="hybridMultilevel"/>
    <w:lvl w:ilvl="0">
      <w:lvlJc w:val="left"/>
      <w:lvlText w:val="%1."/>
      <w:numFmt w:val="decimal"/>
      <w:start w:val="6"/>
    </w:lvl>
  </w:abstractNum>
  <w:abstractNum w:abstractNumId="131">
    <w:nsid w:val="7DFF9D09"/>
    <w:multiLevelType w:val="hybridMultilevel"/>
    <w:lvl w:ilvl="0">
      <w:lvlJc w:val="left"/>
      <w:lvlText w:val="•"/>
      <w:numFmt w:val="bullet"/>
      <w:start w:val="1"/>
    </w:lvl>
  </w:abstractNum>
  <w:abstractNum w:abstractNumId="132">
    <w:nsid w:val="754342"/>
    <w:multiLevelType w:val="hybridMultilevel"/>
    <w:lvl w:ilvl="0">
      <w:lvlJc w:val="left"/>
      <w:lvlText w:val="%1."/>
      <w:numFmt w:val="decimal"/>
      <w:start w:val="7"/>
    </w:lvl>
  </w:abstractNum>
  <w:abstractNum w:abstractNumId="133">
    <w:nsid w:val="69E7F3E5"/>
    <w:multiLevelType w:val="hybridMultilevel"/>
    <w:lvl w:ilvl="0">
      <w:lvlJc w:val="left"/>
      <w:lvlText w:val="•"/>
      <w:numFmt w:val="bullet"/>
      <w:start w:val="1"/>
    </w:lvl>
  </w:abstractNum>
  <w:abstractNum w:abstractNumId="134">
    <w:nsid w:val="2A6DE806"/>
    <w:multiLevelType w:val="hybridMultilevel"/>
    <w:lvl w:ilvl="0">
      <w:lvlJc w:val="left"/>
      <w:lvlText w:val="•"/>
      <w:numFmt w:val="bullet"/>
      <w:start w:val="1"/>
    </w:lvl>
  </w:abstractNum>
  <w:abstractNum w:abstractNumId="135">
    <w:nsid w:val="1816F8C4"/>
    <w:multiLevelType w:val="hybridMultilevel"/>
    <w:lvl w:ilvl="0">
      <w:lvlJc w:val="left"/>
      <w:lvlText w:val="%1."/>
      <w:numFmt w:val="decimal"/>
      <w:start w:val="8"/>
    </w:lvl>
  </w:abstractNum>
  <w:abstractNum w:abstractNumId="136">
    <w:nsid w:val="37DF2233"/>
    <w:multiLevelType w:val="hybridMultilevel"/>
    <w:lvl w:ilvl="0">
      <w:lvlJc w:val="left"/>
      <w:lvlText w:val="(%1)"/>
      <w:numFmt w:val="decimal"/>
      <w:start w:val="1"/>
    </w:lvl>
  </w:abstractNum>
  <w:abstractNum w:abstractNumId="137">
    <w:nsid w:val="7AB49DAF"/>
    <w:multiLevelType w:val="hybridMultilevel"/>
    <w:lvl w:ilvl="0">
      <w:lvlJc w:val="left"/>
      <w:lvlText w:val="(%1)"/>
      <w:numFmt w:val="decimal"/>
      <w:start w:val="1"/>
    </w:lvl>
  </w:abstractNum>
  <w:abstractNum w:abstractNumId="138">
    <w:nsid w:val="759F82CD"/>
    <w:multiLevelType w:val="hybridMultilevel"/>
    <w:lvl w:ilvl="0">
      <w:lvlJc w:val="left"/>
      <w:lvlText w:val="(%1)"/>
      <w:numFmt w:val="decimal"/>
      <w:start w:val="1"/>
    </w:lvl>
  </w:abstractNum>
  <w:abstractNum w:abstractNumId="139">
    <w:nsid w:val="61E74EA3"/>
    <w:multiLevelType w:val="hybridMultilevel"/>
    <w:lvl w:ilvl="0">
      <w:lvlJc w:val="left"/>
      <w:lvlText w:val="%1."/>
      <w:numFmt w:val="decimal"/>
      <w:start w:val="9"/>
    </w:lvl>
  </w:abstractNum>
  <w:abstractNum w:abstractNumId="140">
    <w:nsid w:val="597B4D84"/>
    <w:multiLevelType w:val="hybridMultilevel"/>
    <w:lvl w:ilvl="0">
      <w:lvlJc w:val="left"/>
      <w:lvlText w:val="¹"/>
      <w:numFmt w:val="bullet"/>
      <w:start w:val="1"/>
    </w:lvl>
  </w:abstractNum>
  <w:abstractNum w:abstractNumId="141">
    <w:nsid w:val="F819E7F"/>
    <w:multiLevelType w:val="hybridMultilevel"/>
    <w:lvl w:ilvl="0">
      <w:lvlJc w:val="left"/>
      <w:lvlText w:val="+"/>
      <w:numFmt w:val="bullet"/>
      <w:start w:val="1"/>
    </w:lvl>
  </w:abstractNum>
  <w:abstractNum w:abstractNumId="142">
    <w:nsid w:val="57C7D42D"/>
    <w:multiLevelType w:val="hybridMultilevel"/>
    <w:lvl w:ilvl="0">
      <w:lvlJc w:val="left"/>
      <w:lvlText w:val="*"/>
      <w:numFmt w:val="bullet"/>
      <w:start w:val="1"/>
    </w:lvl>
  </w:abstractNum>
  <w:abstractNum w:abstractNumId="143">
    <w:nsid w:val="312167AD"/>
    <w:multiLevelType w:val="hybridMultilevel"/>
    <w:lvl w:ilvl="0">
      <w:lvlJc w:val="left"/>
      <w:lvlText w:val="•"/>
      <w:numFmt w:val="bullet"/>
      <w:start w:val="1"/>
    </w:lvl>
  </w:abstractNum>
  <w:abstractNum w:abstractNumId="144">
    <w:nsid w:val="631B64D4"/>
    <w:multiLevelType w:val="hybridMultilevel"/>
    <w:lvl w:ilvl="0">
      <w:lvlJc w:val="left"/>
      <w:lvlText w:val="+"/>
      <w:numFmt w:val="bullet"/>
      <w:start w:val="1"/>
    </w:lvl>
    <w:lvl w:ilvl="1">
      <w:lvlJc w:val="left"/>
      <w:lvlText w:val="%2"/>
      <w:numFmt w:val="decimal"/>
      <w:start w:val="107"/>
    </w:lvl>
  </w:abstractNum>
  <w:abstractNum w:abstractNumId="145">
    <w:nsid w:val="78B5E776"/>
    <w:multiLevelType w:val="hybridMultilevel"/>
    <w:lvl w:ilvl="0">
      <w:lvlJc w:val="left"/>
      <w:lvlText w:val="#"/>
      <w:numFmt w:val="bullet"/>
      <w:start w:val="1"/>
    </w:lvl>
  </w:abstractNum>
  <w:abstractNum w:abstractNumId="146">
    <w:nsid w:val="75486E4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47">
    <w:nsid w:val="6E534CDE"/>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148">
    <w:nsid w:val="1A0DDE32"/>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38" Type="http://schemas.openxmlformats.org/officeDocument/2006/relationships/image" Target="media/image509.png"/><Relationship Id="rId539" Type="http://schemas.openxmlformats.org/officeDocument/2006/relationships/image" Target="media/image510.png"/><Relationship Id="rId553" Type="http://schemas.openxmlformats.org/officeDocument/2006/relationships/image" Target="media/image511.png"/><Relationship Id="rId554" Type="http://schemas.openxmlformats.org/officeDocument/2006/relationships/image" Target="media/image512.png"/><Relationship Id="rId555" Type="http://schemas.openxmlformats.org/officeDocument/2006/relationships/image" Target="media/image513.png"/><Relationship Id="rId556" Type="http://schemas.openxmlformats.org/officeDocument/2006/relationships/image" Target="media/image514.png"/><Relationship Id="rId557" Type="http://schemas.openxmlformats.org/officeDocument/2006/relationships/image" Target="media/image515.png"/><Relationship Id="rId558" Type="http://schemas.openxmlformats.org/officeDocument/2006/relationships/image" Target="media/image516.png"/><Relationship Id="rId559" Type="http://schemas.openxmlformats.org/officeDocument/2006/relationships/image" Target="media/image517.png"/><Relationship Id="rId560" Type="http://schemas.openxmlformats.org/officeDocument/2006/relationships/image" Target="media/image518.png"/><Relationship Id="rId561" Type="http://schemas.openxmlformats.org/officeDocument/2006/relationships/image" Target="media/image519.png"/><Relationship Id="rId562" Type="http://schemas.openxmlformats.org/officeDocument/2006/relationships/image" Target="media/image520.png"/><Relationship Id="rId563" Type="http://schemas.openxmlformats.org/officeDocument/2006/relationships/image" Target="media/image521.png"/><Relationship Id="rId564" Type="http://schemas.openxmlformats.org/officeDocument/2006/relationships/image" Target="media/image522.png"/><Relationship Id="rId516" Type="http://schemas.openxmlformats.org/officeDocument/2006/relationships/hyperlink" Target="https://www.sec.gov/Archives/edgar/data/1779474/000095010320024045/dp142700_ex0201.htm" TargetMode="External"/><Relationship Id="rId517" Type="http://schemas.openxmlformats.org/officeDocument/2006/relationships/hyperlink" Target="https://www.sec.gov/Archives/edgar/data/1779474/000114036121021785/brhc10025756_ex3-1.htm" TargetMode="External"/><Relationship Id="rId518" Type="http://schemas.openxmlformats.org/officeDocument/2006/relationships/hyperlink" Target="https://www.sec.gov/Archives/edgar/data/1779474/000114036121021785/brhc10025756_ex3-2.htm" TargetMode="External"/><Relationship Id="rId519" Type="http://schemas.openxmlformats.org/officeDocument/2006/relationships/hyperlink" Target="https://www.sec.gov/Archives/edgar/data/1779474/000114036121021785/brhc10025756_ex4-1.htm" TargetMode="External"/><Relationship Id="rId520" Type="http://schemas.openxmlformats.org/officeDocument/2006/relationships/hyperlink" Target="https://www.sec.gov/Archives/edgar/data/1779474/000114036121021785/brhc10025756_ex4-2.htm" TargetMode="External"/><Relationship Id="rId521" Type="http://schemas.openxmlformats.org/officeDocument/2006/relationships/hyperlink" Target="https://www.sec.gov/Archives/edgar/data/1779474/000095010319010751/dp111173_ex0401.htm" TargetMode="External"/><Relationship Id="rId522" Type="http://schemas.openxmlformats.org/officeDocument/2006/relationships/hyperlink" Target="https://www.sec.gov/Archives/edgar/data/1779474/000177947422000010/exhibit45descriptionofsecu.htm" TargetMode="External"/><Relationship Id="rId523" Type="http://schemas.openxmlformats.org/officeDocument/2006/relationships/hyperlink" Target="https://www.sec.gov/Archives/edgar/data/1779474/000114036121040114/brhc10031383_ex5-1.htm" TargetMode="External"/><Relationship Id="rId524" Type="http://schemas.openxmlformats.org/officeDocument/2006/relationships/hyperlink" Target="https://www.sec.gov/Archives/edgar/data/1779474/000114036121021785/brhc10025756_ex10-1.htm" TargetMode="External"/><Relationship Id="rId525" Type="http://schemas.openxmlformats.org/officeDocument/2006/relationships/hyperlink" Target="https://www.sec.gov/Archives/edgar/data/1779474/000114036121021785/brhc10025756_ex10-2.htm" TargetMode="External"/><Relationship Id="rId526" Type="http://schemas.openxmlformats.org/officeDocument/2006/relationships/hyperlink" Target="https://www.sec.gov/Archives/edgar/data/1779474/000114036121021785/brhc10025756_ex10-3.htm" TargetMode="External"/><Relationship Id="rId527" Type="http://schemas.openxmlformats.org/officeDocument/2006/relationships/hyperlink" Target="https://www.sec.gov/Archives/edgar/data/1779474/000095010320024045/dp142700_ex1001.htm" TargetMode="External"/><Relationship Id="rId528" Type="http://schemas.openxmlformats.org/officeDocument/2006/relationships/hyperlink" Target="https://www.sec.gov/Archives/edgar/data/1779474/000114036121021785/brhc10025756_ex10-5.htm" TargetMode="External"/><Relationship Id="rId529" Type="http://schemas.openxmlformats.org/officeDocument/2006/relationships/hyperlink" Target="https://www.sec.gov/Archives/edgar/data/1779474/000114036121021785/brhc10025756_ex10-6.htm" TargetMode="External"/><Relationship Id="rId530" Type="http://schemas.openxmlformats.org/officeDocument/2006/relationships/hyperlink" Target="https://www.sec.gov/Archives/edgar/data/1779474/000114036121021785/brhc10025756_ex10-7.htm" TargetMode="External"/><Relationship Id="rId531" Type="http://schemas.openxmlformats.org/officeDocument/2006/relationships/hyperlink" Target="https://www.sec.gov/Archives/edgar/data/1779474/000114036121021785/brhc10025756_ex10-7a.htm" TargetMode="External"/><Relationship Id="rId532" Type="http://schemas.openxmlformats.org/officeDocument/2006/relationships/hyperlink" Target="https://www.sec.gov/Archives/edgar/data/1779474/000114036121021785/brhc10025756_ex10-7b.htm" TargetMode="External"/><Relationship Id="rId533" Type="http://schemas.openxmlformats.org/officeDocument/2006/relationships/hyperlink" Target="https://www.sec.gov/Archives/edgar/data/1779474/000114036121021785/brhc10025756_ex10-8.htm" TargetMode="External"/><Relationship Id="rId534" Type="http://schemas.openxmlformats.org/officeDocument/2006/relationships/hyperlink" Target="https://www.sec.gov/Archives/edgar/data/1779474/000114036121021785/brhc10025756_ex10-12.htm" TargetMode="External"/><Relationship Id="rId535" Type="http://schemas.openxmlformats.org/officeDocument/2006/relationships/hyperlink" Target="https://www.sec.gov/Archives/edgar/data/1779474/000114036121021785/brhc10025756_ex10-13.htm" TargetMode="External"/><Relationship Id="rId536" Type="http://schemas.openxmlformats.org/officeDocument/2006/relationships/hyperlink" Target="https://www.sec.gov/Archives/edgar/data/1779474/000114036121021785/brhc10025756_ex10-14.htm" TargetMode="External"/><Relationship Id="rId537" Type="http://schemas.openxmlformats.org/officeDocument/2006/relationships/hyperlink" Target="https://www.sec.gov/Archives/edgar/data/1779474/000114036121021785/brhc10025756_ex10-15.htm" TargetMode="External"/><Relationship Id="rId540" Type="http://schemas.openxmlformats.org/officeDocument/2006/relationships/hyperlink" Target="https://www.sec.gov/Archives/edgar/data/1779474/000114036121021785/brhc10025756_ex10-16.htm" TargetMode="External"/><Relationship Id="rId541" Type="http://schemas.openxmlformats.org/officeDocument/2006/relationships/hyperlink" Target="https://www.sec.gov/Archives/edgar/data/1779474/000177947421000027/exhibit101.htm" TargetMode="External"/><Relationship Id="rId542" Type="http://schemas.openxmlformats.org/officeDocument/2006/relationships/hyperlink" Target="https://www.sec.gov/Archives/edgar/data/1779474/000177947423000072/exhibit102amendedandrestat.htm" TargetMode="External"/><Relationship Id="rId543" Type="http://schemas.openxmlformats.org/officeDocument/2006/relationships/hyperlink" Target="https://www.sec.gov/Archives/edgar/data/1779474/000177947424000062/a101separationandreleaseag.htm" TargetMode="External"/><Relationship Id="rId544" Type="http://schemas.openxmlformats.org/officeDocument/2006/relationships/hyperlink" Target="https://www.sec.gov/Archives/edgar/data/1779474/000177947423000072/exhibit101retentionagreeme.htm" TargetMode="External"/><Relationship Id="rId545" Type="http://schemas.openxmlformats.org/officeDocument/2006/relationships/hyperlink" Target="https://www.sec.gov/Archives/edgar/data/1779474/000177947424000062/a103offerofemployment-fran.htm" TargetMode="External"/><Relationship Id="rId546" Type="http://schemas.openxmlformats.org/officeDocument/2006/relationships/hyperlink" Target="https://www.sec.gov/Archives/edgar/data/1779474/000177947424000023/exhibit1020briancamiresoff.htm" TargetMode="External"/><Relationship Id="rId547" Type="http://schemas.openxmlformats.org/officeDocument/2006/relationships/hyperlink" Target="https://www.sec.gov/Archives/edgar/data/1779474/000177947423000062/exhibit101q223.htm" TargetMode="External"/><Relationship Id="rId548" Type="http://schemas.openxmlformats.org/officeDocument/2006/relationships/hyperlink" Target="https://www.sec.gov/Archives/edgar/data/1779474/000177947423000076/exhibit105randasseperation.htm" TargetMode="External"/><Relationship Id="rId549" Type="http://schemas.openxmlformats.org/officeDocument/2006/relationships/hyperlink" Target="https://www.sec.gov/Archives/edgar/data/1779474/000177947424000023/exhibit1023seatonhillresou.htm" TargetMode="External"/><Relationship Id="rId550" Type="http://schemas.openxmlformats.org/officeDocument/2006/relationships/hyperlink" Target="https://www.sec.gov/Archives/edgar/data/1779474/000177947424000062/a102fifthamendmenttoleaseb.htm" TargetMode="External"/><Relationship Id="rId551" Type="http://schemas.openxmlformats.org/officeDocument/2006/relationships/hyperlink" Target="https://www.sec.gov/Archives/edgar/data/1779474/000177947424000023/exhibit211listofsubsidiari.htm" TargetMode="External"/><Relationship Id="rId552" Type="http://schemas.openxmlformats.org/officeDocument/2006/relationships/hyperlink" Target="https://www.sec.gov/Archives/edgar/data/1779474/000114036121023775/nt10026588x1_s1.htm#tP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2024-12-04T16:29:36Z</dcterms:created>
  <dcterms:modified xsi:type="dcterms:W3CDTF">2024-12-04T16:29:36Z</dcterms:modified>
</cp:coreProperties>
</file>