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line="272" w:lineRule="auto"/>
        <w:rPr>
          <w:sz w:val="20"/>
          <w:szCs w:val="20"/>
          <w:color w:val="auto"/>
        </w:rPr>
      </w:pPr>
      <w:r>
        <w:rPr>
          <w:rFonts w:ascii="Arial" w:cs="Arial" w:eastAsia="Arial" w:hAnsi="Arial"/>
          <w:sz w:val="17"/>
          <w:szCs w:val="17"/>
          <w:b w:val="1"/>
          <w:bCs w:val="1"/>
          <w:color w:val="auto"/>
        </w:rPr>
        <w:t>As submitted confidentially with the Securities and Exchange Commission on June 20, 2019 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60" w:type="dxa"/>
        <w:tblCellMar>
          <w:top w:w="0" w:type="dxa"/>
          <w:left w:w="0" w:type="dxa"/>
          <w:bottom w:w="0" w:type="dxa"/>
          <w:right w:w="0" w:type="dxa"/>
        </w:tblCellMar>
      </w:tblPr>
      <w:tr>
        <w:trPr>
          <w:trHeight w:val="220"/>
        </w:trPr>
        <w:tc>
          <w:tcPr>
            <w:tcW w:w="3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Cayman Islands</w:t>
            </w:r>
          </w:p>
        </w:tc>
        <w:tc>
          <w:tcPr>
            <w:tcW w:w="42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6770</w:t>
            </w:r>
          </w:p>
        </w:tc>
        <w:tc>
          <w:tcPr>
            <w:tcW w:w="2220" w:type="dxa"/>
            <w:vAlign w:val="bottom"/>
          </w:tcPr>
          <w:p>
            <w:pPr>
              <w:jc w:val="center"/>
              <w:ind w:left="470"/>
              <w:spacing w:after="0"/>
              <w:rPr>
                <w:sz w:val="20"/>
                <w:szCs w:val="20"/>
                <w:color w:val="auto"/>
              </w:rPr>
            </w:pPr>
            <w:r>
              <w:rPr>
                <w:rFonts w:ascii="Arial" w:cs="Arial" w:eastAsia="Arial" w:hAnsi="Arial"/>
                <w:sz w:val="18"/>
                <w:szCs w:val="18"/>
                <w:b w:val="1"/>
                <w:bCs w:val="1"/>
                <w:color w:val="auto"/>
                <w:w w:val="96"/>
              </w:rPr>
              <w:t>N/A</w:t>
            </w:r>
          </w:p>
        </w:tc>
      </w:tr>
      <w:tr>
        <w:trPr>
          <w:trHeight w:val="216"/>
        </w:trPr>
        <w:tc>
          <w:tcPr>
            <w:tcW w:w="348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 or</w:t>
            </w:r>
          </w:p>
        </w:tc>
        <w:tc>
          <w:tcPr>
            <w:tcW w:w="4260" w:type="dxa"/>
            <w:vAlign w:val="bottom"/>
          </w:tcPr>
          <w:p>
            <w:pPr>
              <w:jc w:val="center"/>
              <w:ind w:right="290"/>
              <w:spacing w:after="0"/>
              <w:rPr>
                <w:sz w:val="20"/>
                <w:szCs w:val="20"/>
                <w:color w:val="auto"/>
              </w:rPr>
            </w:pPr>
            <w:r>
              <w:rPr>
                <w:rFonts w:ascii="Arial" w:cs="Arial" w:eastAsia="Arial" w:hAnsi="Arial"/>
                <w:sz w:val="18"/>
                <w:szCs w:val="18"/>
                <w:color w:val="auto"/>
                <w:w w:val="91"/>
              </w:rPr>
              <w:t>(Primary Standard Industrial Classification Code</w:t>
            </w:r>
          </w:p>
        </w:tc>
        <w:tc>
          <w:tcPr>
            <w:tcW w:w="2220" w:type="dxa"/>
            <w:vAlign w:val="bottom"/>
          </w:tcPr>
          <w:p>
            <w:pPr>
              <w:jc w:val="center"/>
              <w:ind w:left="430"/>
              <w:spacing w:after="0"/>
              <w:rPr>
                <w:sz w:val="20"/>
                <w:szCs w:val="20"/>
                <w:color w:val="auto"/>
              </w:rPr>
            </w:pPr>
            <w:r>
              <w:rPr>
                <w:rFonts w:ascii="Arial" w:cs="Arial" w:eastAsia="Arial" w:hAnsi="Arial"/>
                <w:sz w:val="18"/>
                <w:szCs w:val="18"/>
                <w:color w:val="auto"/>
                <w:w w:val="92"/>
              </w:rPr>
              <w:t>(I.R.S. Employer</w:t>
            </w:r>
          </w:p>
        </w:tc>
      </w:tr>
      <w:tr>
        <w:trPr>
          <w:trHeight w:val="230"/>
        </w:trPr>
        <w:tc>
          <w:tcPr>
            <w:tcW w:w="3480" w:type="dxa"/>
            <w:vAlign w:val="bottom"/>
          </w:tcPr>
          <w:p>
            <w:pPr>
              <w:jc w:val="center"/>
              <w:ind w:right="70"/>
              <w:spacing w:after="0"/>
              <w:rPr>
                <w:sz w:val="20"/>
                <w:szCs w:val="20"/>
                <w:color w:val="auto"/>
              </w:rPr>
            </w:pPr>
            <w:r>
              <w:rPr>
                <w:rFonts w:ascii="Arial" w:cs="Arial" w:eastAsia="Arial" w:hAnsi="Arial"/>
                <w:sz w:val="18"/>
                <w:szCs w:val="18"/>
                <w:color w:val="auto"/>
                <w:w w:val="92"/>
              </w:rPr>
              <w:t>organization)</w:t>
            </w:r>
          </w:p>
        </w:tc>
        <w:tc>
          <w:tcPr>
            <w:tcW w:w="4260" w:type="dxa"/>
            <w:vAlign w:val="bottom"/>
          </w:tcPr>
          <w:p>
            <w:pPr>
              <w:jc w:val="center"/>
              <w:ind w:right="290"/>
              <w:spacing w:after="0"/>
              <w:rPr>
                <w:sz w:val="20"/>
                <w:szCs w:val="20"/>
                <w:color w:val="auto"/>
              </w:rPr>
            </w:pPr>
            <w:r>
              <w:rPr>
                <w:rFonts w:ascii="Arial" w:cs="Arial" w:eastAsia="Arial" w:hAnsi="Arial"/>
                <w:sz w:val="18"/>
                <w:szCs w:val="18"/>
                <w:color w:val="auto"/>
                <w:w w:val="91"/>
              </w:rPr>
              <w:t>Number)</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4"/>
              </w:rPr>
              <w:t>Identification Number)</w:t>
            </w:r>
          </w:p>
        </w:tc>
      </w:tr>
    </w:tbl>
    <w:p>
      <w:pPr>
        <w:ind w:left="4700"/>
        <w:spacing w:after="0"/>
        <w:rPr>
          <w:sz w:val="20"/>
          <w:szCs w:val="20"/>
          <w:color w:val="auto"/>
        </w:rPr>
      </w:pPr>
      <w:r>
        <w:rPr>
          <w:rFonts w:ascii="Arial" w:cs="Arial" w:eastAsia="Arial" w:hAnsi="Arial"/>
          <w:sz w:val="18"/>
          <w:szCs w:val="18"/>
          <w:b w:val="1"/>
          <w:bCs w:val="1"/>
          <w:color w:val="auto"/>
        </w:rPr>
        <w:t>1114 6th Ave, 41st Floor</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United States of America</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Telephone: (212) 905-4923</w:t>
      </w:r>
    </w:p>
    <w:p>
      <w:pPr>
        <w:spacing w:after="0" w:line="9"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Scott Gordon, Chief Executive Officer</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Gregory Gentile, Chief Financial Officer</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 Silver Spike Acquisition Corp.</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1114 6th Ave, 41st Floor</w:t>
      </w:r>
    </w:p>
    <w:p>
      <w:pPr>
        <w:spacing w:after="0" w:line="9"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United States of America</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Telephone: (212) 905-4923</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6" w:lineRule="exact"/>
        <w:rPr>
          <w:sz w:val="24"/>
          <w:szCs w:val="24"/>
          <w:color w:val="auto"/>
        </w:rPr>
      </w:pPr>
    </w:p>
    <w:tbl>
      <w:tblPr>
        <w:tblLayout w:type="fixed"/>
        <w:tblInd w:w="172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5560" w:type="dxa"/>
            <w:vAlign w:val="bottom"/>
          </w:tcPr>
          <w:p>
            <w:pPr>
              <w:ind w:left="680"/>
              <w:spacing w:after="0"/>
              <w:rPr>
                <w:sz w:val="20"/>
                <w:szCs w:val="20"/>
                <w:color w:val="auto"/>
              </w:rPr>
            </w:pPr>
            <w:r>
              <w:rPr>
                <w:rFonts w:ascii="Arial" w:cs="Arial" w:eastAsia="Arial" w:hAnsi="Arial"/>
                <w:sz w:val="18"/>
                <w:szCs w:val="18"/>
                <w:color w:val="auto"/>
              </w:rPr>
              <w:t>Copies to:</w:t>
            </w:r>
          </w:p>
        </w:tc>
      </w:tr>
      <w:tr>
        <w:trPr>
          <w:trHeight w:val="414"/>
        </w:trPr>
        <w:tc>
          <w:tcPr>
            <w:tcW w:w="2860" w:type="dxa"/>
            <w:vAlign w:val="bottom"/>
          </w:tcPr>
          <w:p>
            <w:pPr>
              <w:jc w:val="center"/>
              <w:ind w:right="590"/>
              <w:spacing w:after="0"/>
              <w:rPr>
                <w:sz w:val="20"/>
                <w:szCs w:val="20"/>
                <w:color w:val="auto"/>
              </w:rPr>
            </w:pPr>
            <w:r>
              <w:rPr>
                <w:rFonts w:ascii="Arial" w:cs="Arial" w:eastAsia="Arial" w:hAnsi="Arial"/>
                <w:sz w:val="18"/>
                <w:szCs w:val="18"/>
                <w:b w:val="1"/>
                <w:bCs w:val="1"/>
                <w:color w:val="auto"/>
                <w:w w:val="96"/>
              </w:rPr>
              <w:t>Deanna L. Kirkpatrick</w:t>
            </w:r>
          </w:p>
        </w:tc>
        <w:tc>
          <w:tcPr>
            <w:tcW w:w="5560" w:type="dxa"/>
            <w:vAlign w:val="bottom"/>
          </w:tcPr>
          <w:p>
            <w:pPr>
              <w:jc w:val="center"/>
              <w:ind w:left="2050"/>
              <w:spacing w:after="0"/>
              <w:rPr>
                <w:sz w:val="20"/>
                <w:szCs w:val="20"/>
                <w:color w:val="auto"/>
              </w:rPr>
            </w:pPr>
            <w:r>
              <w:rPr>
                <w:rFonts w:ascii="Arial" w:cs="Arial" w:eastAsia="Arial" w:hAnsi="Arial"/>
                <w:sz w:val="18"/>
                <w:szCs w:val="18"/>
                <w:b w:val="1"/>
                <w:bCs w:val="1"/>
                <w:color w:val="auto"/>
                <w:w w:val="91"/>
              </w:rPr>
              <w:t>Gregg A. Noel</w:t>
            </w:r>
          </w:p>
        </w:tc>
      </w:tr>
      <w:tr>
        <w:trPr>
          <w:trHeight w:val="216"/>
        </w:trPr>
        <w:tc>
          <w:tcPr>
            <w:tcW w:w="286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Derek J. Dostal</w:t>
            </w:r>
          </w:p>
        </w:tc>
        <w:tc>
          <w:tcPr>
            <w:tcW w:w="556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Jonathan Ko</w:t>
            </w:r>
          </w:p>
        </w:tc>
      </w:tr>
      <w:tr>
        <w:trPr>
          <w:trHeight w:val="216"/>
        </w:trPr>
        <w:tc>
          <w:tcPr>
            <w:tcW w:w="2860" w:type="dxa"/>
            <w:vAlign w:val="bottom"/>
          </w:tcPr>
          <w:p>
            <w:pPr>
              <w:jc w:val="center"/>
              <w:ind w:right="570"/>
              <w:spacing w:after="0"/>
              <w:rPr>
                <w:sz w:val="20"/>
                <w:szCs w:val="20"/>
                <w:color w:val="auto"/>
              </w:rPr>
            </w:pPr>
            <w:r>
              <w:rPr>
                <w:rFonts w:ascii="Arial" w:cs="Arial" w:eastAsia="Arial" w:hAnsi="Arial"/>
                <w:sz w:val="18"/>
                <w:szCs w:val="18"/>
                <w:b w:val="1"/>
                <w:bCs w:val="1"/>
                <w:color w:val="auto"/>
                <w:w w:val="94"/>
              </w:rPr>
              <w:t>Davis Polk &amp; Wardwell LLP</w:t>
            </w:r>
          </w:p>
        </w:tc>
        <w:tc>
          <w:tcPr>
            <w:tcW w:w="5560" w:type="dxa"/>
            <w:vAlign w:val="bottom"/>
          </w:tcPr>
          <w:p>
            <w:pPr>
              <w:jc w:val="center"/>
              <w:ind w:left="205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2860" w:type="dxa"/>
            <w:vAlign w:val="bottom"/>
          </w:tcPr>
          <w:p>
            <w:pPr>
              <w:jc w:val="center"/>
              <w:ind w:right="590"/>
              <w:spacing w:after="0"/>
              <w:rPr>
                <w:sz w:val="20"/>
                <w:szCs w:val="20"/>
                <w:color w:val="auto"/>
              </w:rPr>
            </w:pPr>
            <w:r>
              <w:rPr>
                <w:rFonts w:ascii="Arial" w:cs="Arial" w:eastAsia="Arial" w:hAnsi="Arial"/>
                <w:sz w:val="18"/>
                <w:szCs w:val="18"/>
                <w:b w:val="1"/>
                <w:bCs w:val="1"/>
                <w:color w:val="auto"/>
                <w:w w:val="88"/>
              </w:rPr>
              <w:t>450 Lexington Avenue</w:t>
            </w:r>
          </w:p>
        </w:tc>
        <w:tc>
          <w:tcPr>
            <w:tcW w:w="556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300 South Grand Avenue, Suite 3400</w:t>
            </w:r>
          </w:p>
        </w:tc>
      </w:tr>
      <w:tr>
        <w:trPr>
          <w:trHeight w:val="216"/>
        </w:trPr>
        <w:tc>
          <w:tcPr>
            <w:tcW w:w="2860" w:type="dxa"/>
            <w:vAlign w:val="bottom"/>
          </w:tcPr>
          <w:p>
            <w:pPr>
              <w:jc w:val="center"/>
              <w:ind w:right="570"/>
              <w:spacing w:after="0"/>
              <w:rPr>
                <w:sz w:val="20"/>
                <w:szCs w:val="20"/>
                <w:color w:val="auto"/>
              </w:rPr>
            </w:pPr>
            <w:r>
              <w:rPr>
                <w:rFonts w:ascii="Arial" w:cs="Arial" w:eastAsia="Arial" w:hAnsi="Arial"/>
                <w:sz w:val="18"/>
                <w:szCs w:val="18"/>
                <w:b w:val="1"/>
                <w:bCs w:val="1"/>
                <w:color w:val="auto"/>
                <w:w w:val="92"/>
              </w:rPr>
              <w:t>New York, NY 10017</w:t>
            </w:r>
          </w:p>
        </w:tc>
        <w:tc>
          <w:tcPr>
            <w:tcW w:w="556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Los Angeles, CA 90071</w:t>
            </w:r>
          </w:p>
        </w:tc>
      </w:tr>
      <w:tr>
        <w:trPr>
          <w:trHeight w:val="234"/>
        </w:trPr>
        <w:tc>
          <w:tcPr>
            <w:tcW w:w="286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Telephone: (212) 450-4000</w:t>
            </w:r>
          </w:p>
        </w:tc>
        <w:tc>
          <w:tcPr>
            <w:tcW w:w="5560" w:type="dxa"/>
            <w:vAlign w:val="bottom"/>
          </w:tcPr>
          <w:p>
            <w:pPr>
              <w:jc w:val="center"/>
              <w:ind w:left="2050"/>
              <w:spacing w:after="0"/>
              <w:rPr>
                <w:sz w:val="20"/>
                <w:szCs w:val="20"/>
                <w:color w:val="auto"/>
              </w:rPr>
            </w:pPr>
            <w:r>
              <w:rPr>
                <w:rFonts w:ascii="Arial" w:cs="Arial" w:eastAsia="Arial" w:hAnsi="Arial"/>
                <w:sz w:val="18"/>
                <w:szCs w:val="18"/>
                <w:b w:val="1"/>
                <w:bCs w:val="1"/>
                <w:color w:val="auto"/>
                <w:w w:val="90"/>
              </w:rPr>
              <w:t>Telephone: (213)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308610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soon as practicable after the effective date of this registration statement.</w:t>
      </w:r>
    </w:p>
    <w:p>
      <w:pPr>
        <w:spacing w:after="0" w:line="211"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2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78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920" w:type="dxa"/>
            <w:vAlign w:val="bottom"/>
          </w:tcPr>
          <w:p>
            <w:pPr>
              <w:ind w:left="42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ind w:left="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r>
        <w:trPr>
          <w:trHeight w:val="331"/>
        </w:trPr>
        <w:tc>
          <w:tcPr>
            <w:tcW w:w="29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244" w:gutter="0" w:footer="0" w:header="0"/>
        </w:sectPr>
      </w:pPr>
    </w:p>
    <w:bookmarkStart w:id="1" w:name="page2"/>
    <w:bookmarkEnd w:id="1"/>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620" w:type="dxa"/>
            <w:vAlign w:val="bottom"/>
            <w:tcBorders>
              <w:top w:val="single" w:sz="8" w:color="auto"/>
            </w:tcBorders>
          </w:tcPr>
          <w:p>
            <w:pPr>
              <w:spacing w:after="0"/>
              <w:rPr>
                <w:sz w:val="19"/>
                <w:szCs w:val="19"/>
                <w:color w:val="auto"/>
              </w:rPr>
            </w:pPr>
          </w:p>
        </w:tc>
      </w:tr>
      <w:tr>
        <w:trPr>
          <w:trHeight w:val="221"/>
        </w:trPr>
        <w:tc>
          <w:tcPr>
            <w:tcW w:w="4120" w:type="dxa"/>
            <w:vAlign w:val="bottom"/>
          </w:tcPr>
          <w:p>
            <w:pPr>
              <w:ind w:left="900"/>
              <w:spacing w:after="0"/>
              <w:rPr>
                <w:sz w:val="20"/>
                <w:szCs w:val="20"/>
                <w:color w:val="auto"/>
              </w:rPr>
            </w:pPr>
            <w:r>
              <w:rPr>
                <w:rFonts w:ascii="Arial" w:cs="Arial" w:eastAsia="Arial" w:hAnsi="Arial"/>
                <w:sz w:val="18"/>
                <w:szCs w:val="18"/>
                <w:b w:val="1"/>
                <w:bCs w:val="1"/>
                <w:color w:val="auto"/>
              </w:rPr>
              <w:t>Title of Each Class of Security</w:t>
            </w:r>
          </w:p>
        </w:tc>
        <w:tc>
          <w:tcPr>
            <w:tcW w:w="180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Amount Being</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Aggregate Offering</w:t>
            </w:r>
          </w:p>
        </w:tc>
        <w:tc>
          <w:tcPr>
            <w:tcW w:w="1620" w:type="dxa"/>
            <w:vAlign w:val="bottom"/>
          </w:tcPr>
          <w:p>
            <w:pPr>
              <w:ind w:left="400"/>
              <w:spacing w:after="0"/>
              <w:rPr>
                <w:sz w:val="20"/>
                <w:szCs w:val="20"/>
                <w:color w:val="auto"/>
              </w:rPr>
            </w:pPr>
            <w:r>
              <w:rPr>
                <w:rFonts w:ascii="Arial" w:cs="Arial" w:eastAsia="Arial" w:hAnsi="Arial"/>
                <w:sz w:val="18"/>
                <w:szCs w:val="18"/>
                <w:b w:val="1"/>
                <w:bCs w:val="1"/>
                <w:color w:val="auto"/>
              </w:rPr>
              <w:t>Amount of</w:t>
            </w:r>
          </w:p>
        </w:tc>
      </w:tr>
      <w:tr>
        <w:trPr>
          <w:trHeight w:val="270"/>
        </w:trPr>
        <w:tc>
          <w:tcPr>
            <w:tcW w:w="412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Being Registered</w:t>
            </w:r>
          </w:p>
        </w:tc>
        <w:tc>
          <w:tcPr>
            <w:tcW w:w="18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Registered</w:t>
            </w:r>
          </w:p>
        </w:tc>
        <w:tc>
          <w:tcPr>
            <w:tcW w:w="18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Security</w:t>
            </w:r>
            <w:r>
              <w:rPr>
                <w:rFonts w:ascii="Arial" w:cs="Arial" w:eastAsia="Arial" w:hAnsi="Arial"/>
                <w:sz w:val="29"/>
                <w:szCs w:val="29"/>
                <w:b w:val="1"/>
                <w:bCs w:val="1"/>
                <w:color w:val="auto"/>
                <w:w w:val="84"/>
                <w:vertAlign w:val="superscript"/>
              </w:rPr>
              <w:t>(1)</w:t>
            </w:r>
          </w:p>
        </w:tc>
        <w:tc>
          <w:tcPr>
            <w:tcW w:w="1880" w:type="dxa"/>
            <w:vAlign w:val="bottom"/>
            <w:tcBorders>
              <w:bottom w:val="single" w:sz="8" w:color="auto"/>
            </w:tcBorders>
          </w:tcPr>
          <w:p>
            <w:pPr>
              <w:ind w:left="640"/>
              <w:spacing w:after="0" w:line="270" w:lineRule="exact"/>
              <w:rPr>
                <w:sz w:val="20"/>
                <w:szCs w:val="20"/>
                <w:color w:val="auto"/>
              </w:rPr>
            </w:pPr>
            <w:r>
              <w:rPr>
                <w:rFonts w:ascii="Arial" w:cs="Arial" w:eastAsia="Arial" w:hAnsi="Arial"/>
                <w:sz w:val="18"/>
                <w:szCs w:val="18"/>
                <w:b w:val="1"/>
                <w:bCs w:val="1"/>
                <w:color w:val="auto"/>
              </w:rPr>
              <w:t>Price</w:t>
            </w:r>
            <w:r>
              <w:rPr>
                <w:rFonts w:ascii="Arial" w:cs="Arial" w:eastAsia="Arial" w:hAnsi="Arial"/>
                <w:sz w:val="29"/>
                <w:szCs w:val="29"/>
                <w:b w:val="1"/>
                <w:bCs w:val="1"/>
                <w:color w:val="auto"/>
                <w:vertAlign w:val="superscript"/>
              </w:rPr>
              <w:t>(1)</w:t>
            </w:r>
          </w:p>
        </w:tc>
        <w:tc>
          <w:tcPr>
            <w:tcW w:w="16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Registration Fee</w:t>
            </w:r>
          </w:p>
        </w:tc>
      </w:tr>
      <w:tr>
        <w:trPr>
          <w:trHeight w:val="195"/>
        </w:trPr>
        <w:tc>
          <w:tcPr>
            <w:tcW w:w="4120" w:type="dxa"/>
            <w:vAlign w:val="bottom"/>
          </w:tcPr>
          <w:p>
            <w:pPr>
              <w:spacing w:after="0" w:line="195" w:lineRule="exact"/>
              <w:rPr>
                <w:sz w:val="20"/>
                <w:szCs w:val="20"/>
                <w:color w:val="auto"/>
              </w:rPr>
            </w:pPr>
            <w:r>
              <w:rPr>
                <w:rFonts w:ascii="Arial" w:cs="Arial" w:eastAsia="Arial" w:hAnsi="Arial"/>
                <w:sz w:val="18"/>
                <w:szCs w:val="18"/>
                <w:color w:val="auto"/>
                <w:w w:val="97"/>
              </w:rPr>
              <w:t>Units, each consisting of one Class A ordinary share,</w:t>
            </w: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20"/>
        </w:trPr>
        <w:tc>
          <w:tcPr>
            <w:tcW w:w="4120" w:type="dxa"/>
            <w:vAlign w:val="bottom"/>
          </w:tcPr>
          <w:p>
            <w:pPr>
              <w:spacing w:after="0"/>
              <w:rPr>
                <w:sz w:val="20"/>
                <w:szCs w:val="20"/>
                <w:color w:val="auto"/>
              </w:rPr>
            </w:pPr>
            <w:r>
              <w:rPr>
                <w:rFonts w:ascii="Arial" w:cs="Arial" w:eastAsia="Arial" w:hAnsi="Arial"/>
                <w:sz w:val="18"/>
                <w:szCs w:val="18"/>
                <w:color w:val="auto"/>
              </w:rPr>
              <w:t>$0.0001 par value, and one-half of one redeemable</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67"/>
        </w:trPr>
        <w:tc>
          <w:tcPr>
            <w:tcW w:w="4120" w:type="dxa"/>
            <w:vAlign w:val="bottom"/>
            <w:tcBorders>
              <w:bottom w:val="single" w:sz="8" w:color="auto"/>
            </w:tcBorders>
          </w:tcPr>
          <w:p>
            <w:pPr>
              <w:spacing w:after="0" w:line="267" w:lineRule="exact"/>
              <w:rPr>
                <w:sz w:val="20"/>
                <w:szCs w:val="20"/>
                <w:color w:val="auto"/>
              </w:rPr>
            </w:pPr>
            <w:r>
              <w:rPr>
                <w:rFonts w:ascii="Arial" w:cs="Arial" w:eastAsia="Arial" w:hAnsi="Arial"/>
                <w:sz w:val="18"/>
                <w:szCs w:val="18"/>
                <w:color w:val="auto"/>
              </w:rPr>
              <w:t>warrant</w:t>
            </w:r>
            <w:r>
              <w:rPr>
                <w:rFonts w:ascii="Arial" w:cs="Arial" w:eastAsia="Arial" w:hAnsi="Arial"/>
                <w:sz w:val="29"/>
                <w:szCs w:val="29"/>
                <w:color w:val="auto"/>
                <w:vertAlign w:val="superscript"/>
              </w:rPr>
              <w:t>(2)</w:t>
            </w:r>
          </w:p>
        </w:tc>
        <w:tc>
          <w:tcPr>
            <w:tcW w:w="18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2"/>
              </w:rPr>
              <w:t>28,750,000 Units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$10.00</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$287,500,000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$34,845</w:t>
            </w:r>
          </w:p>
        </w:tc>
      </w:tr>
      <w:tr>
        <w:trPr>
          <w:trHeight w:val="250"/>
        </w:trPr>
        <w:tc>
          <w:tcPr>
            <w:tcW w:w="412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color w:val="auto"/>
                <w:w w:val="98"/>
              </w:rPr>
              <w:t>Class A ordinary shares included as part of the units</w:t>
            </w:r>
            <w:r>
              <w:rPr>
                <w:rFonts w:ascii="Arial" w:cs="Arial" w:eastAsia="Arial" w:hAnsi="Arial"/>
                <w:sz w:val="28"/>
                <w:szCs w:val="28"/>
                <w:color w:val="auto"/>
                <w:w w:val="98"/>
                <w:vertAlign w:val="superscript"/>
              </w:rPr>
              <w:t>(3)</w:t>
            </w:r>
          </w:p>
        </w:tc>
        <w:tc>
          <w:tcPr>
            <w:tcW w:w="18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28,750,000 Shares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(4)</w:t>
            </w:r>
          </w:p>
        </w:tc>
      </w:tr>
      <w:tr>
        <w:trPr>
          <w:trHeight w:val="250"/>
        </w:trPr>
        <w:tc>
          <w:tcPr>
            <w:tcW w:w="4120" w:type="dxa"/>
            <w:vAlign w:val="bottom"/>
            <w:tcBorders>
              <w:bottom w:val="single" w:sz="8" w:color="auto"/>
            </w:tcBorders>
          </w:tcPr>
          <w:p>
            <w:pPr>
              <w:spacing w:after="0" w:line="250" w:lineRule="exact"/>
              <w:rPr>
                <w:sz w:val="20"/>
                <w:szCs w:val="20"/>
                <w:color w:val="auto"/>
              </w:rPr>
            </w:pPr>
            <w:r>
              <w:rPr>
                <w:rFonts w:ascii="Arial" w:cs="Arial" w:eastAsia="Arial" w:hAnsi="Arial"/>
                <w:sz w:val="17"/>
                <w:szCs w:val="17"/>
                <w:color w:val="auto"/>
              </w:rPr>
              <w:t>Redeemable warrants included as part of the units</w:t>
            </w:r>
            <w:r>
              <w:rPr>
                <w:rFonts w:ascii="Arial" w:cs="Arial" w:eastAsia="Arial" w:hAnsi="Arial"/>
                <w:sz w:val="28"/>
                <w:szCs w:val="28"/>
                <w:color w:val="auto"/>
                <w:vertAlign w:val="superscript"/>
              </w:rPr>
              <w:t>(3)</w:t>
            </w:r>
          </w:p>
        </w:tc>
        <w:tc>
          <w:tcPr>
            <w:tcW w:w="18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14,375,000 Warrants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(4)</w:t>
            </w:r>
          </w:p>
        </w:tc>
      </w:tr>
      <w:tr>
        <w:trPr>
          <w:trHeight w:val="21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$287,500,000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$34,845</w:t>
            </w:r>
          </w:p>
        </w:tc>
      </w:tr>
    </w:tbl>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3,750,000 units, consisting of 3,750,000 Class A ordinary shares and 1,875,000 warrants, which may be issued upon exercise of a 45-day option granted to the underwriters to cover over-allotments, if any.</w:t>
      </w:r>
    </w:p>
    <w:p>
      <w:pPr>
        <w:spacing w:after="0" w:line="170"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share splits, share dividends or similar transactions.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2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 w:name="page3"/>
    <w:bookmarkEnd w:id="2"/>
    <w:p>
      <w:pPr>
        <w:ind w:right="460"/>
        <w:spacing w:after="0" w:line="263"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SUBJECT TO COMPLETION, DATED JUNE 20,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 Units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Silver Spike Acquisition Corp. is a newly incorporated blank check company incorporated as a Cayman Islands exempted company and incorporated for the purpose of effecting a merger, amalgamation, share exchange, asset acquisition, share purchase, reorganization or similar business combination with one or more businesses, which we refer to throughout this prospectus as our initial business combination. We have not selected any business combination target and we have not, nor has anyone on our behalf, initiated any substantive discussions, directly or indirectly, with any business combination target. 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as provided herein, and only whole warrants are exercisable.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have also granted the underwriters a 45-day option to purchase up to an additional 3,750,000 units to cover over-allotments, if any.</w:t>
      </w:r>
    </w:p>
    <w:p>
      <w:pPr>
        <w:spacing w:after="0" w:line="17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described below as of two business days prior to the completion of our initial business combination, including interest (which interest shall be net of taxes payable), divided by the number of then issued and outstanding Class A ordinary shares that were sold as part of the units in this offering, which we refer to collectively as our public shares, subject to the limitations described herein. If we are unable to complete our initial business combination within 24 months from the closing of this offering, we will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subject to applicable law and as further described herein.</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sponsor, Silver Spike Sponsor, LLC, a Delaware limited liability company (which we refer to as our “sponsor” throughout this prospectus), has committed to purchase an aggregate of 7,000,000 warrants (or 7,750,000 warrants if the underwriters’ over-allotment option is exercised in full) at a price of $1.00 per warrant ($7,000,000 in the aggregate or $7,750,000 in the aggregate if the underwriters’ over-allotment option is exercised in full) in a private placement that will close simultaneously with the closing of this offering. We refer to these warrants throughout this prospectus as the private placement warrants. Each private placement warrant entitles the holder thereof to purchase one Class A ordinary share at $11.50 per share, subject to adjustment as provided herein.</w:t>
      </w:r>
    </w:p>
    <w:p>
      <w:pPr>
        <w:spacing w:after="0" w:line="19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initial shareholders currently hold 7,187,500 founder shares (as defined below), up to 937,500 of which are subject to forfeiture by our sponsor depending on the extent to which the underwriters’ over-allotment option is exercised.</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Prior to this offering, there has been no public market for our units, ordinary shares or warrants. We intend to apply to list our units on the Nasdaq Capital Market, or Nasdaq, under the symbol “ ” on or promptly after the date of this prospectus. We cannot guarantee that our securities will be approved for listing on Nasdaq. The Class A ordinary shares and warrants constituting the units will begin separate trading on the 52nd day following the date of this prospectus unless Credit Suisse Securities (USA) LLC informs us of its decision to allow earlier separate trading, subject to our filing a Current Report on Form 8-K with the Securities and Exchange Commission, or the “SEC”, containing an audited balance sheet of the Company reflecting our receipt of the gross proceeds of this offering and issuing a press release announcing when such separate trading will begin. Once the securities constituting the units begin separate trading, we expect that the Class A ordinary shares and warrants will be listed on Nasdaq under the symbols “ ” and “ ,” respectively.</w:t>
      </w:r>
    </w:p>
    <w:p>
      <w:pPr>
        <w:spacing w:after="0" w:line="162"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We are an “emerging growth company” under applicable federal securities laws and will be subject to reduced public company reporting requirements. Investing in our securities involves risks. See the section of this prospectus entitled “Risk Factors” beginning on page 29. Investors will not be entitled to protections normally afforded to investors in Rule 419 blank check offerings.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Borders>
              <w:bottom w:val="single" w:sz="8" w:color="D5EAEA"/>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Per Unit</w:t>
            </w:r>
          </w:p>
        </w:tc>
        <w:tc>
          <w:tcPr>
            <w:tcW w:w="100" w:type="dxa"/>
            <w:vAlign w:val="bottom"/>
            <w:tcBorders>
              <w:bottom w:val="single" w:sz="8" w:color="D5EAEA"/>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10"/>
        </w:trPr>
        <w:tc>
          <w:tcPr>
            <w:tcW w:w="800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2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D5EAEA"/>
          </w:tcPr>
          <w:p>
            <w:pPr>
              <w:spacing w:after="0"/>
              <w:rPr>
                <w:sz w:val="18"/>
                <w:szCs w:val="18"/>
                <w:color w:val="auto"/>
              </w:rPr>
            </w:pPr>
          </w:p>
        </w:tc>
        <w:tc>
          <w:tcPr>
            <w:tcW w:w="32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250,000,000</w:t>
            </w:r>
          </w:p>
        </w:tc>
      </w:tr>
      <w:tr>
        <w:trPr>
          <w:trHeight w:val="256"/>
        </w:trPr>
        <w:tc>
          <w:tcPr>
            <w:tcW w:w="800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13,750,000</w:t>
            </w:r>
          </w:p>
        </w:tc>
      </w:tr>
      <w:tr>
        <w:trPr>
          <w:trHeight w:val="216"/>
        </w:trPr>
        <w:tc>
          <w:tcPr>
            <w:tcW w:w="8000" w:type="dxa"/>
            <w:vAlign w:val="bottom"/>
            <w:shd w:val="clear" w:color="auto" w:fill="D5EAEA"/>
          </w:tcPr>
          <w:p>
            <w:pPr>
              <w:spacing w:after="0"/>
              <w:rPr>
                <w:sz w:val="20"/>
                <w:szCs w:val="20"/>
                <w:color w:val="auto"/>
              </w:rPr>
            </w:pPr>
            <w:r>
              <w:rPr>
                <w:rFonts w:ascii="Arial" w:cs="Arial" w:eastAsia="Arial" w:hAnsi="Arial"/>
                <w:sz w:val="18"/>
                <w:szCs w:val="18"/>
                <w:color w:val="auto"/>
              </w:rPr>
              <w:t>Proceeds, before expenses, to us</w:t>
            </w:r>
          </w:p>
        </w:tc>
        <w:tc>
          <w:tcPr>
            <w:tcW w:w="2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9.45</w:t>
            </w:r>
          </w:p>
        </w:tc>
        <w:tc>
          <w:tcPr>
            <w:tcW w:w="420" w:type="dxa"/>
            <w:vAlign w:val="bottom"/>
            <w:gridSpan w:val="2"/>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236,250,000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4" w:lineRule="exact"/>
        <w:rPr>
          <w:sz w:val="20"/>
          <w:szCs w:val="20"/>
          <w:color w:val="auto"/>
        </w:rPr>
      </w:pPr>
    </w:p>
    <w:p>
      <w:pPr>
        <w:ind w:left="340" w:right="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$0.35 per unit, or $8,750,000 (or up to $10,062,500 if the underwriters’ over-allotment option is exercised in full) in the aggregate, payable to the underwriters for deferred underwriting commissions to be placed in a trust account located in the United States as described herein. Does not include certain fees and expenses payable to the underwriters in connection with this offering. See also “Underwriting” for a description of compensation and other items of value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256"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Of the proceeds we receive from this offering and the sale of the private placement warrants described in this prospectus, $250,000,000 or $287,500,000 if</w:t>
      </w:r>
    </w:p>
    <w:p>
      <w:pPr>
        <w:spacing w:after="0" w:line="46"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underwriters’ over-allotment option is exercised in full ($10.00 per unit), will be deposited into a U.S.-based trust account with acting as trustee. 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w:t>
      </w:r>
    </w:p>
    <w:p>
      <w:pPr>
        <w:spacing w:after="0" w:line="2" w:lineRule="exact"/>
        <w:rPr>
          <w:sz w:val="20"/>
          <w:szCs w:val="20"/>
          <w:color w:val="auto"/>
        </w:rPr>
      </w:pPr>
    </w:p>
    <w:p>
      <w:pPr>
        <w:ind w:right="20" w:firstLine="8"/>
        <w:spacing w:after="0" w:line="253"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The proceeds deposited in the trust account could become subject to the claims of our creditors, if any, which could have priority over the claims of our public shareholders.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r>
              <w:rPr>
                <w:rFonts w:ascii="Arial" w:cs="Arial" w:eastAsia="Arial" w:hAnsi="Arial"/>
                <w:sz w:val="18"/>
                <w:szCs w:val="18"/>
                <w:color w:val="auto"/>
                <w:w w:val="94"/>
              </w:rPr>
              <w:t>The underwriters are offering the units for sale on a firm commitment basis. Delivery of the units will be made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Suisse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4060"/>
              <w:spacing w:after="0"/>
              <w:rPr>
                <w:sz w:val="20"/>
                <w:szCs w:val="20"/>
                <w:color w:val="auto"/>
              </w:rPr>
            </w:pPr>
            <w:r>
              <w:rPr>
                <w:rFonts w:ascii="Arial" w:cs="Arial" w:eastAsia="Arial" w:hAnsi="Arial"/>
                <w:sz w:val="18"/>
                <w:szCs w:val="18"/>
                <w:color w:val="auto"/>
              </w:rPr>
              <w:t>The date of this prospectus is</w:t>
            </w:r>
          </w:p>
        </w:tc>
        <w:tc>
          <w:tcPr>
            <w:tcW w:w="4780" w:type="dxa"/>
            <w:vAlign w:val="bottom"/>
          </w:tcPr>
          <w:p>
            <w:pPr>
              <w:jc w:val="right"/>
              <w:ind w:right="3950"/>
              <w:spacing w:after="0"/>
              <w:rPr>
                <w:sz w:val="20"/>
                <w:szCs w:val="20"/>
                <w:color w:val="auto"/>
              </w:rPr>
            </w:pPr>
            <w:r>
              <w:rPr>
                <w:rFonts w:ascii="Arial" w:cs="Arial" w:eastAsia="Arial" w:hAnsi="Arial"/>
                <w:sz w:val="18"/>
                <w:szCs w:val="18"/>
                <w:color w:val="auto"/>
              </w:rPr>
              <w:t>, 2019</w:t>
            </w:r>
          </w:p>
        </w:tc>
      </w:tr>
      <w:tr>
        <w:trPr>
          <w:trHeight w:val="567"/>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00" w:type="dxa"/>
            <w:vAlign w:val="bottom"/>
            <w:gridSpan w:val="2"/>
          </w:tcPr>
          <w:p>
            <w:pPr>
              <w:ind w:left="500"/>
              <w:spacing w:after="0"/>
              <w:rPr>
                <w:sz w:val="20"/>
                <w:szCs w:val="20"/>
                <w:color w:val="auto"/>
              </w:rPr>
            </w:pPr>
            <w:r>
              <w:rPr>
                <w:rFonts w:ascii="Arial" w:cs="Arial" w:eastAsia="Arial" w:hAnsi="Arial"/>
                <w:sz w:val="18"/>
                <w:szCs w:val="18"/>
                <w:b w:val="1"/>
                <w:bCs w:val="1"/>
                <w:color w:val="auto"/>
              </w:rPr>
              <w:t>TABLE OF CONTENTS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380" w:type="dxa"/>
            <w:vAlign w:val="bottom"/>
            <w:gridSpan w:val="5"/>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3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3040" w:type="dxa"/>
            <w:vAlign w:val="bottom"/>
          </w:tcPr>
          <w:p>
            <w:pPr>
              <w:spacing w:after="0"/>
              <w:rPr>
                <w:sz w:val="24"/>
                <w:szCs w:val="24"/>
                <w:color w:val="auto"/>
              </w:rPr>
            </w:pPr>
          </w:p>
        </w:tc>
        <w:tc>
          <w:tcPr>
            <w:tcW w:w="340" w:type="dxa"/>
            <w:vAlign w:val="bottom"/>
            <w:tcBorders>
              <w:top w:val="single" w:sz="8" w:color="auto"/>
            </w:tcBorders>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4"/>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The Offering</w:t>
              </w:r>
            </w:hyperlink>
          </w:p>
        </w:tc>
        <w:tc>
          <w:tcPr>
            <w:tcW w:w="6920" w:type="dxa"/>
            <w:vAlign w:val="bottom"/>
            <w:gridSpan w:val="15"/>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20" w:type="dxa"/>
            <w:vAlign w:val="bottom"/>
          </w:tcPr>
          <w:p>
            <w:pPr>
              <w:spacing w:after="0"/>
              <w:rPr>
                <w:sz w:val="17"/>
                <w:szCs w:val="17"/>
                <w:color w:val="auto"/>
              </w:rPr>
            </w:pPr>
          </w:p>
        </w:tc>
        <w:tc>
          <w:tcPr>
            <w:tcW w:w="6920" w:type="dxa"/>
            <w:vAlign w:val="bottom"/>
            <w:gridSpan w:val="15"/>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41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Cautionary Note Regarding Forward-Looking Statements</w:t>
              </w:r>
            </w:hyperlink>
          </w:p>
        </w:tc>
        <w:tc>
          <w:tcPr>
            <w:tcW w:w="3700" w:type="dxa"/>
            <w:vAlign w:val="bottom"/>
            <w:gridSpan w:val="2"/>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61</w:t>
              </w:r>
            </w:hyperlink>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Use of Proceeds</w:t>
              </w:r>
            </w:hyperlink>
          </w:p>
        </w:tc>
        <w:tc>
          <w:tcPr>
            <w:tcW w:w="6680" w:type="dxa"/>
            <w:vAlign w:val="bottom"/>
            <w:gridSpan w:val="11"/>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196"/>
        </w:trPr>
        <w:tc>
          <w:tcPr>
            <w:tcW w:w="7860" w:type="dxa"/>
            <w:vAlign w:val="bottom"/>
            <w:gridSpan w:val="1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66</w:t>
              </w:r>
            </w:hyperlink>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Dilution</w:t>
              </w:r>
            </w:hyperlink>
          </w:p>
        </w:tc>
        <w:tc>
          <w:tcPr>
            <w:tcW w:w="6680" w:type="dxa"/>
            <w:vAlign w:val="bottom"/>
            <w:gridSpan w:val="11"/>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Capitalization</w:t>
              </w:r>
            </w:hyperlink>
          </w:p>
        </w:tc>
        <w:tc>
          <w:tcPr>
            <w:tcW w:w="6820" w:type="dxa"/>
            <w:vAlign w:val="bottom"/>
            <w:gridSpan w:val="12"/>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69</w:t>
              </w:r>
            </w:hyperlink>
          </w:p>
        </w:tc>
        <w:tc>
          <w:tcPr>
            <w:tcW w:w="0" w:type="dxa"/>
            <w:vAlign w:val="bottom"/>
          </w:tcPr>
          <w:p>
            <w:pPr>
              <w:spacing w:after="0"/>
              <w:rPr>
                <w:sz w:val="1"/>
                <w:szCs w:val="1"/>
                <w:color w:val="auto"/>
              </w:rPr>
            </w:pPr>
          </w:p>
        </w:tc>
      </w:tr>
      <w:tr>
        <w:trPr>
          <w:trHeight w:val="196"/>
        </w:trPr>
        <w:tc>
          <w:tcPr>
            <w:tcW w:w="7860" w:type="dxa"/>
            <w:vAlign w:val="bottom"/>
            <w:gridSpan w:val="1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 Operations</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Proposed Business</w:t>
              </w:r>
            </w:hyperlink>
          </w:p>
        </w:tc>
        <w:tc>
          <w:tcPr>
            <w:tcW w:w="1400" w:type="dxa"/>
            <w:vAlign w:val="bottom"/>
          </w:tcPr>
          <w:p>
            <w:pPr>
              <w:spacing w:after="0"/>
              <w:rPr>
                <w:sz w:val="17"/>
                <w:szCs w:val="17"/>
                <w:color w:val="auto"/>
              </w:rPr>
            </w:pPr>
          </w:p>
        </w:tc>
        <w:tc>
          <w:tcPr>
            <w:tcW w:w="320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76</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Management</w:t>
              </w:r>
            </w:hyperlink>
          </w:p>
        </w:tc>
        <w:tc>
          <w:tcPr>
            <w:tcW w:w="6500" w:type="dxa"/>
            <w:vAlign w:val="bottom"/>
            <w:gridSpan w:val="10"/>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101</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gridSpan w:val="1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Principal Shareholders</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gridSpan w:val="19"/>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Certain Relationships and Related Party Transactions</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11"/>
          </w:tcPr>
          <w:p>
            <w:pPr>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Description of Securities</w:t>
              </w:r>
            </w:hyperlink>
          </w:p>
        </w:tc>
        <w:tc>
          <w:tcPr>
            <w:tcW w:w="2040" w:type="dxa"/>
            <w:vAlign w:val="bottom"/>
            <w:gridSpan w:val="5"/>
          </w:tcPr>
          <w:p>
            <w:pPr>
              <w:spacing w:after="0"/>
              <w:rPr>
                <w:sz w:val="17"/>
                <w:szCs w:val="17"/>
                <w:color w:val="auto"/>
              </w:rPr>
            </w:pPr>
          </w:p>
        </w:tc>
        <w:tc>
          <w:tcPr>
            <w:tcW w:w="4020" w:type="dxa"/>
            <w:vAlign w:val="bottom"/>
            <w:gridSpan w:val="3"/>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115</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60" w:type="dxa"/>
            <w:vAlign w:val="bottom"/>
            <w:gridSpan w:val="19"/>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Income Tax Considerations</w:t>
              </w:r>
            </w:hyperlink>
          </w:p>
        </w:tc>
        <w:tc>
          <w:tcPr>
            <w:tcW w:w="3380" w:type="dxa"/>
            <w:vAlign w:val="bottom"/>
            <w:gridSpan w:val="5"/>
          </w:tcPr>
          <w:p>
            <w:pPr>
              <w:jc w:val="right"/>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w w:val="94"/>
              </w:rPr>
            </w:pPr>
            <w:hyperlink w:anchor="page149">
              <w:r>
                <w:rPr>
                  <w:rFonts w:ascii="Arial" w:cs="Arial" w:eastAsia="Arial" w:hAnsi="Arial"/>
                  <w:sz w:val="18"/>
                  <w:szCs w:val="18"/>
                  <w:color w:val="0000EE"/>
                  <w:w w:val="94"/>
                </w:rPr>
                <w:t>Underwriting</w:t>
              </w:r>
            </w:hyperlink>
          </w:p>
        </w:tc>
        <w:tc>
          <w:tcPr>
            <w:tcW w:w="1000" w:type="dxa"/>
            <w:vAlign w:val="bottom"/>
            <w:gridSpan w:val="7"/>
          </w:tcPr>
          <w:p>
            <w:pPr>
              <w:spacing w:after="0"/>
              <w:rPr>
                <w:sz w:val="17"/>
                <w:szCs w:val="17"/>
                <w:color w:val="auto"/>
              </w:rPr>
            </w:pPr>
          </w:p>
        </w:tc>
        <w:tc>
          <w:tcPr>
            <w:tcW w:w="5880" w:type="dxa"/>
            <w:vAlign w:val="bottom"/>
            <w:gridSpan w:val="7"/>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142</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6"/>
          </w:tcPr>
          <w:p>
            <w:pPr>
              <w:spacing w:after="0" w:line="196" w:lineRule="exact"/>
              <w:rPr>
                <w:rFonts w:ascii="Arial" w:cs="Arial" w:eastAsia="Arial" w:hAnsi="Arial"/>
                <w:sz w:val="18"/>
                <w:szCs w:val="18"/>
                <w:color w:val="0000EE"/>
                <w:w w:val="91"/>
              </w:rPr>
            </w:pPr>
            <w:hyperlink w:anchor="page155">
              <w:r>
                <w:rPr>
                  <w:rFonts w:ascii="Arial" w:cs="Arial" w:eastAsia="Arial" w:hAnsi="Arial"/>
                  <w:sz w:val="18"/>
                  <w:szCs w:val="18"/>
                  <w:color w:val="0000EE"/>
                  <w:w w:val="91"/>
                </w:rPr>
                <w:t>Legal Matters</w:t>
              </w:r>
            </w:hyperlink>
          </w:p>
        </w:tc>
        <w:tc>
          <w:tcPr>
            <w:tcW w:w="6840" w:type="dxa"/>
            <w:vAlign w:val="bottom"/>
            <w:gridSpan w:val="13"/>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148</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5"/>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rFonts w:ascii="Arial" w:cs="Arial" w:eastAsia="Arial" w:hAnsi="Arial"/>
                <w:sz w:val="18"/>
                <w:szCs w:val="18"/>
                <w:color w:val="0000EE"/>
                <w:w w:val="85"/>
              </w:rPr>
            </w:pPr>
            <w:hyperlink w:anchor="page155">
              <w:r>
                <w:rPr>
                  <w:rFonts w:ascii="Arial" w:cs="Arial" w:eastAsia="Arial" w:hAnsi="Arial"/>
                  <w:sz w:val="18"/>
                  <w:szCs w:val="18"/>
                  <w:color w:val="0000EE"/>
                  <w:w w:val="85"/>
                </w:rPr>
                <w:t>Experts</w:t>
              </w:r>
            </w:hyperlink>
          </w:p>
        </w:tc>
        <w:tc>
          <w:tcPr>
            <w:tcW w:w="460" w:type="dxa"/>
            <w:vAlign w:val="bottom"/>
            <w:gridSpan w:val="5"/>
          </w:tcPr>
          <w:p>
            <w:pPr>
              <w:spacing w:after="0"/>
              <w:rPr>
                <w:sz w:val="17"/>
                <w:szCs w:val="17"/>
                <w:color w:val="auto"/>
              </w:rPr>
            </w:pPr>
          </w:p>
        </w:tc>
        <w:tc>
          <w:tcPr>
            <w:tcW w:w="6840" w:type="dxa"/>
            <w:vAlign w:val="bottom"/>
            <w:gridSpan w:val="13"/>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148</w:t>
              </w:r>
            </w:hyperlink>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0" w:type="dxa"/>
            <w:vAlign w:val="bottom"/>
            <w:gridSpan w:val="1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31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14"/>
          </w:tcPr>
          <w:p>
            <w:pPr>
              <w:spacing w:after="0" w:line="196" w:lineRule="exact"/>
              <w:rPr>
                <w:rFonts w:ascii="Arial" w:cs="Arial" w:eastAsia="Arial" w:hAnsi="Arial"/>
                <w:sz w:val="18"/>
                <w:szCs w:val="18"/>
                <w:color w:val="0000EE"/>
                <w:w w:val="93"/>
              </w:rPr>
            </w:pPr>
            <w:hyperlink w:anchor="page155">
              <w:r>
                <w:rPr>
                  <w:rFonts w:ascii="Arial" w:cs="Arial" w:eastAsia="Arial" w:hAnsi="Arial"/>
                  <w:sz w:val="18"/>
                  <w:szCs w:val="18"/>
                  <w:color w:val="0000EE"/>
                  <w:w w:val="93"/>
                </w:rPr>
                <w:t>Where You Can Find Additional Information</w:t>
              </w:r>
            </w:hyperlink>
          </w:p>
        </w:tc>
        <w:tc>
          <w:tcPr>
            <w:tcW w:w="4600" w:type="dxa"/>
            <w:vAlign w:val="bottom"/>
            <w:gridSpan w:val="5"/>
          </w:tcPr>
          <w:p>
            <w:pPr>
              <w:spacing w:after="0"/>
              <w:rPr>
                <w:sz w:val="17"/>
                <w:szCs w:val="17"/>
                <w:color w:val="auto"/>
              </w:rPr>
            </w:pPr>
          </w:p>
        </w:tc>
        <w:tc>
          <w:tcPr>
            <w:tcW w:w="3380" w:type="dxa"/>
            <w:vAlign w:val="bottom"/>
            <w:gridSpan w:val="5"/>
          </w:tcPr>
          <w:p>
            <w:pPr>
              <w:jc w:val="right"/>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148</w:t>
              </w:r>
            </w:hyperlink>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Index to Financial Statements</w:t>
              </w:r>
            </w:hyperlink>
          </w:p>
        </w:tc>
        <w:tc>
          <w:tcPr>
            <w:tcW w:w="1100" w:type="dxa"/>
            <w:vAlign w:val="bottom"/>
            <w:tcBorders>
              <w:top w:val="single" w:sz="8" w:color="0000EE"/>
            </w:tcBorders>
          </w:tcPr>
          <w:p>
            <w:pPr>
              <w:spacing w:after="0"/>
              <w:rPr>
                <w:sz w:val="17"/>
                <w:szCs w:val="17"/>
                <w:color w:val="auto"/>
              </w:rPr>
            </w:pPr>
          </w:p>
        </w:tc>
        <w:tc>
          <w:tcPr>
            <w:tcW w:w="4600" w:type="dxa"/>
            <w:vAlign w:val="bottom"/>
            <w:gridSpan w:val="5"/>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1"/>
              </w:rPr>
            </w:pPr>
            <w:hyperlink w:anchor="page156">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are responsible for the information contained in this prospectus. We have not authorized anyone to provide any information or to make any representations other than those contained in this prospectus. We and the underwriters take no responsibility for, and can provide no assurance as to the reliability of, any other information that others may give you. This prospectus is an offer to sell only the units offered hereby, but only under circumstances and in jurisdictions where it is lawful to do so. The information contained in this prospectus is current only as of its date.</w:t>
      </w:r>
    </w:p>
    <w:p>
      <w:pPr>
        <w:spacing w:after="0" w:line="16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Until , 2019,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6"/>
          <w:szCs w:val="16"/>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699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699250"/>
                    </a:xfrm>
                    <a:prstGeom prst="rect">
                      <a:avLst/>
                    </a:prstGeom>
                    <a:noFill/>
                  </pic:spPr>
                </pic:pic>
              </a:graphicData>
            </a:graphic>
          </wp:anchor>
        </w:drawing>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00" w:right="280"/>
        <w:spacing w:after="0" w:line="263"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Unless otherwise stated in this prospectus or the context otherwise requires, references to:</w:t>
      </w:r>
    </w:p>
    <w:p>
      <w:pPr>
        <w:spacing w:after="0" w:line="225" w:lineRule="exact"/>
        <w:rPr>
          <w:sz w:val="20"/>
          <w:szCs w:val="20"/>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“us,” “our,” “company” or “our company” are to Silver Spike Acquisition Corp., a Cayman Islands exempted company;</w:t>
      </w:r>
    </w:p>
    <w:p>
      <w:pPr>
        <w:spacing w:after="0" w:line="225" w:lineRule="exact"/>
        <w:rPr>
          <w:rFonts w:ascii="Arial" w:cs="Arial" w:eastAsia="Arial" w:hAnsi="Arial"/>
          <w:sz w:val="18"/>
          <w:szCs w:val="18"/>
          <w:color w:val="auto"/>
        </w:rPr>
      </w:pPr>
    </w:p>
    <w:p>
      <w:pPr>
        <w:ind w:left="740" w:right="420" w:hanging="31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“amended and restated memorandum and articles of association” are to our memorandum and articles of association to be in effect upon completion of this offering;</w:t>
      </w:r>
    </w:p>
    <w:p>
      <w:pPr>
        <w:spacing w:after="0" w:line="170" w:lineRule="exact"/>
        <w:rPr>
          <w:rFonts w:ascii="Arial" w:cs="Arial" w:eastAsia="Arial" w:hAnsi="Arial"/>
          <w:sz w:val="18"/>
          <w:szCs w:val="18"/>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“Class A ordinary shares” are to our Class A ordinary shares, par value $0.0001 per share;</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“Class B ordinary shares” are to our Class B ordinary shares, par value $0.0001 per share;</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“Companies Law” are to the Companies Law (2018 Revision) of the Cayman Islands as the same may be amended from time to time;</w:t>
      </w:r>
    </w:p>
    <w:p>
      <w:pPr>
        <w:spacing w:after="0" w:line="236" w:lineRule="exact"/>
        <w:rPr>
          <w:rFonts w:ascii="Arial" w:cs="Arial" w:eastAsia="Arial" w:hAnsi="Arial"/>
          <w:sz w:val="17"/>
          <w:szCs w:val="17"/>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225" w:lineRule="exact"/>
        <w:rPr>
          <w:rFonts w:ascii="Arial" w:cs="Arial" w:eastAsia="Arial" w:hAnsi="Arial"/>
          <w:sz w:val="18"/>
          <w:szCs w:val="18"/>
          <w:color w:val="auto"/>
        </w:rPr>
      </w:pPr>
    </w:p>
    <w:p>
      <w:pPr>
        <w:ind w:left="740" w:right="280" w:hanging="31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“founder shares” are to our Class B ordinary shares initially purchased by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65" w:lineRule="exact"/>
        <w:rPr>
          <w:rFonts w:ascii="Arial" w:cs="Arial" w:eastAsia="Arial" w:hAnsi="Arial"/>
          <w:sz w:val="17"/>
          <w:szCs w:val="17"/>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“initial shareholders” are to our sponsor and other holders of our founder shares prior to this offering (if any);</w:t>
      </w:r>
    </w:p>
    <w:p>
      <w:pPr>
        <w:spacing w:after="0" w:line="225" w:lineRule="exact"/>
        <w:rPr>
          <w:rFonts w:ascii="Arial" w:cs="Arial" w:eastAsia="Arial" w:hAnsi="Arial"/>
          <w:sz w:val="18"/>
          <w:szCs w:val="18"/>
          <w:color w:val="auto"/>
        </w:rPr>
      </w:pPr>
    </w:p>
    <w:p>
      <w:pPr>
        <w:ind w:left="740" w:right="60" w:hanging="31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“letter agreement” refers to the letter agreement entered into between us and our initial shareholders, directors and officers, the form of which is filed as an exhibit to the registration statement of which this prospectus forms a part;</w:t>
      </w:r>
    </w:p>
    <w:p>
      <w:pPr>
        <w:spacing w:after="0" w:line="170" w:lineRule="exact"/>
        <w:rPr>
          <w:rFonts w:ascii="Arial" w:cs="Arial" w:eastAsia="Arial" w:hAnsi="Arial"/>
          <w:sz w:val="18"/>
          <w:szCs w:val="18"/>
          <w:color w:val="auto"/>
        </w:rPr>
      </w:pPr>
    </w:p>
    <w:p>
      <w:pPr>
        <w:ind w:left="740" w:right="20" w:hanging="31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 and any other advisors described in the “Management” section of this prospectus;</w:t>
      </w:r>
    </w:p>
    <w:p>
      <w:pPr>
        <w:spacing w:after="0" w:line="170" w:lineRule="exact"/>
        <w:rPr>
          <w:rFonts w:ascii="Arial" w:cs="Arial" w:eastAsia="Arial" w:hAnsi="Arial"/>
          <w:sz w:val="18"/>
          <w:szCs w:val="18"/>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“ordinary shares” are to our Class A ordinary shares and our Class B ordinary shares;</w:t>
      </w:r>
    </w:p>
    <w:p>
      <w:pPr>
        <w:spacing w:after="0" w:line="225" w:lineRule="exact"/>
        <w:rPr>
          <w:rFonts w:ascii="Arial" w:cs="Arial" w:eastAsia="Arial" w:hAnsi="Arial"/>
          <w:sz w:val="18"/>
          <w:szCs w:val="18"/>
          <w:color w:val="auto"/>
        </w:rPr>
      </w:pPr>
    </w:p>
    <w:p>
      <w:pPr>
        <w:ind w:left="740" w:hanging="31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“private placement warrants” are to the warrants issued to our sponsor in a private placement simultaneously with the closing of this offering;</w:t>
      </w:r>
    </w:p>
    <w:p>
      <w:pPr>
        <w:spacing w:after="0" w:line="248" w:lineRule="exact"/>
        <w:rPr>
          <w:rFonts w:ascii="Arial" w:cs="Arial" w:eastAsia="Arial" w:hAnsi="Arial"/>
          <w:sz w:val="16"/>
          <w:szCs w:val="16"/>
          <w:color w:val="auto"/>
        </w:rPr>
      </w:pPr>
    </w:p>
    <w:p>
      <w:pPr>
        <w:ind w:left="740" w:right="420" w:hanging="31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“public shares” are to our Class A ordinary shares sold as part of the units in this offering (whether they are purchased in this offering or thereafter in the open market);</w:t>
      </w:r>
    </w:p>
    <w:p>
      <w:pPr>
        <w:spacing w:after="0" w:line="170" w:lineRule="exact"/>
        <w:rPr>
          <w:rFonts w:ascii="Arial" w:cs="Arial" w:eastAsia="Arial" w:hAnsi="Arial"/>
          <w:sz w:val="18"/>
          <w:szCs w:val="18"/>
          <w:color w:val="auto"/>
        </w:rPr>
      </w:pPr>
    </w:p>
    <w:p>
      <w:pPr>
        <w:ind w:left="740" w:hanging="318"/>
        <w:spacing w:after="0" w:line="342"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123" w:lineRule="exact"/>
        <w:rPr>
          <w:rFonts w:ascii="Arial" w:cs="Arial" w:eastAsia="Arial" w:hAnsi="Arial"/>
          <w:sz w:val="16"/>
          <w:szCs w:val="16"/>
          <w:color w:val="auto"/>
        </w:rPr>
      </w:pPr>
    </w:p>
    <w:p>
      <w:pPr>
        <w:ind w:left="740" w:hanging="31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“sponsor” are to Silver Spike Sponsor, LLC, a Delaware limited liability company;</w:t>
      </w:r>
    </w:p>
    <w:p>
      <w:pPr>
        <w:spacing w:after="0" w:line="225" w:lineRule="exact"/>
        <w:rPr>
          <w:rFonts w:ascii="Arial" w:cs="Arial" w:eastAsia="Arial" w:hAnsi="Arial"/>
          <w:sz w:val="18"/>
          <w:szCs w:val="18"/>
          <w:color w:val="auto"/>
        </w:rPr>
      </w:pPr>
    </w:p>
    <w:p>
      <w:pPr>
        <w:ind w:left="740" w:hanging="31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“warrants” are to our redeemable warrants sold as part of the units in this offering (whether they are purchased in this offering or thereafter in the open market) and the private placement warrants; and</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136130" cy="6030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40" w:hanging="31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sz w:val="20"/>
          <w:szCs w:val="20"/>
          <w:color w:val="auto"/>
        </w:rPr>
      </w:pPr>
    </w:p>
    <w:p>
      <w:pPr>
        <w:ind w:left="100"/>
        <w:spacing w:after="0" w:line="275" w:lineRule="auto"/>
        <w:rPr>
          <w:sz w:val="20"/>
          <w:szCs w:val="20"/>
          <w:color w:val="auto"/>
        </w:rPr>
      </w:pPr>
      <w:r>
        <w:rPr>
          <w:rFonts w:ascii="Arial" w:cs="Arial" w:eastAsia="Arial" w:hAnsi="Arial"/>
          <w:sz w:val="17"/>
          <w:szCs w:val="17"/>
          <w:i w:val="1"/>
          <w:iCs w:val="1"/>
          <w:color w:val="auto"/>
        </w:rPr>
        <w:t>Any conversion of the Class B ordinary shares described in this prospectus will take effect as a redemption of Class B ordinary shares and an issuance of Class A ordinary shares as a matter of Cayman Islands law. All references in this prospectus to shares of the Company being forfeited shall take effect as surrenders for no consideration of such shares as a matter of Cayman Islands law. Any share dividends described in this prospectus will take effect as a share capitalization as a matter of Cayman Islands law. Unless we tell you otherwise, the information in this prospectus assumes that the underwriters will not exercise their over-allotment option and the forfeiture by our sponsor of 937,500 founder shares.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00" w:right="220"/>
        <w:spacing w:after="0" w:line="275" w:lineRule="auto"/>
        <w:rPr>
          <w:sz w:val="20"/>
          <w:szCs w:val="20"/>
          <w:color w:val="auto"/>
        </w:rPr>
      </w:pPr>
      <w:r>
        <w:rPr>
          <w:rFonts w:ascii="Arial" w:cs="Arial" w:eastAsia="Arial" w:hAnsi="Arial"/>
          <w:sz w:val="17"/>
          <w:szCs w:val="17"/>
          <w:color w:val="auto"/>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spacing w:after="0" w:line="176" w:lineRule="exact"/>
        <w:rPr>
          <w:sz w:val="20"/>
          <w:szCs w:val="20"/>
          <w:color w:val="auto"/>
        </w:rPr>
      </w:pPr>
    </w:p>
    <w:p>
      <w:pPr>
        <w:ind w:left="100" w:right="40"/>
        <w:spacing w:after="0" w:line="301" w:lineRule="auto"/>
        <w:rPr>
          <w:sz w:val="20"/>
          <w:szCs w:val="20"/>
          <w:color w:val="auto"/>
        </w:rPr>
      </w:pPr>
      <w:r>
        <w:rPr>
          <w:rFonts w:ascii="Arial" w:cs="Arial" w:eastAsia="Arial" w:hAnsi="Arial"/>
          <w:sz w:val="16"/>
          <w:szCs w:val="16"/>
          <w:color w:val="auto"/>
        </w:rPr>
        <w:t>Our sponsor is an affiliate of Silver Spike Capital. Silver Spike Capital is an asset management fund focused on the burgeoning cannabis and related health &amp; 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spacing w:after="0" w:line="157" w:lineRule="exact"/>
        <w:rPr>
          <w:sz w:val="20"/>
          <w:szCs w:val="20"/>
          <w:color w:val="auto"/>
        </w:rPr>
      </w:pPr>
    </w:p>
    <w:p>
      <w:pPr>
        <w:ind w:left="100" w:right="100"/>
        <w:spacing w:after="0" w:line="289"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66"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cannabidiol (“CBD”) businesses that are compliant with the U.S. Agricultural Improvement Act of 2018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19 countries have legalized medical use and nearly 40 countries have decriminalized recreational use. Over the next 24 months, we believe that legislative activity in certain jurisdictions will further broaden our opportunity set for eligible acquisitions.</w:t>
      </w: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013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013450"/>
                    </a:xfrm>
                    <a:prstGeom prst="rect">
                      <a:avLst/>
                    </a:prstGeom>
                    <a:noFill/>
                  </pic:spPr>
                </pic:pic>
              </a:graphicData>
            </a:graphic>
          </wp:anchor>
        </w:drawing>
      </w:r>
    </w:p>
    <w:p>
      <w:pPr>
        <w:spacing w:after="0" w:line="178"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 In order to succeed under the new legislative and regulatory frameworks, we believe that businesses will need strong management teams with deep operational expertise and financial acumen.</w:t>
      </w:r>
    </w:p>
    <w:p>
      <w:pPr>
        <w:spacing w:after="0" w:line="185" w:lineRule="exact"/>
        <w:rPr>
          <w:sz w:val="20"/>
          <w:szCs w:val="20"/>
          <w:color w:val="auto"/>
        </w:rPr>
      </w:pPr>
    </w:p>
    <w:p>
      <w:pPr>
        <w:ind w:left="100" w:right="40"/>
        <w:spacing w:after="0" w:line="255" w:lineRule="auto"/>
        <w:rPr>
          <w:sz w:val="20"/>
          <w:szCs w:val="20"/>
          <w:color w:val="auto"/>
        </w:rPr>
      </w:pPr>
      <w:r>
        <w:rPr>
          <w:rFonts w:ascii="Arial" w:cs="Arial" w:eastAsia="Arial" w:hAnsi="Arial"/>
          <w:sz w:val="18"/>
          <w:szCs w:val="18"/>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192" w:lineRule="exact"/>
        <w:rPr>
          <w:sz w:val="20"/>
          <w:szCs w:val="20"/>
          <w:color w:val="auto"/>
        </w:rPr>
      </w:pPr>
    </w:p>
    <w:p>
      <w:pPr>
        <w:ind w:left="100" w:right="100"/>
        <w:spacing w:after="0" w:line="293" w:lineRule="auto"/>
        <w:rPr>
          <w:sz w:val="20"/>
          <w:szCs w:val="20"/>
          <w:color w:val="auto"/>
        </w:rPr>
      </w:pPr>
      <w:r>
        <w:rPr>
          <w:rFonts w:ascii="Arial" w:cs="Arial" w:eastAsia="Arial" w:hAnsi="Arial"/>
          <w:sz w:val="16"/>
          <w:szCs w:val="16"/>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164" w:lineRule="exact"/>
        <w:rPr>
          <w:sz w:val="20"/>
          <w:szCs w:val="20"/>
          <w:color w:val="auto"/>
        </w:rPr>
      </w:pPr>
    </w:p>
    <w:p>
      <w:pPr>
        <w:ind w:left="100" w:right="40"/>
        <w:spacing w:after="0" w:line="289" w:lineRule="auto"/>
        <w:rPr>
          <w:sz w:val="20"/>
          <w:szCs w:val="20"/>
          <w:color w:val="auto"/>
        </w:rPr>
      </w:pPr>
      <w:r>
        <w:rPr>
          <w:rFonts w:ascii="Arial" w:cs="Arial" w:eastAsia="Arial" w:hAnsi="Arial"/>
          <w:sz w:val="16"/>
          <w:szCs w:val="16"/>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166" w:lineRule="exact"/>
        <w:rPr>
          <w:sz w:val="20"/>
          <w:szCs w:val="20"/>
          <w:color w:val="auto"/>
        </w:rPr>
      </w:pPr>
    </w:p>
    <w:p>
      <w:pPr>
        <w:jc w:val="both"/>
        <w:ind w:left="100" w:right="80"/>
        <w:spacing w:after="0" w:line="308" w:lineRule="auto"/>
        <w:rPr>
          <w:sz w:val="20"/>
          <w:szCs w:val="20"/>
          <w:color w:val="auto"/>
        </w:rPr>
      </w:pPr>
      <w:r>
        <w:rPr>
          <w:rFonts w:ascii="Arial" w:cs="Arial" w:eastAsia="Arial" w:hAnsi="Arial"/>
          <w:sz w:val="17"/>
          <w:szCs w:val="17"/>
          <w:color w:val="auto"/>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left="100" w:right="80"/>
        <w:spacing w:after="0" w:line="311" w:lineRule="auto"/>
        <w:rPr>
          <w:sz w:val="20"/>
          <w:szCs w:val="20"/>
          <w:color w:val="auto"/>
        </w:rPr>
      </w:pPr>
      <w:r>
        <w:rPr>
          <w:rFonts w:ascii="Arial" w:cs="Arial" w:eastAsia="Arial" w:hAnsi="Arial"/>
          <w:sz w:val="16"/>
          <w:szCs w:val="16"/>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w:t>
      </w: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424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r>
    </w:p>
    <w:p>
      <w:pPr>
        <w:spacing w:after="0" w:line="178" w:lineRule="exact"/>
        <w:rPr>
          <w:sz w:val="20"/>
          <w:szCs w:val="20"/>
          <w:color w:val="auto"/>
        </w:rPr>
      </w:pPr>
    </w:p>
    <w:p>
      <w:pPr>
        <w:ind w:left="100" w:right="160"/>
        <w:spacing w:after="0" w:line="277" w:lineRule="auto"/>
        <w:rPr>
          <w:sz w:val="20"/>
          <w:szCs w:val="20"/>
          <w:color w:val="auto"/>
        </w:rPr>
      </w:pPr>
      <w:r>
        <w:rPr>
          <w:rFonts w:ascii="Arial" w:cs="Arial" w:eastAsia="Arial" w:hAnsi="Arial"/>
          <w:sz w:val="18"/>
          <w:szCs w:val="18"/>
          <w:color w:val="auto"/>
        </w:rPr>
        <w:t>collective operating, technical, regulatory and legal expertise in cannabis to build a strong business with competitive advantages to emerge as a leading public company in the space.</w:t>
      </w:r>
    </w:p>
    <w:p>
      <w:pPr>
        <w:spacing w:after="0" w:line="170" w:lineRule="exact"/>
        <w:rPr>
          <w:sz w:val="20"/>
          <w:szCs w:val="20"/>
          <w:color w:val="auto"/>
        </w:rPr>
      </w:pPr>
    </w:p>
    <w:p>
      <w:pPr>
        <w:ind w:left="100" w:right="60"/>
        <w:spacing w:after="0" w:line="275" w:lineRule="auto"/>
        <w:rPr>
          <w:sz w:val="20"/>
          <w:szCs w:val="20"/>
          <w:color w:val="auto"/>
        </w:rPr>
      </w:pPr>
      <w:r>
        <w:rPr>
          <w:rFonts w:ascii="Arial" w:cs="Arial" w:eastAsia="Arial" w:hAnsi="Arial"/>
          <w:sz w:val="17"/>
          <w:szCs w:val="17"/>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that will provide operating, technical, regulatory and legal expertise in cannabis to assist a target business access the public markets.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176" w:lineRule="exact"/>
        <w:rPr>
          <w:sz w:val="20"/>
          <w:szCs w:val="20"/>
          <w:color w:val="auto"/>
        </w:rPr>
      </w:pPr>
    </w:p>
    <w:p>
      <w:pPr>
        <w:ind w:left="100"/>
        <w:spacing w:after="0" w:line="293" w:lineRule="auto"/>
        <w:rPr>
          <w:sz w:val="20"/>
          <w:szCs w:val="20"/>
          <w:color w:val="auto"/>
        </w:rPr>
      </w:pPr>
      <w:r>
        <w:rPr>
          <w:rFonts w:ascii="Arial" w:cs="Arial" w:eastAsia="Arial" w:hAnsi="Arial"/>
          <w:sz w:val="16"/>
          <w:szCs w:val="16"/>
          <w:color w:val="auto"/>
        </w:rPr>
        <w:t>Our acquisition plan is to leverage our management team’s networks of potential transaction sources where we believe a combination of our management team’s industry relationships, knowledge and experience could effect a positive transformation or augmentation of existing businesses or assets.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164" w:lineRule="exact"/>
        <w:rPr>
          <w:sz w:val="20"/>
          <w:szCs w:val="20"/>
          <w:color w:val="auto"/>
        </w:rPr>
      </w:pPr>
    </w:p>
    <w:p>
      <w:pPr>
        <w:ind w:left="100" w:right="160"/>
        <w:spacing w:after="0" w:line="263" w:lineRule="auto"/>
        <w:rPr>
          <w:sz w:val="20"/>
          <w:szCs w:val="20"/>
          <w:color w:val="auto"/>
        </w:rPr>
      </w:pPr>
      <w:r>
        <w:rPr>
          <w:rFonts w:ascii="Arial" w:cs="Arial" w:eastAsia="Arial" w:hAnsi="Arial"/>
          <w:sz w:val="18"/>
          <w:szCs w:val="18"/>
          <w:color w:val="auto"/>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ind w:left="100" w:right="8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184" w:lineRule="exact"/>
        <w:rPr>
          <w:sz w:val="20"/>
          <w:szCs w:val="20"/>
          <w:color w:val="auto"/>
        </w:rPr>
      </w:pPr>
    </w:p>
    <w:p>
      <w:pPr>
        <w:ind w:left="740" w:right="460" w:hanging="318"/>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exhibit institutional-level operations and financial controls. </w:t>
      </w:r>
      <w:r>
        <w:rPr>
          <w:rFonts w:ascii="Arial" w:cs="Arial" w:eastAsia="Arial" w:hAnsi="Arial"/>
          <w:sz w:val="18"/>
          <w:szCs w:val="18"/>
          <w:color w:val="auto"/>
        </w:rPr>
        <w:t>We intend to seek a target in the cannabis space that not only has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position, but also has the underlying infrastructure and operations to build a public platform;</w:t>
      </w:r>
    </w:p>
    <w:p>
      <w:pPr>
        <w:spacing w:after="0" w:line="161" w:lineRule="exact"/>
        <w:rPr>
          <w:rFonts w:ascii="Arial" w:cs="Arial" w:eastAsia="Arial" w:hAnsi="Arial"/>
          <w:sz w:val="18"/>
          <w:szCs w:val="18"/>
          <w:color w:val="auto"/>
        </w:rPr>
      </w:pPr>
    </w:p>
    <w:p>
      <w:pPr>
        <w:ind w:left="740" w:right="140" w:hanging="318"/>
        <w:spacing w:after="0" w:line="282"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have durable competitive advantages that are differentiated in the sector. </w:t>
      </w:r>
      <w:r>
        <w:rPr>
          <w:rFonts w:ascii="Arial" w:cs="Arial" w:eastAsia="Arial" w:hAnsi="Arial"/>
          <w:sz w:val="18"/>
          <w:szCs w:val="18"/>
          <w:color w:val="auto"/>
        </w:rPr>
        <w:t>We intend to acquire an asset that not only benefits from secular</w:t>
      </w:r>
      <w:r>
        <w:rPr>
          <w:rFonts w:ascii="Arial" w:cs="Arial" w:eastAsia="Arial" w:hAnsi="Arial"/>
          <w:sz w:val="18"/>
          <w:szCs w:val="18"/>
          <w:b w:val="1"/>
          <w:bCs w:val="1"/>
          <w:color w:val="auto"/>
        </w:rPr>
        <w:t xml:space="preserve"> </w:t>
      </w:r>
      <w:r>
        <w:rPr>
          <w:rFonts w:ascii="Arial" w:cs="Arial" w:eastAsia="Arial" w:hAnsi="Arial"/>
          <w:sz w:val="18"/>
          <w:szCs w:val="18"/>
          <w:color w:val="auto"/>
        </w:rPr>
        <w:t>tailwinds in the industry, but also exhibit hard-to-replicate competitive advantages amongst its peers;</w:t>
      </w:r>
    </w:p>
    <w:p>
      <w:pPr>
        <w:spacing w:after="0" w:line="161" w:lineRule="exact"/>
        <w:rPr>
          <w:rFonts w:ascii="Arial" w:cs="Arial" w:eastAsia="Arial" w:hAnsi="Arial"/>
          <w:sz w:val="18"/>
          <w:szCs w:val="18"/>
          <w:color w:val="auto"/>
        </w:rPr>
      </w:pPr>
    </w:p>
    <w:p>
      <w:pPr>
        <w:ind w:left="740" w:right="180" w:hanging="318"/>
        <w:spacing w:after="0" w:line="26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are fundamentally sound with consistent operational performance and free cash flow generation. </w:t>
      </w:r>
      <w:r>
        <w:rPr>
          <w:rFonts w:ascii="Arial" w:cs="Arial" w:eastAsia="Arial" w:hAnsi="Arial"/>
          <w:sz w:val="18"/>
          <w:szCs w:val="18"/>
          <w:color w:val="auto"/>
        </w:rPr>
        <w:t>We expect to target a business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exhibited profitability and strong cash flow generation. Our management team has a proven track record accelerating growth of companies with strong past performance;</w:t>
      </w:r>
    </w:p>
    <w:p>
      <w:pPr>
        <w:spacing w:after="0" w:line="175" w:lineRule="exact"/>
        <w:rPr>
          <w:rFonts w:ascii="Arial" w:cs="Arial" w:eastAsia="Arial" w:hAnsi="Arial"/>
          <w:sz w:val="18"/>
          <w:szCs w:val="18"/>
          <w:color w:val="auto"/>
        </w:rPr>
      </w:pPr>
    </w:p>
    <w:p>
      <w:pPr>
        <w:ind w:left="740" w:right="280" w:hanging="318"/>
        <w:spacing w:after="0" w:line="312"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are at an inflection point, such as requiring additional capital to achieve a growth strategy. </w:t>
      </w:r>
      <w:r>
        <w:rPr>
          <w:rFonts w:ascii="Arial" w:cs="Arial" w:eastAsia="Arial" w:hAnsi="Arial"/>
          <w:sz w:val="17"/>
          <w:szCs w:val="17"/>
          <w:color w:val="auto"/>
        </w:rPr>
        <w:t>We intend to look for targets that have clear</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for long-term sustainable growth, but which require our capital or expertise to achieve a growth strategy;</w:t>
      </w:r>
    </w:p>
    <w:p>
      <w:pPr>
        <w:spacing w:after="0" w:line="139" w:lineRule="exact"/>
        <w:rPr>
          <w:rFonts w:ascii="Arial" w:cs="Arial" w:eastAsia="Arial" w:hAnsi="Arial"/>
          <w:sz w:val="17"/>
          <w:szCs w:val="17"/>
          <w:color w:val="auto"/>
        </w:rPr>
      </w:pPr>
    </w:p>
    <w:p>
      <w:pPr>
        <w:ind w:left="740" w:right="40" w:hanging="318"/>
        <w:spacing w:after="0" w:line="261"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have the potential to further improve their performance under our ownership. </w:t>
      </w:r>
      <w:r>
        <w:rPr>
          <w:rFonts w:ascii="Arial" w:cs="Arial" w:eastAsia="Arial" w:hAnsi="Arial"/>
          <w:sz w:val="18"/>
          <w:szCs w:val="18"/>
          <w:color w:val="auto"/>
        </w:rPr>
        <w:t>We intend to seek targets where we believe we can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442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40" w:right="400" w:hanging="318"/>
        <w:spacing w:after="0" w:line="347"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may benefit from capital markets access. </w:t>
      </w:r>
      <w:r>
        <w:rPr>
          <w:rFonts w:ascii="Arial" w:cs="Arial" w:eastAsia="Arial" w:hAnsi="Arial"/>
          <w:sz w:val="16"/>
          <w:szCs w:val="16"/>
          <w:color w:val="auto"/>
        </w:rPr>
        <w:t>We intend to seek a target that may benefit from being, or has the potential to become, a public</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an increased public profile, enhanced corporate governance and increased access to a more diversified pool of capital; and</w:t>
      </w:r>
    </w:p>
    <w:p>
      <w:pPr>
        <w:spacing w:after="0" w:line="115" w:lineRule="exact"/>
        <w:rPr>
          <w:rFonts w:ascii="Arial" w:cs="Arial" w:eastAsia="Arial" w:hAnsi="Arial"/>
          <w:sz w:val="16"/>
          <w:szCs w:val="16"/>
          <w:color w:val="auto"/>
        </w:rPr>
      </w:pPr>
    </w:p>
    <w:p>
      <w:pPr>
        <w:ind w:left="740" w:right="720" w:hanging="318"/>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exhibit unrecognized value and desirable returns on capital. </w:t>
      </w:r>
      <w:r>
        <w:rPr>
          <w:rFonts w:ascii="Arial" w:cs="Arial" w:eastAsia="Arial" w:hAnsi="Arial"/>
          <w:sz w:val="18"/>
          <w:szCs w:val="18"/>
          <w:color w:val="auto"/>
        </w:rPr>
        <w:t>We will look for targets that we believe have been undervalued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based on our analysis and due diligence review.</w:t>
      </w:r>
    </w:p>
    <w:p>
      <w:pPr>
        <w:spacing w:after="0" w:line="166" w:lineRule="exact"/>
        <w:rPr>
          <w:sz w:val="20"/>
          <w:szCs w:val="20"/>
          <w:color w:val="auto"/>
        </w:rPr>
      </w:pPr>
    </w:p>
    <w:p>
      <w:pPr>
        <w:ind w:left="100" w:right="40"/>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ind w:left="100" w:right="22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left="10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left="100" w:right="20"/>
        <w:spacing w:after="0" w:line="268" w:lineRule="auto"/>
        <w:rPr>
          <w:sz w:val="20"/>
          <w:szCs w:val="20"/>
          <w:color w:val="auto"/>
        </w:rPr>
      </w:pPr>
      <w:r>
        <w:rPr>
          <w:rFonts w:ascii="Arial" w:cs="Arial" w:eastAsia="Arial" w:hAnsi="Arial"/>
          <w:sz w:val="17"/>
          <w:szCs w:val="17"/>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86" w:lineRule="exact"/>
        <w:rPr>
          <w:sz w:val="20"/>
          <w:szCs w:val="20"/>
          <w:color w:val="auto"/>
        </w:rPr>
      </w:pPr>
    </w:p>
    <w:p>
      <w:pPr>
        <w:ind w:left="100" w:right="40"/>
        <w:spacing w:after="0" w:line="275"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w:t>
      </w: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150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178" w:lineRule="exact"/>
        <w:rPr>
          <w:sz w:val="20"/>
          <w:szCs w:val="20"/>
          <w:color w:val="auto"/>
        </w:rPr>
      </w:pPr>
    </w:p>
    <w:p>
      <w:pPr>
        <w:ind w:left="100" w:right="20"/>
        <w:spacing w:after="0" w:line="287" w:lineRule="auto"/>
        <w:rPr>
          <w:sz w:val="20"/>
          <w:szCs w:val="20"/>
          <w:color w:val="auto"/>
        </w:rPr>
      </w:pPr>
      <w:r>
        <w:rPr>
          <w:rFonts w:ascii="Arial" w:cs="Arial" w:eastAsia="Arial" w:hAnsi="Arial"/>
          <w:sz w:val="16"/>
          <w:szCs w:val="16"/>
          <w:color w:val="auto"/>
        </w:rPr>
        <w:t>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68" w:lineRule="exact"/>
        <w:rPr>
          <w:sz w:val="20"/>
          <w:szCs w:val="20"/>
          <w:color w:val="auto"/>
        </w:rPr>
      </w:pPr>
    </w:p>
    <w:p>
      <w:pPr>
        <w:ind w:left="100" w:right="160"/>
        <w:spacing w:after="0" w:line="301" w:lineRule="auto"/>
        <w:rPr>
          <w:sz w:val="20"/>
          <w:szCs w:val="20"/>
          <w:color w:val="auto"/>
        </w:rPr>
      </w:pPr>
      <w:r>
        <w:rPr>
          <w:rFonts w:ascii="Arial" w:cs="Arial" w:eastAsia="Arial" w:hAnsi="Arial"/>
          <w:sz w:val="16"/>
          <w:szCs w:val="16"/>
          <w:color w:val="auto"/>
        </w:rPr>
        <w:t>Prior to the effectiveness of the registration statement of which this prospectus forms a part,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229" w:lineRule="exact"/>
        <w:rPr>
          <w:sz w:val="20"/>
          <w:szCs w:val="20"/>
          <w:color w:val="auto"/>
        </w:rPr>
      </w:pPr>
    </w:p>
    <w:p>
      <w:pPr>
        <w:ind w:left="100" w:right="10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left="100" w:right="26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left="100"/>
        <w:spacing w:after="0" w:line="27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6" w:lineRule="exact"/>
        <w:rPr>
          <w:sz w:val="20"/>
          <w:szCs w:val="20"/>
          <w:color w:val="auto"/>
        </w:rPr>
      </w:pPr>
    </w:p>
    <w:p>
      <w:pPr>
        <w:ind w:left="100" w:right="20"/>
        <w:spacing w:after="0" w:line="259" w:lineRule="auto"/>
        <w:rPr>
          <w:sz w:val="20"/>
          <w:szCs w:val="20"/>
          <w:color w:val="auto"/>
        </w:rPr>
      </w:pPr>
      <w:r>
        <w:rPr>
          <w:rFonts w:ascii="Arial" w:cs="Arial" w:eastAsia="Arial" w:hAnsi="Arial"/>
          <w:sz w:val="18"/>
          <w:szCs w:val="18"/>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1212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212850"/>
                    </a:xfrm>
                    <a:prstGeom prst="rect">
                      <a:avLst/>
                    </a:prstGeom>
                    <a:noFill/>
                  </pic:spPr>
                </pic:pic>
              </a:graphicData>
            </a:graphic>
          </wp:anchor>
        </w:drawing>
      </w:r>
    </w:p>
    <w:p>
      <w:pPr>
        <w:spacing w:after="0" w:line="178"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8"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We are a Cayman Islands exempted company incorporated in June 2019. Our executive offices are located at 1114 6th Ave, 41st Floor, New York, New York, 10036 and our telephone number is (212) 905-4923.</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304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00" w:right="140"/>
        <w:spacing w:after="0" w:line="327" w:lineRule="auto"/>
        <w:rPr>
          <w:sz w:val="20"/>
          <w:szCs w:val="20"/>
          <w:color w:val="auto"/>
        </w:rPr>
      </w:pPr>
      <w:r>
        <w:rPr>
          <w:rFonts w:ascii="Arial" w:cs="Arial" w:eastAsia="Arial" w:hAnsi="Arial"/>
          <w:sz w:val="15"/>
          <w:szCs w:val="15"/>
          <w:b w:val="1"/>
          <w:bCs w:val="1"/>
          <w:i w:val="1"/>
          <w:iCs w:val="1"/>
          <w:color w:val="auto"/>
        </w:rPr>
        <w:t>In making your decision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140" w:lineRule="exact"/>
        <w:rPr>
          <w:sz w:val="20"/>
          <w:szCs w:val="20"/>
          <w:color w:val="auto"/>
        </w:rPr>
      </w:pPr>
    </w:p>
    <w:p>
      <w:pPr>
        <w:ind w:left="100"/>
        <w:spacing w:after="0"/>
        <w:tabs>
          <w:tab w:leader="none" w:pos="550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25,000,000 units (or 28,750,000 units if the underwriters’ over-allotment</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option is exercised in full), at $10.00 per unit, each unit consisting of:</w:t>
      </w:r>
    </w:p>
    <w:p>
      <w:pPr>
        <w:spacing w:after="0" w:line="211" w:lineRule="exact"/>
        <w:rPr>
          <w:sz w:val="20"/>
          <w:szCs w:val="20"/>
          <w:color w:val="auto"/>
        </w:rPr>
      </w:pPr>
    </w:p>
    <w:p>
      <w:pPr>
        <w:ind w:left="5520"/>
        <w:spacing w:after="0"/>
        <w:tabs>
          <w:tab w:leader="none" w:pos="5760" w:val="left"/>
        </w:tabs>
        <w:rPr>
          <w:sz w:val="20"/>
          <w:szCs w:val="20"/>
          <w:color w:val="auto"/>
        </w:rPr>
      </w:pPr>
      <w:r>
        <w:rPr>
          <w:rFonts w:ascii="Arial" w:cs="Arial" w:eastAsia="Arial" w:hAnsi="Arial"/>
          <w:sz w:val="18"/>
          <w:szCs w:val="18"/>
          <w:color w:val="auto"/>
        </w:rPr>
        <w:t>·</w:t>
        <w:tab/>
        <w:t>one Class A ordinary share; and</w:t>
      </w:r>
    </w:p>
    <w:p>
      <w:pPr>
        <w:spacing w:after="0" w:line="225" w:lineRule="exact"/>
        <w:rPr>
          <w:sz w:val="20"/>
          <w:szCs w:val="20"/>
          <w:color w:val="auto"/>
        </w:rPr>
      </w:pPr>
    </w:p>
    <w:p>
      <w:pPr>
        <w:ind w:left="5520"/>
        <w:spacing w:after="0"/>
        <w:tabs>
          <w:tab w:leader="none" w:pos="5760" w:val="left"/>
        </w:tabs>
        <w:rPr>
          <w:sz w:val="20"/>
          <w:szCs w:val="20"/>
          <w:color w:val="auto"/>
        </w:rPr>
      </w:pPr>
      <w:r>
        <w:rPr>
          <w:rFonts w:ascii="Arial" w:cs="Arial" w:eastAsia="Arial" w:hAnsi="Arial"/>
          <w:sz w:val="18"/>
          <w:szCs w:val="18"/>
          <w:color w:val="auto"/>
        </w:rPr>
        <w:t>·</w:t>
        <w:tab/>
        <w:t>one-half of one redeemable warrant.</w:t>
      </w:r>
    </w:p>
    <w:p>
      <w:pPr>
        <w:spacing w:after="0" w:line="225" w:lineRule="exact"/>
        <w:rPr>
          <w:sz w:val="20"/>
          <w:szCs w:val="20"/>
          <w:color w:val="auto"/>
        </w:rPr>
      </w:pPr>
    </w:p>
    <w:p>
      <w:pPr>
        <w:ind w:left="100"/>
        <w:spacing w:after="0"/>
        <w:tabs>
          <w:tab w:leader="none" w:pos="5500" w:val="left"/>
        </w:tabs>
        <w:rPr>
          <w:sz w:val="20"/>
          <w:szCs w:val="20"/>
          <w:color w:val="auto"/>
        </w:rPr>
      </w:pPr>
      <w:r>
        <w:rPr>
          <w:rFonts w:ascii="Arial" w:cs="Arial" w:eastAsia="Arial" w:hAnsi="Arial"/>
          <w:sz w:val="18"/>
          <w:szCs w:val="18"/>
          <w:color w:val="auto"/>
        </w:rPr>
        <w:t>Nasdaq symbols</w:t>
      </w:r>
      <w:r>
        <w:rPr>
          <w:sz w:val="20"/>
          <w:szCs w:val="20"/>
          <w:color w:val="auto"/>
        </w:rPr>
        <w:tab/>
      </w:r>
      <w:r>
        <w:rPr>
          <w:rFonts w:ascii="Arial" w:cs="Arial" w:eastAsia="Arial" w:hAnsi="Arial"/>
          <w:sz w:val="18"/>
          <w:szCs w:val="18"/>
          <w:color w:val="auto"/>
        </w:rPr>
        <w:t>Units: “  ”</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Class A Ordinary Shares: “  ”</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Warrants: “  ”</w:t>
      </w:r>
    </w:p>
    <w:p>
      <w:pPr>
        <w:sectPr>
          <w:pgSz w:w="11900" w:h="16838" w:orient="portrait"/>
          <w:cols w:equalWidth="0" w:num="1">
            <w:col w:w="11120"/>
          </w:cols>
          <w:pgMar w:left="320" w:top="225" w:right="459" w:bottom="1440" w:gutter="0" w:footer="0" w:header="0"/>
        </w:sectPr>
      </w:pPr>
    </w:p>
    <w:p>
      <w:pPr>
        <w:spacing w:after="0" w:line="225"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00" w:right="300"/>
        <w:spacing w:after="0" w:line="263"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units will begin trading promptly after the date of this prospectus. 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800" w:space="720"/>
            <w:col w:w="5600"/>
          </w:cols>
          <w:pgMar w:left="320" w:top="225" w:right="459" w:bottom="1440" w:gutter="0" w:footer="0" w:header="0"/>
          <w:type w:val="continuous"/>
        </w:sectPr>
      </w:pP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13" w:name="page14"/>
    <w:bookmarkEnd w:id="13"/>
    <w:p>
      <w:pPr>
        <w:spacing w:after="0"/>
        <w:rPr>
          <w:rFonts w:ascii="Arial" w:cs="Arial" w:eastAsia="Arial" w:hAnsi="Arial"/>
          <w:sz w:val="12"/>
          <w:szCs w:val="12"/>
          <w:b w:val="1"/>
          <w:bCs w:val="1"/>
          <w:u w:val="single" w:color="auto"/>
          <w:color w:val="0000EE"/>
        </w:rPr>
      </w:pP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7419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41934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issued and outstanding before this offering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issued and outstanding after this offering</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issued and outstanding before this offering</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Number issued and outstanding after this offering</w:t>
      </w: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00" w:right="320"/>
        <w:spacing w:after="0" w:line="277" w:lineRule="auto"/>
        <w:rPr>
          <w:sz w:val="20"/>
          <w:szCs w:val="20"/>
          <w:color w:val="auto"/>
        </w:rPr>
      </w:pPr>
      <w:r>
        <w:rPr>
          <w:rFonts w:ascii="Arial" w:cs="Arial" w:eastAsia="Arial" w:hAnsi="Arial"/>
          <w:sz w:val="18"/>
          <w:szCs w:val="18"/>
          <w:color w:val="auto"/>
        </w:rPr>
        <w:t>Number of private placement warrants to be sold in a private placement simultaneously with this offering</w:t>
      </w:r>
    </w:p>
    <w:p>
      <w:pPr>
        <w:spacing w:after="0" w:line="170" w:lineRule="exact"/>
        <w:rPr>
          <w:sz w:val="20"/>
          <w:szCs w:val="20"/>
          <w:color w:val="auto"/>
        </w:rPr>
      </w:pPr>
    </w:p>
    <w:p>
      <w:pPr>
        <w:ind w:left="100" w:right="360"/>
        <w:spacing w:after="0" w:line="277" w:lineRule="auto"/>
        <w:rPr>
          <w:sz w:val="20"/>
          <w:szCs w:val="20"/>
          <w:color w:val="auto"/>
        </w:rPr>
      </w:pPr>
      <w:r>
        <w:rPr>
          <w:rFonts w:ascii="Arial" w:cs="Arial" w:eastAsia="Arial" w:hAnsi="Arial"/>
          <w:sz w:val="18"/>
          <w:szCs w:val="18"/>
          <w:color w:val="auto"/>
        </w:rPr>
        <w:t>Number of warrants to be outstanding after this offering and the private placement</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25,000,000</w:t>
      </w:r>
      <w:r>
        <w:rPr>
          <w:rFonts w:ascii="Arial" w:cs="Arial" w:eastAsia="Arial" w:hAnsi="Arial"/>
          <w:sz w:val="29"/>
          <w:szCs w:val="29"/>
          <w:color w:val="auto"/>
          <w:vertAlign w:val="superscript"/>
        </w:rPr>
        <w:t>(1)</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7,187,500</w:t>
      </w:r>
      <w:r>
        <w:rPr>
          <w:rFonts w:ascii="Arial" w:cs="Arial" w:eastAsia="Arial" w:hAnsi="Arial"/>
          <w:sz w:val="29"/>
          <w:szCs w:val="29"/>
          <w:color w:val="auto"/>
          <w:vertAlign w:val="superscript"/>
        </w:rPr>
        <w:t>(2)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31,250,000</w:t>
      </w:r>
      <w:r>
        <w:rPr>
          <w:rFonts w:ascii="Arial" w:cs="Arial" w:eastAsia="Arial" w:hAnsi="Arial"/>
          <w:sz w:val="29"/>
          <w:szCs w:val="29"/>
          <w:color w:val="auto"/>
          <w:vertAlign w:val="superscript"/>
        </w:rPr>
        <w:t>(1) (3) (4)</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7,000,000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19,500,000</w:t>
      </w:r>
      <w:r>
        <w:rPr>
          <w:rFonts w:ascii="Arial" w:cs="Arial" w:eastAsia="Arial" w:hAnsi="Arial"/>
          <w:sz w:val="29"/>
          <w:szCs w:val="29"/>
          <w:color w:val="auto"/>
          <w:vertAlign w:val="superscript"/>
        </w:rPr>
        <w:t>(1)</w:t>
      </w:r>
    </w:p>
    <w:p>
      <w:pPr>
        <w:spacing w:after="0" w:line="311"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Each whole warrant offered in this offering is exercisable to purchase one Class A ordinary share, subject to adjustment as provided herein, and only whole warrants are exercisable. No fractional warrants will be issued upon separation of the units and only whole warrants will trade.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structured each unit to contain one-half of one warrant, with each whole warrant exercisable for one Class A ordinary share, as compared to units issued by some other similar blank check companies which contain whole warrants exercisable for one share, in order to reduce the dilutive effect of the warrants upon completion of our initial business combination as compared to units that each contain a whole warrant to purchase one share, which we believe will make us a more attractive business combination partner for target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 as described herein.</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if (x) we issue additional ordinary shares or equity-linked securities for capital raising purposes in</w:t>
      </w:r>
    </w:p>
    <w:p>
      <w:pPr>
        <w:spacing w:after="0" w:line="200" w:lineRule="exact"/>
        <w:rPr>
          <w:sz w:val="20"/>
          <w:szCs w:val="20"/>
          <w:color w:val="auto"/>
        </w:rPr>
      </w:pPr>
    </w:p>
    <w:p>
      <w:pPr>
        <w:sectPr>
          <w:pgSz w:w="11900" w:h="16838" w:orient="portrait"/>
          <w:cols w:equalWidth="0" w:num="2">
            <w:col w:w="4800" w:space="720"/>
            <w:col w:w="5580"/>
          </w:cols>
          <w:pgMar w:left="320" w:top="225" w:right="479" w:bottom="1440" w:gutter="0" w:footer="0" w:header="0"/>
          <w:type w:val="continuous"/>
        </w:sectPr>
      </w:pPr>
    </w:p>
    <w:p>
      <w:pPr>
        <w:spacing w:after="0" w:line="286" w:lineRule="exact"/>
        <w:rPr>
          <w:sz w:val="20"/>
          <w:szCs w:val="20"/>
          <w:color w:val="auto"/>
        </w:rPr>
      </w:pPr>
    </w:p>
    <w:p>
      <w:pPr>
        <w:ind w:left="1280" w:hanging="534"/>
        <w:spacing w:after="0"/>
        <w:tabs>
          <w:tab w:leader="none" w:pos="1280" w:val="left"/>
        </w:tabs>
        <w:numPr>
          <w:ilvl w:val="0"/>
          <w:numId w:val="8"/>
        </w:numPr>
        <w:rPr>
          <w:rFonts w:ascii="Arial" w:cs="Arial" w:eastAsia="Arial" w:hAnsi="Arial"/>
          <w:sz w:val="29"/>
          <w:szCs w:val="29"/>
          <w:color w:val="auto"/>
          <w:vertAlign w:val="superscript"/>
        </w:rPr>
      </w:pPr>
      <w:r>
        <w:rPr>
          <w:rFonts w:ascii="Arial" w:cs="Arial" w:eastAsia="Arial" w:hAnsi="Arial"/>
          <w:sz w:val="17"/>
          <w:szCs w:val="17"/>
          <w:color w:val="auto"/>
        </w:rPr>
        <w:t>Assumes no exercise of the underwriters’ over-allotment option and the forfeiture by our sponsor of 937,500 founder shares.</w:t>
      </w:r>
    </w:p>
    <w:p>
      <w:pPr>
        <w:spacing w:after="0" w:line="242" w:lineRule="exact"/>
        <w:rPr>
          <w:rFonts w:ascii="Arial" w:cs="Arial" w:eastAsia="Arial" w:hAnsi="Arial"/>
          <w:sz w:val="29"/>
          <w:szCs w:val="29"/>
          <w:color w:val="auto"/>
          <w:vertAlign w:val="superscript"/>
        </w:rPr>
      </w:pPr>
    </w:p>
    <w:p>
      <w:pPr>
        <w:ind w:left="100" w:right="180" w:firstLine="646"/>
        <w:spacing w:after="0" w:line="194" w:lineRule="auto"/>
        <w:tabs>
          <w:tab w:leader="none" w:pos="1283"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Consists solely of founder shares and includes up to 937,500 founder shares that are subject to forfeiture by our sponsor depending on the extent to which the underwriters’ over-allotment option is exercised.</w:t>
      </w:r>
    </w:p>
    <w:p>
      <w:pPr>
        <w:spacing w:after="0" w:line="242" w:lineRule="exact"/>
        <w:rPr>
          <w:rFonts w:ascii="Arial" w:cs="Arial" w:eastAsia="Arial" w:hAnsi="Arial"/>
          <w:sz w:val="30"/>
          <w:szCs w:val="30"/>
          <w:color w:val="auto"/>
          <w:vertAlign w:val="superscript"/>
        </w:rPr>
      </w:pPr>
    </w:p>
    <w:p>
      <w:pPr>
        <w:ind w:left="100" w:right="60" w:firstLine="646"/>
        <w:spacing w:after="0" w:line="209" w:lineRule="auto"/>
        <w:tabs>
          <w:tab w:leader="none" w:pos="1283"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Founder shares are currently classified as Class B ordinary shares, which shares will automatically convert into Class A ordinary shares on the first business day following our initial business combination on a one-for-one basis, subject to adjustment as described below adjacent to the caption “Founder shares conversion and anti-dilution rights.”</w:t>
      </w:r>
    </w:p>
    <w:p>
      <w:pPr>
        <w:spacing w:after="0" w:line="128" w:lineRule="exact"/>
        <w:rPr>
          <w:rFonts w:ascii="Arial" w:cs="Arial" w:eastAsia="Arial" w:hAnsi="Arial"/>
          <w:sz w:val="30"/>
          <w:szCs w:val="30"/>
          <w:color w:val="auto"/>
          <w:vertAlign w:val="superscript"/>
        </w:rPr>
      </w:pPr>
    </w:p>
    <w:p>
      <w:pPr>
        <w:ind w:left="1280" w:hanging="534"/>
        <w:spacing w:after="0"/>
        <w:tabs>
          <w:tab w:leader="none" w:pos="128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Includes 25,000,000 public shares and 6,250,000 founder shares.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459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4592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spacing w:after="0" w:line="285" w:lineRule="auto"/>
        <w:rPr>
          <w:sz w:val="20"/>
          <w:szCs w:val="20"/>
          <w:color w:val="auto"/>
        </w:rPr>
      </w:pPr>
      <w:r>
        <w:rPr>
          <w:rFonts w:ascii="Arial" w:cs="Arial" w:eastAsia="Arial" w:hAnsi="Arial"/>
          <w:sz w:val="16"/>
          <w:szCs w:val="16"/>
          <w:color w:val="auto"/>
        </w:rPr>
        <w:t>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volume weighted average trading price of our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spacing w:after="0" w:line="387" w:lineRule="exact"/>
        <w:rPr>
          <w:sz w:val="20"/>
          <w:szCs w:val="20"/>
          <w:color w:val="auto"/>
        </w:rPr>
      </w:pPr>
    </w:p>
    <w:p>
      <w:pPr>
        <w:ind w:left="100"/>
        <w:spacing w:after="0"/>
        <w:tabs>
          <w:tab w:leader="none" w:pos="55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225" w:lineRule="exact"/>
        <w:rPr>
          <w:sz w:val="20"/>
          <w:szCs w:val="20"/>
          <w:color w:val="auto"/>
        </w:rPr>
      </w:pPr>
    </w:p>
    <w:p>
      <w:pPr>
        <w:ind w:left="5780" w:hanging="269"/>
        <w:spacing w:after="0"/>
        <w:tabs>
          <w:tab w:leader="none" w:pos="5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30 days after the completion of our initial business combination; and</w:t>
      </w:r>
    </w:p>
    <w:p>
      <w:pPr>
        <w:spacing w:after="0" w:line="236" w:lineRule="exact"/>
        <w:rPr>
          <w:rFonts w:ascii="Arial" w:cs="Arial" w:eastAsia="Arial" w:hAnsi="Arial"/>
          <w:sz w:val="17"/>
          <w:szCs w:val="17"/>
          <w:color w:val="auto"/>
        </w:rPr>
      </w:pPr>
    </w:p>
    <w:p>
      <w:pPr>
        <w:ind w:left="5780" w:hanging="269"/>
        <w:spacing w:after="0"/>
        <w:tabs>
          <w:tab w:leader="none" w:pos="5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25" w:lineRule="exact"/>
        <w:rPr>
          <w:sz w:val="20"/>
          <w:szCs w:val="20"/>
          <w:color w:val="auto"/>
        </w:rPr>
      </w:pPr>
    </w:p>
    <w:p>
      <w:pPr>
        <w:ind w:left="5520" w:right="60"/>
        <w:spacing w:after="0" w:line="291"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w:t>
      </w:r>
    </w:p>
    <w:p>
      <w:pPr>
        <w:spacing w:after="0" w:line="166" w:lineRule="exact"/>
        <w:rPr>
          <w:sz w:val="20"/>
          <w:szCs w:val="20"/>
          <w:color w:val="auto"/>
        </w:rPr>
      </w:pPr>
    </w:p>
    <w:p>
      <w:pPr>
        <w:ind w:left="5520" w:right="20"/>
        <w:spacing w:after="0" w:line="269" w:lineRule="auto"/>
        <w:rPr>
          <w:sz w:val="20"/>
          <w:szCs w:val="20"/>
          <w:color w:val="auto"/>
        </w:rPr>
      </w:pPr>
      <w:r>
        <w:rPr>
          <w:rFonts w:ascii="Arial" w:cs="Arial" w:eastAsia="Arial" w:hAnsi="Arial"/>
          <w:sz w:val="17"/>
          <w:szCs w:val="17"/>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 registration statement covering the issuance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to those Class A ordinary</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733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7335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right="40"/>
        <w:spacing w:after="0" w:line="271" w:lineRule="auto"/>
        <w:rPr>
          <w:sz w:val="20"/>
          <w:szCs w:val="20"/>
          <w:color w:val="auto"/>
        </w:rPr>
      </w:pPr>
      <w:r>
        <w:rPr>
          <w:rFonts w:ascii="Arial" w:cs="Arial" w:eastAsia="Arial" w:hAnsi="Arial"/>
          <w:sz w:val="17"/>
          <w:szCs w:val="17"/>
          <w:color w:val="auto"/>
        </w:rPr>
        <w:t>shares until the warrants expire or are redeemed; provided that if our Class A ordinary shares are,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w:t>
      </w:r>
    </w:p>
    <w:p>
      <w:pPr>
        <w:spacing w:after="0" w:line="178" w:lineRule="exact"/>
        <w:rPr>
          <w:sz w:val="20"/>
          <w:szCs w:val="20"/>
          <w:color w:val="auto"/>
        </w:rPr>
      </w:pPr>
    </w:p>
    <w:p>
      <w:pPr>
        <w:ind w:left="5520"/>
        <w:spacing w:after="0" w:line="301" w:lineRule="auto"/>
        <w:rPr>
          <w:sz w:val="20"/>
          <w:szCs w:val="20"/>
          <w:color w:val="auto"/>
        </w:rPr>
      </w:pPr>
      <w:r>
        <w:rPr>
          <w:rFonts w:ascii="Arial" w:cs="Arial" w:eastAsia="Arial" w:hAnsi="Arial"/>
          <w:sz w:val="16"/>
          <w:szCs w:val="16"/>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ectPr>
          <w:pgSz w:w="11900" w:h="16838" w:orient="portrait"/>
          <w:cols w:equalWidth="0" w:num="1">
            <w:col w:w="11100"/>
          </w:cols>
          <w:pgMar w:left="320" w:top="225" w:right="479" w:bottom="1440" w:gutter="0" w:footer="0" w:header="0"/>
        </w:sectPr>
      </w:pPr>
    </w:p>
    <w:p>
      <w:pPr>
        <w:spacing w:after="0" w:line="15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Redemption of warrants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184" w:lineRule="exact"/>
        <w:rPr>
          <w:sz w:val="20"/>
          <w:szCs w:val="20"/>
          <w:color w:val="auto"/>
        </w:rPr>
      </w:pPr>
    </w:p>
    <w:p>
      <w:pPr>
        <w:sectPr>
          <w:pgSz w:w="11900" w:h="16838" w:orient="portrait"/>
          <w:cols w:equalWidth="0" w:num="2">
            <w:col w:w="4800" w:space="720"/>
            <w:col w:w="5580"/>
          </w:cols>
          <w:pgMar w:left="320" w:top="225" w:right="479" w:bottom="1440" w:gutter="0" w:footer="0" w:header="0"/>
          <w:type w:val="continuous"/>
        </w:sect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whole and not in part;</w:t>
      </w:r>
    </w:p>
    <w:p>
      <w:pPr>
        <w:spacing w:after="0" w:line="200" w:lineRule="exact"/>
        <w:rPr>
          <w:sz w:val="20"/>
          <w:szCs w:val="20"/>
          <w:color w:val="auto"/>
        </w:rPr>
      </w:pPr>
    </w:p>
    <w:p>
      <w:pPr>
        <w:sectPr>
          <w:pgSz w:w="11900" w:h="16838" w:orient="portrait"/>
          <w:cols w:equalWidth="0" w:num="2">
            <w:col w:w="5560" w:space="260"/>
            <w:col w:w="5280"/>
          </w:cols>
          <w:pgMar w:left="320" w:top="225" w:right="479" w:bottom="1440" w:gutter="0" w:footer="0" w:header="0"/>
          <w:type w:val="continuous"/>
        </w:sectPr>
      </w:pPr>
    </w:p>
    <w:p>
      <w:pPr>
        <w:spacing w:after="0" w:line="48"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at a price of $0.01 per warrant;</w:t>
      </w:r>
    </w:p>
    <w:p>
      <w:pPr>
        <w:spacing w:after="0" w:line="200" w:lineRule="exact"/>
        <w:rPr>
          <w:sz w:val="20"/>
          <w:szCs w:val="20"/>
          <w:color w:val="auto"/>
        </w:rPr>
      </w:pPr>
    </w:p>
    <w:p>
      <w:pPr>
        <w:sectPr>
          <w:pgSz w:w="11900" w:h="16838" w:orient="portrait"/>
          <w:cols w:equalWidth="0" w:num="2">
            <w:col w:w="5560" w:space="260"/>
            <w:col w:w="5280"/>
          </w:cols>
          <w:pgMar w:left="320" w:top="225" w:right="479" w:bottom="1440" w:gutter="0" w:footer="0" w:header="0"/>
          <w:type w:val="continuous"/>
        </w:sectPr>
      </w:pPr>
    </w:p>
    <w:p>
      <w:pPr>
        <w:spacing w:after="0" w:line="48"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hanging="8"/>
        <w:spacing w:after="0" w:line="277" w:lineRule="auto"/>
        <w:rPr>
          <w:sz w:val="20"/>
          <w:szCs w:val="20"/>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70" w:lineRule="exact"/>
        <w:rPr>
          <w:sz w:val="20"/>
          <w:szCs w:val="20"/>
          <w:color w:val="auto"/>
        </w:rPr>
      </w:pPr>
    </w:p>
    <w:p>
      <w:pPr>
        <w:sectPr>
          <w:pgSz w:w="11900" w:h="16838" w:orient="portrait"/>
          <w:cols w:equalWidth="0" w:num="2">
            <w:col w:w="5560" w:space="280"/>
            <w:col w:w="5260"/>
          </w:cols>
          <w:pgMar w:left="320" w:top="225" w:right="479" w:bottom="1440" w:gutter="0" w:footer="0" w:header="0"/>
          <w:type w:val="continuous"/>
        </w:sect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80" w:hanging="8"/>
        <w:spacing w:after="0" w:line="287" w:lineRule="auto"/>
        <w:rPr>
          <w:sz w:val="20"/>
          <w:szCs w:val="20"/>
          <w:color w:val="auto"/>
        </w:rPr>
      </w:pPr>
      <w:r>
        <w:rPr>
          <w:rFonts w:ascii="Arial" w:cs="Arial" w:eastAsia="Arial" w:hAnsi="Arial"/>
          <w:sz w:val="16"/>
          <w:szCs w:val="16"/>
          <w:color w:val="auto"/>
        </w:rPr>
        <w:t>if, and only if, the last reported sale price of our Class A ordinary shares equals or exceeds $18.00 per share (as adjusted for share splits, share dividends, rights issuances, subdivisions, reorganizations,</w:t>
      </w:r>
    </w:p>
    <w:p>
      <w:pPr>
        <w:spacing w:after="0" w:line="2" w:lineRule="exact"/>
        <w:rPr>
          <w:sz w:val="20"/>
          <w:szCs w:val="20"/>
          <w:color w:val="auto"/>
        </w:rPr>
      </w:pPr>
    </w:p>
    <w:p>
      <w:pPr>
        <w:sectPr>
          <w:pgSz w:w="11900" w:h="16838" w:orient="portrait"/>
          <w:cols w:equalWidth="0" w:num="2">
            <w:col w:w="5560" w:space="280"/>
            <w:col w:w="5260"/>
          </w:cols>
          <w:pgMar w:left="320" w:top="225" w:right="479" w:bottom="1440" w:gutter="0" w:footer="0" w:header="0"/>
          <w:type w:val="continuous"/>
        </w:sectPr>
      </w:pPr>
    </w:p>
    <w:p>
      <w:pPr>
        <w:ind w:left="5840"/>
        <w:spacing w:after="0"/>
        <w:rPr>
          <w:sz w:val="20"/>
          <w:szCs w:val="20"/>
          <w:color w:val="auto"/>
        </w:rPr>
      </w:pPr>
      <w:r>
        <w:rPr>
          <w:rFonts w:ascii="Arial" w:cs="Arial" w:eastAsia="Arial" w:hAnsi="Arial"/>
          <w:sz w:val="16"/>
          <w:szCs w:val="16"/>
          <w:color w:val="auto"/>
        </w:rPr>
        <w:t>recapitalizations and the like) for any 20 trading days within a 30-trading</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day period ending on the third trading day prior to the date on which we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send the notice of redemption to the warrant holders.</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We will not redeem the warrants unless a registration statement under the</w:t>
      </w:r>
    </w:p>
    <w:p>
      <w:pPr>
        <w:spacing w:after="0" w:line="35"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Securities Act covering the issuance of the Class A ordinary shares issuable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upon exercise of the warrants is then effective and a current prospectus</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relating to those Class A ordinary shares is available throughout the 30-day</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redemption period, except if the warrants may be exercised on a cashless</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basis and such cashless exercise is exempt from registration under the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Securities Act. If and when the warrants become redeemable by us, we may</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exercise our redemption right even if we are unable to register or qualify the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underlying securities for sale under all applicable state securities laws.</w:t>
      </w:r>
    </w:p>
    <w:p>
      <w:pPr>
        <w:spacing w:after="0" w:line="222" w:lineRule="exact"/>
        <w:rPr>
          <w:sz w:val="20"/>
          <w:szCs w:val="20"/>
          <w:color w:val="auto"/>
        </w:rPr>
      </w:pPr>
    </w:p>
    <w:p>
      <w:pPr>
        <w:ind w:left="5520" w:right="20"/>
        <w:spacing w:after="0" w:line="259"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determining whether to require all holders to exercise</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542"/>
        </w:trPr>
        <w:tc>
          <w:tcPr>
            <w:tcW w:w="3360" w:type="dxa"/>
            <w:vAlign w:val="bottom"/>
            <w:tcBorders>
              <w:top w:val="single" w:sz="8" w:color="auto"/>
              <w:lef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2160"/>
              <w:spacing w:after="0"/>
              <w:rPr>
                <w:sz w:val="20"/>
                <w:szCs w:val="20"/>
                <w:color w:val="auto"/>
              </w:rPr>
            </w:pPr>
            <w:r>
              <w:rPr>
                <w:rFonts w:ascii="Arial" w:cs="Arial" w:eastAsia="Arial" w:hAnsi="Arial"/>
                <w:sz w:val="18"/>
                <w:szCs w:val="18"/>
                <w:color w:val="auto"/>
                <w:w w:val="95"/>
              </w:rPr>
              <w:t>their warrants on a “cashless basis,” our management will consider, among</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3"/>
              </w:rPr>
              <w:t>other factors, our cash position, the number of warrants that are outstanding</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2"/>
              </w:rPr>
              <w:t>and the dilutive effect on our shareholders of issuing the maximum number of</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4"/>
              </w:rPr>
              <w:t>Class A ordinary shares issuable upon the exercise of our warrants. In such</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2"/>
              </w:rPr>
              <w:t>event, each holder would pay the exercise price by surrendering the warrants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3"/>
              </w:rPr>
              <w:t>for that number of Class A ordinary shares equal to the quotient obtained by</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4"/>
              </w:rPr>
              <w:t>dividing (x) the product of the number of Class A ordinary shares underlying</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9"/>
              </w:rPr>
              <w:t>the warrants, multiplied by the excess of the “fair market value” (defined</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below) over the exercise price of the warrants by (y) the fair market value.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3"/>
              </w:rPr>
              <w:t>The “fair market value” shall mean the average last reported sale price of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Class A ordinary shares for the 10 trading days ending on the third trading</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3"/>
              </w:rPr>
              <w:t>day prior to the date on which the notice of redemption is sent to the holders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of warrants. Please see the section entitled “Description of Securities—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Warrants—Public Shareholders’ Redeemable Warrants” for additional</w:t>
            </w:r>
          </w:p>
        </w:tc>
      </w:tr>
      <w:tr>
        <w:trPr>
          <w:trHeight w:val="230"/>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information.</w:t>
            </w:r>
          </w:p>
        </w:tc>
      </w:tr>
      <w:tr>
        <w:trPr>
          <w:trHeight w:val="418"/>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3"/>
              </w:rPr>
              <w:t>None of the private placement warrants will be redeemable by us so long as</w:t>
            </w:r>
          </w:p>
        </w:tc>
      </w:tr>
      <w:tr>
        <w:trPr>
          <w:trHeight w:val="230"/>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they are held by our sponsor or its permitted transferees.</w:t>
            </w:r>
          </w:p>
        </w:tc>
      </w:tr>
      <w:tr>
        <w:trPr>
          <w:trHeight w:val="418"/>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Founder shares</w:t>
            </w: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3"/>
              </w:rPr>
              <w:t>In June 2019, our sponsor subscribed for an aggregate of 7,187,500 founder</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8"/>
              </w:rPr>
              <w:t>shares, par value $0.0001 per share, for an aggregate purchase price of</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5"/>
              </w:rPr>
              <w:t>$25,000, or $0.004 per share (after giving effect to a forfeiture of one share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by our sponsor for no value, a subsequent share capitalization and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forfeiture of 937,500 shares assuming the over-allotment option is not</w:t>
            </w:r>
          </w:p>
        </w:tc>
      </w:tr>
      <w:tr>
        <w:trPr>
          <w:trHeight w:val="230"/>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exercised).</w:t>
            </w:r>
          </w:p>
        </w:tc>
      </w:tr>
      <w:tr>
        <w:trPr>
          <w:trHeight w:val="418"/>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4"/>
              </w:rPr>
              <w:t>Prior to the initial investment in the company of $25,000 by our sponsor, the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4"/>
              </w:rPr>
              <w:t>company had no assets, tangible or intangible. The purchase price of these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2"/>
              </w:rPr>
              <w:t>founder shares was determined by dividing the amount of cash contributed to</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us by the number of founder shares issued. Our initial shareholders will</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3"/>
              </w:rPr>
              <w:t>collectively own 20% of our issued and outstanding shares after this offering</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4"/>
              </w:rPr>
              <w:t>(assuming they do not purchase any units in this offering). If we increase or</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decrease the size of this offering, we will effect a capitalization or share</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1"/>
              </w:rPr>
              <w:t>repurchase or redemption or other appropriate mechanism, as applicable, with</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4"/>
              </w:rPr>
              <w:t>respect to our founder shares immediately prior to the consummation of this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3"/>
              </w:rPr>
              <w:t>offering in such amount as to maintain the number of founder shares at 20%</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2"/>
              </w:rPr>
              <w:t>of our issued and outstanding ordinary shares upon the consummation of this</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offering. Up to 937,500 founder shares are subject to forfeiture by our</w:t>
            </w:r>
          </w:p>
        </w:tc>
      </w:tr>
      <w:tr>
        <w:trPr>
          <w:trHeight w:val="216"/>
        </w:trPr>
        <w:tc>
          <w:tcPr>
            <w:tcW w:w="336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sponsor depending on the extent to which the underwriters’ over-allotment</w:t>
            </w:r>
          </w:p>
        </w:tc>
      </w:tr>
      <w:tr>
        <w:trPr>
          <w:trHeight w:val="230"/>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option is exercised.</w:t>
            </w:r>
          </w:p>
        </w:tc>
      </w:tr>
      <w:tr>
        <w:trPr>
          <w:trHeight w:val="418"/>
        </w:trPr>
        <w:tc>
          <w:tcPr>
            <w:tcW w:w="336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5"/>
              </w:rPr>
              <w:t>The founder shares are identical to the Class A ordinary shares included in</w:t>
            </w:r>
          </w:p>
        </w:tc>
      </w:tr>
      <w:tr>
        <w:trPr>
          <w:trHeight w:val="230"/>
        </w:trPr>
        <w:tc>
          <w:tcPr>
            <w:tcW w:w="336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the units being sold in this offering, except that:</w:t>
            </w:r>
          </w:p>
        </w:tc>
      </w:tr>
      <w:tr>
        <w:trPr>
          <w:trHeight w:val="307"/>
        </w:trPr>
        <w:tc>
          <w:tcPr>
            <w:tcW w:w="3360" w:type="dxa"/>
            <w:vAlign w:val="bottom"/>
            <w:tcBorders>
              <w:left w:val="single" w:sz="8" w:color="auto"/>
              <w:bottom w:val="single" w:sz="8" w:color="auto"/>
            </w:tcBorders>
          </w:tcPr>
          <w:p>
            <w:pPr>
              <w:spacing w:after="0"/>
              <w:rPr>
                <w:sz w:val="24"/>
                <w:szCs w:val="24"/>
                <w:color w:val="auto"/>
              </w:rPr>
            </w:pPr>
          </w:p>
        </w:tc>
        <w:tc>
          <w:tcPr>
            <w:tcW w:w="7880" w:type="dxa"/>
            <w:vAlign w:val="bottom"/>
            <w:tcBorders>
              <w:bottom w:val="single" w:sz="8" w:color="auto"/>
              <w:right w:val="single" w:sz="8" w:color="auto"/>
            </w:tcBorders>
          </w:tcPr>
          <w:p>
            <w:pPr>
              <w:spacing w:after="0"/>
              <w:rPr>
                <w:sz w:val="24"/>
                <w:szCs w:val="24"/>
                <w:color w:val="auto"/>
              </w:rPr>
            </w:pPr>
          </w:p>
        </w:tc>
      </w:tr>
      <w:tr>
        <w:trPr>
          <w:trHeight w:val="571"/>
        </w:trPr>
        <w:tc>
          <w:tcPr>
            <w:tcW w:w="33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5"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5773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20" w:right="120" w:hanging="322"/>
        <w:spacing w:after="0" w:line="259" w:lineRule="auto"/>
        <w:tabs>
          <w:tab w:leader="none" w:pos="58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our initial business combination, only holders of the founder shares have the right to vote on the election of directors and holders of a majority of our founder shares may remove a member of the board of directors for any reason;</w:t>
      </w:r>
    </w:p>
    <w:p>
      <w:pPr>
        <w:spacing w:after="0" w:line="186" w:lineRule="exact"/>
        <w:rPr>
          <w:rFonts w:ascii="Arial" w:cs="Arial" w:eastAsia="Arial" w:hAnsi="Arial"/>
          <w:sz w:val="18"/>
          <w:szCs w:val="18"/>
          <w:color w:val="auto"/>
        </w:rPr>
      </w:pPr>
    </w:p>
    <w:p>
      <w:pPr>
        <w:ind w:left="5820" w:right="60" w:hanging="322"/>
        <w:spacing w:after="0" w:line="277" w:lineRule="auto"/>
        <w:tabs>
          <w:tab w:leader="none" w:pos="58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170" w:lineRule="exact"/>
        <w:rPr>
          <w:rFonts w:ascii="Arial" w:cs="Arial" w:eastAsia="Arial" w:hAnsi="Arial"/>
          <w:sz w:val="18"/>
          <w:szCs w:val="18"/>
          <w:color w:val="auto"/>
        </w:rPr>
      </w:pPr>
    </w:p>
    <w:p>
      <w:pPr>
        <w:ind w:left="5820" w:hanging="322"/>
        <w:spacing w:after="0" w:line="283" w:lineRule="auto"/>
        <w:tabs>
          <w:tab w:leader="none" w:pos="5811"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initial shareholders have entered into a letter agreement with us, pursuant to which they have agreed to waive: (1)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(2)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If we submit our initial business combination to our public shareholders for a vote, our initial shareholders have agreed, pursuant to such letter agreement, to vote their founder shares and any public shares they hold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459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4592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public shares acquired by them, if any;</w:t>
            </w:r>
          </w:p>
        </w:tc>
      </w:tr>
      <w:tr>
        <w:trPr>
          <w:trHeight w:val="418"/>
        </w:trPr>
        <w:tc>
          <w:tcPr>
            <w:tcW w:w="4520" w:type="dxa"/>
            <w:vAlign w:val="bottom"/>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rPr>
              <w:t>·</w:t>
            </w:r>
          </w:p>
        </w:tc>
        <w:tc>
          <w:tcPr>
            <w:tcW w:w="5420" w:type="dxa"/>
            <w:vAlign w:val="bottom"/>
          </w:tcPr>
          <w:p>
            <w:pPr>
              <w:ind w:left="120"/>
              <w:spacing w:after="0"/>
              <w:rPr>
                <w:sz w:val="20"/>
                <w:szCs w:val="20"/>
                <w:color w:val="auto"/>
              </w:rPr>
            </w:pPr>
            <w:r>
              <w:rPr>
                <w:rFonts w:ascii="Arial" w:cs="Arial" w:eastAsia="Arial" w:hAnsi="Arial"/>
                <w:sz w:val="18"/>
                <w:szCs w:val="18"/>
                <w:color w:val="auto"/>
                <w:w w:val="94"/>
              </w:rPr>
              <w:t>the founder shares will automatically convert into our Class A ordinary</w:t>
            </w:r>
          </w:p>
        </w:tc>
      </w:tr>
      <w:tr>
        <w:trPr>
          <w:trHeight w:val="216"/>
        </w:trPr>
        <w:tc>
          <w:tcPr>
            <w:tcW w:w="4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w w:val="96"/>
              </w:rPr>
              <w:t>shares on the first business day following the completion of our initial</w:t>
            </w:r>
          </w:p>
        </w:tc>
      </w:tr>
      <w:tr>
        <w:trPr>
          <w:trHeight w:val="216"/>
        </w:trPr>
        <w:tc>
          <w:tcPr>
            <w:tcW w:w="4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w w:val="98"/>
              </w:rPr>
              <w:t>business combination on a one-for-one basis subject to adjustment</w:t>
            </w:r>
          </w:p>
        </w:tc>
      </w:tr>
      <w:tr>
        <w:trPr>
          <w:trHeight w:val="216"/>
        </w:trPr>
        <w:tc>
          <w:tcPr>
            <w:tcW w:w="4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w w:val="90"/>
              </w:rPr>
              <w:t>pursuant to certain anti-dilution rights, as described below adjacent to the</w:t>
            </w:r>
          </w:p>
        </w:tc>
      </w:tr>
      <w:tr>
        <w:trPr>
          <w:trHeight w:val="230"/>
        </w:trPr>
        <w:tc>
          <w:tcPr>
            <w:tcW w:w="4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Arial" w:cs="Arial" w:eastAsia="Arial" w:hAnsi="Arial"/>
                <w:sz w:val="18"/>
                <w:szCs w:val="18"/>
                <w:color w:val="auto"/>
              </w:rPr>
              <w:t>caption “Founder shares conversion and anti-dilution rights”; and</w:t>
            </w:r>
          </w:p>
        </w:tc>
      </w:tr>
      <w:tr>
        <w:trPr>
          <w:trHeight w:val="432"/>
        </w:trPr>
        <w:tc>
          <w:tcPr>
            <w:tcW w:w="4520" w:type="dxa"/>
            <w:vAlign w:val="bottom"/>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rPr>
              <w:t>·</w:t>
            </w:r>
          </w:p>
        </w:tc>
        <w:tc>
          <w:tcPr>
            <w:tcW w:w="5420" w:type="dxa"/>
            <w:vAlign w:val="bottom"/>
          </w:tcPr>
          <w:p>
            <w:pPr>
              <w:ind w:left="120"/>
              <w:spacing w:after="0"/>
              <w:rPr>
                <w:sz w:val="20"/>
                <w:szCs w:val="20"/>
                <w:color w:val="auto"/>
              </w:rPr>
            </w:pPr>
            <w:r>
              <w:rPr>
                <w:rFonts w:ascii="Arial" w:cs="Arial" w:eastAsia="Arial" w:hAnsi="Arial"/>
                <w:sz w:val="18"/>
                <w:szCs w:val="18"/>
                <w:color w:val="auto"/>
              </w:rPr>
              <w:t>the founder shares are entitled to registration rights.</w:t>
            </w:r>
          </w:p>
        </w:tc>
      </w:tr>
      <w:tr>
        <w:trPr>
          <w:trHeight w:val="418"/>
        </w:trPr>
        <w:tc>
          <w:tcPr>
            <w:tcW w:w="4520" w:type="dxa"/>
            <w:vAlign w:val="bottom"/>
          </w:tcPr>
          <w:p>
            <w:pPr>
              <w:spacing w:after="0"/>
              <w:rPr>
                <w:sz w:val="20"/>
                <w:szCs w:val="20"/>
                <w:color w:val="auto"/>
              </w:rPr>
            </w:pPr>
            <w:r>
              <w:rPr>
                <w:rFonts w:ascii="Arial" w:cs="Arial" w:eastAsia="Arial" w:hAnsi="Arial"/>
                <w:sz w:val="18"/>
                <w:szCs w:val="18"/>
                <w:color w:val="auto"/>
              </w:rPr>
              <w:t>Transfer restrictions on founder shares</w:t>
            </w: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0"/>
              </w:rPr>
              <w:t>Our initial shareholders have agreed not to transfer, assign or sell any of their</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2"/>
              </w:rPr>
              <w:t>founder shares until the earlier to occur of: (A) one year after the completion</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4"/>
              </w:rPr>
              <w:t>of our initial business combination; or (B) the date on which we complete a</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2"/>
              </w:rPr>
              <w:t>liquidation, merger, amalgamation, share exchange, reorganization or other</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3"/>
              </w:rPr>
              <w:t>similar transaction after our initial business combination that results in all of</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0"/>
              </w:rPr>
              <w:t>our public shareholders having the right to exchange their ordinary shares for</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0"/>
              </w:rPr>
              <w:t>cash, securities or other property (except as described herein under “Principal</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rPr>
              <w:t>Shareholders—Transfers of Founder Shares and Private Placement</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rPr>
              <w:t>Warrants”). Any permitted transferees would be subject to the same</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3"/>
              </w:rPr>
              <w:t>restrictions and other agreements of our initial shareholders with respect to</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6"/>
              </w:rPr>
              <w:t>any founder shares. We refer to such transfer restrictions throughout this</w:t>
            </w:r>
          </w:p>
        </w:tc>
      </w:tr>
      <w:tr>
        <w:trPr>
          <w:trHeight w:val="230"/>
        </w:trPr>
        <w:tc>
          <w:tcPr>
            <w:tcW w:w="4520" w:type="dxa"/>
            <w:vAlign w:val="bottom"/>
          </w:tcPr>
          <w:p>
            <w:pPr>
              <w:spacing w:after="0"/>
              <w:rPr>
                <w:sz w:val="20"/>
                <w:szCs w:val="20"/>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rPr>
              <w:t>prospectus as the lock-up.</w:t>
            </w:r>
          </w:p>
        </w:tc>
      </w:tr>
      <w:tr>
        <w:trPr>
          <w:trHeight w:val="418"/>
        </w:trPr>
        <w:tc>
          <w:tcPr>
            <w:tcW w:w="4520" w:type="dxa"/>
            <w:vAlign w:val="bottom"/>
          </w:tcPr>
          <w:p>
            <w:pPr>
              <w:spacing w:after="0"/>
              <w:rPr>
                <w:sz w:val="24"/>
                <w:szCs w:val="24"/>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3"/>
              </w:rPr>
              <w:t>Notwithstanding the foregoing, if the last reported sale price of our ordinary</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89"/>
              </w:rPr>
              <w:t>shares equals or exceeds $12.00 per share (as adjusted for share splits, share</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3"/>
              </w:rPr>
              <w:t>dividends, rights issuances, subdivisions, reorganizations, recapitalizations</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rPr>
              <w:t>and the like) for any 20 trading days within any 30-trading day period</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7"/>
              </w:rPr>
              <w:t>commencing at least 150 days after our initial business combination, the</w:t>
            </w:r>
          </w:p>
        </w:tc>
      </w:tr>
      <w:tr>
        <w:trPr>
          <w:trHeight w:val="230"/>
        </w:trPr>
        <w:tc>
          <w:tcPr>
            <w:tcW w:w="4520" w:type="dxa"/>
            <w:vAlign w:val="bottom"/>
          </w:tcPr>
          <w:p>
            <w:pPr>
              <w:spacing w:after="0"/>
              <w:rPr>
                <w:sz w:val="20"/>
                <w:szCs w:val="20"/>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rPr>
              <w:t>founder shares will be released from the lock-up.</w:t>
            </w:r>
          </w:p>
        </w:tc>
      </w:tr>
      <w:tr>
        <w:trPr>
          <w:trHeight w:val="418"/>
        </w:trPr>
        <w:tc>
          <w:tcPr>
            <w:tcW w:w="4520" w:type="dxa"/>
            <w:vAlign w:val="bottom"/>
          </w:tcPr>
          <w:p>
            <w:pPr>
              <w:spacing w:after="0"/>
              <w:rPr>
                <w:sz w:val="20"/>
                <w:szCs w:val="20"/>
                <w:color w:val="auto"/>
              </w:rPr>
            </w:pPr>
            <w:r>
              <w:rPr>
                <w:rFonts w:ascii="Arial" w:cs="Arial" w:eastAsia="Arial" w:hAnsi="Arial"/>
                <w:sz w:val="18"/>
                <w:szCs w:val="18"/>
                <w:color w:val="auto"/>
              </w:rPr>
              <w:t>Founder shares conversion and anti-dilution rights</w:t>
            </w: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8"/>
              </w:rPr>
              <w:t>The founder shares are designated as Class B ordinary shares and will</w:t>
            </w: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3"/>
              </w:rPr>
              <w:t>automatically convert into Class A ordinary shares on the first business day</w:t>
            </w:r>
          </w:p>
        </w:tc>
      </w:tr>
      <w:tr>
        <w:trPr>
          <w:trHeight w:val="230"/>
        </w:trPr>
        <w:tc>
          <w:tcPr>
            <w:tcW w:w="4520" w:type="dxa"/>
            <w:vAlign w:val="bottom"/>
          </w:tcPr>
          <w:p>
            <w:pPr>
              <w:spacing w:after="0"/>
              <w:rPr>
                <w:sz w:val="20"/>
                <w:szCs w:val="20"/>
                <w:color w:val="auto"/>
              </w:rPr>
            </w:pPr>
          </w:p>
        </w:tc>
        <w:tc>
          <w:tcPr>
            <w:tcW w:w="6500" w:type="dxa"/>
            <w:vAlign w:val="bottom"/>
            <w:gridSpan w:val="2"/>
          </w:tcPr>
          <w:p>
            <w:pPr>
              <w:ind w:left="900"/>
              <w:spacing w:after="0"/>
              <w:rPr>
                <w:sz w:val="20"/>
                <w:szCs w:val="20"/>
                <w:color w:val="auto"/>
              </w:rPr>
            </w:pPr>
            <w:r>
              <w:rPr>
                <w:rFonts w:ascii="Arial" w:cs="Arial" w:eastAsia="Arial" w:hAnsi="Arial"/>
                <w:sz w:val="18"/>
                <w:szCs w:val="18"/>
                <w:color w:val="auto"/>
                <w:w w:val="92"/>
              </w:rPr>
              <w:t>following the completion of our initial business combination on a one-for-one</w:t>
            </w:r>
          </w:p>
        </w:tc>
      </w:tr>
    </w:tbl>
    <w:p>
      <w:pPr>
        <w:ind w:left="5520" w:right="20"/>
        <w:spacing w:after="0" w:line="285" w:lineRule="auto"/>
        <w:rPr>
          <w:sz w:val="20"/>
          <w:szCs w:val="20"/>
          <w:color w:val="auto"/>
        </w:rPr>
      </w:pPr>
      <w:r>
        <w:rPr>
          <w:rFonts w:ascii="Arial" w:cs="Arial" w:eastAsia="Arial" w:hAnsi="Arial"/>
          <w:sz w:val="16"/>
          <w:szCs w:val="16"/>
          <w:color w:val="auto"/>
        </w:rPr>
        <w:t>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542"/>
        </w:trPr>
        <w:tc>
          <w:tcPr>
            <w:tcW w:w="4040" w:type="dxa"/>
            <w:vAlign w:val="bottom"/>
            <w:tcBorders>
              <w:top w:val="single" w:sz="8" w:color="auto"/>
              <w:left w:val="single" w:sz="8" w:color="auto"/>
            </w:tcBorders>
          </w:tcPr>
          <w:p>
            <w:pPr>
              <w:spacing w:after="0"/>
              <w:rPr>
                <w:sz w:val="24"/>
                <w:szCs w:val="24"/>
                <w:color w:val="auto"/>
              </w:rPr>
            </w:pPr>
          </w:p>
        </w:tc>
        <w:tc>
          <w:tcPr>
            <w:tcW w:w="720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linked securities issued or deemed issued in connection with our initial</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5"/>
              </w:rPr>
              <w:t>business combination (net of redemptions), excluding any Class A ordinary</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3"/>
              </w:rPr>
              <w:t>shares or equity-linked securities issued, or to be issued, to any seller in our</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2"/>
              </w:rPr>
              <w:t>initial business combination and any private placement warrants issued to our</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7"/>
              </w:rPr>
              <w:t>sponsor, an affiliate of our sponsor or any of our officers or directors. Any</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4"/>
              </w:rPr>
              <w:t>conversion of Class B ordinary shares described herein will take effect as a</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4"/>
              </w:rPr>
              <w:t>redemption of Class B ordinary shares and an issuance of Class A ordinary</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2"/>
              </w:rPr>
              <w:t>shares as a matter of Cayman Islands law. The term “equity-linked securities”</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8"/>
              </w:rPr>
              <w:t>refers to any debt or equity securities that are convertible, exercisable or</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exchangeable for our Class A ordinary shares issued in a financing</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4"/>
              </w:rPr>
              <w:t>transaction in connection with our initial business combination, including but</w:t>
            </w:r>
          </w:p>
        </w:tc>
      </w:tr>
      <w:tr>
        <w:trPr>
          <w:trHeight w:val="230"/>
        </w:trPr>
        <w:tc>
          <w:tcPr>
            <w:tcW w:w="404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not limited to a private placement of equity or debt.</w:t>
            </w:r>
          </w:p>
        </w:tc>
      </w:tr>
      <w:tr>
        <w:trPr>
          <w:trHeight w:val="418"/>
        </w:trPr>
        <w:tc>
          <w:tcPr>
            <w:tcW w:w="40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Election of directors; voting rights</w:t>
            </w: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5"/>
              </w:rPr>
              <w:t>Prior to our initial business combination, only holders of our founder shares</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6"/>
              </w:rPr>
              <w:t>will have the right to vote on the election of directors. Holders of our public</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8"/>
              </w:rPr>
              <w:t>shares will not be entitled to vote on the election of directors during such</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time. In addition, prior to our initial business combination, holders of a</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majority of our founder shares may remove a member of the board of</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9"/>
              </w:rPr>
              <w:t>directors for any reason. These provisions of our amended and restated</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3"/>
              </w:rPr>
              <w:t>memorandum and articles of association may only be amended by a special</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4"/>
              </w:rPr>
              <w:t>resolution passed by at least 90% of our ordinary shares voting in a general</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meeting. With respect to any other matter submitted to a vote of our</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shareholders, including any vote in connection with our initial business</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6"/>
              </w:rPr>
              <w:t>combination, except as required by law, holders of our founder shares and</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7"/>
              </w:rPr>
              <w:t>holders of our public shares will vote together as a single class, with each</w:t>
            </w:r>
          </w:p>
        </w:tc>
      </w:tr>
      <w:tr>
        <w:trPr>
          <w:trHeight w:val="230"/>
        </w:trPr>
        <w:tc>
          <w:tcPr>
            <w:tcW w:w="404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share entitling the holder to one vote.</w:t>
            </w:r>
          </w:p>
        </w:tc>
      </w:tr>
      <w:tr>
        <w:trPr>
          <w:trHeight w:val="418"/>
        </w:trPr>
        <w:tc>
          <w:tcPr>
            <w:tcW w:w="40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Private placement warrants</w:t>
            </w: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2"/>
              </w:rPr>
              <w:t>Our sponsor has committed, pursuant to a written agreement, to purchase an</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aggregate of 7,000,000 private placement warrants (or 7,750,000 if the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3"/>
              </w:rPr>
              <w:t>underwriters’ over-allotment option is exercised in full) at a price of $1.00 per</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6"/>
              </w:rPr>
              <w:t>warrant ($7,000,000 in the aggregate or $7,750,000 in the aggregate if the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underwriters’ over-allotment option is exercised in full) in a private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9"/>
              </w:rPr>
              <w:t>placement that will occur simultaneously with the closing of this offering.</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9"/>
              </w:rPr>
              <w:t>Each private placement warrant is exercisable to purchase one Class A</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ordinary share at a price of $11.50 per share, subject to adjustment as</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8"/>
              </w:rPr>
              <w:t>provided herein. Private placement warrants may be exercised only for a</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whole number of shares. The purchase price of the private placement</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7"/>
              </w:rPr>
              <w:t>warrants will be added to the proceeds from this offering to be held in the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6"/>
              </w:rPr>
              <w:t>trust account. If we do not complete our initial business combination within</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6"/>
              </w:rPr>
              <w:t>24 months from the closing of this offering, the proceeds of the sale of the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4"/>
              </w:rPr>
              <w:t>private placement warrants held in the trust account will be used to fund the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6"/>
              </w:rPr>
              <w:t>redemption of our public shares (subject to the requirements of applicable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7"/>
              </w:rPr>
              <w:t>law) and the private placement warrants will expire worthless. The private</w:t>
            </w:r>
          </w:p>
        </w:tc>
      </w:tr>
      <w:tr>
        <w:trPr>
          <w:trHeight w:val="216"/>
        </w:trPr>
        <w:tc>
          <w:tcPr>
            <w:tcW w:w="404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w w:val="93"/>
              </w:rPr>
              <w:t>placement warrants will not be redeemable by us so long as they are held by</w:t>
            </w:r>
          </w:p>
        </w:tc>
      </w:tr>
      <w:tr>
        <w:trPr>
          <w:trHeight w:val="230"/>
        </w:trPr>
        <w:tc>
          <w:tcPr>
            <w:tcW w:w="404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1480"/>
              <w:spacing w:after="0"/>
              <w:rPr>
                <w:sz w:val="20"/>
                <w:szCs w:val="20"/>
                <w:color w:val="auto"/>
              </w:rPr>
            </w:pPr>
            <w:r>
              <w:rPr>
                <w:rFonts w:ascii="Arial" w:cs="Arial" w:eastAsia="Arial" w:hAnsi="Arial"/>
                <w:sz w:val="18"/>
                <w:szCs w:val="18"/>
                <w:color w:val="auto"/>
              </w:rPr>
              <w:t>our sponsor or</w:t>
            </w:r>
          </w:p>
        </w:tc>
      </w:tr>
      <w:tr>
        <w:trPr>
          <w:trHeight w:val="307"/>
        </w:trPr>
        <w:tc>
          <w:tcPr>
            <w:tcW w:w="4040" w:type="dxa"/>
            <w:vAlign w:val="bottom"/>
            <w:tcBorders>
              <w:left w:val="single" w:sz="8" w:color="auto"/>
              <w:bottom w:val="single" w:sz="8" w:color="auto"/>
            </w:tcBorders>
          </w:tcPr>
          <w:p>
            <w:pPr>
              <w:spacing w:after="0"/>
              <w:rPr>
                <w:sz w:val="24"/>
                <w:szCs w:val="24"/>
                <w:color w:val="auto"/>
              </w:rPr>
            </w:pPr>
          </w:p>
        </w:tc>
        <w:tc>
          <w:tcPr>
            <w:tcW w:w="7200" w:type="dxa"/>
            <w:vAlign w:val="bottom"/>
            <w:tcBorders>
              <w:bottom w:val="single" w:sz="8" w:color="auto"/>
              <w:right w:val="single" w:sz="8" w:color="auto"/>
            </w:tcBorders>
          </w:tcPr>
          <w:p>
            <w:pPr>
              <w:spacing w:after="0"/>
              <w:rPr>
                <w:sz w:val="24"/>
                <w:szCs w:val="24"/>
                <w:color w:val="auto"/>
              </w:rPr>
            </w:pPr>
          </w:p>
        </w:tc>
      </w:tr>
      <w:tr>
        <w:trPr>
          <w:trHeight w:val="328"/>
        </w:trPr>
        <w:tc>
          <w:tcPr>
            <w:tcW w:w="4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225"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184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1849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89"/>
              </w:rPr>
              <w:t>its permitted transferees. If the private placement warrants are held by holders</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6"/>
              </w:rPr>
              <w:t>other than our sponsor or its permitted transferees, the private placement</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89"/>
              </w:rPr>
              <w:t>warrants will be redeemable by us and exercisable by the holders on the same</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6"/>
              </w:rPr>
              <w:t>basis as the warrants included in the units being sold in this offering. Our</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2"/>
              </w:rPr>
              <w:t>sponsor, as well as its permitted transferees, have the option to exercise the</w:t>
            </w:r>
          </w:p>
        </w:tc>
      </w:tr>
      <w:tr>
        <w:trPr>
          <w:trHeight w:val="230"/>
        </w:trPr>
        <w:tc>
          <w:tcPr>
            <w:tcW w:w="4540" w:type="dxa"/>
            <w:vAlign w:val="bottom"/>
          </w:tcPr>
          <w:p>
            <w:pPr>
              <w:spacing w:after="0"/>
              <w:rPr>
                <w:sz w:val="20"/>
                <w:szCs w:val="20"/>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rPr>
              <w:t>private placement warrants on a cashless basis.</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Transfer restrictions on private placement warrants</w:t>
            </w: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9"/>
              </w:rPr>
              <w:t>The private placement warrants (including the Class A ordinary shares</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rPr>
              <w:t>issuable upon exercise of the private placement warrants) will not be</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4"/>
              </w:rPr>
              <w:t>transferable, assignable or salable until 30 days after the completion of our</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7"/>
              </w:rPr>
              <w:t>initial business combination, except as described herein under “Principal</w:t>
            </w:r>
          </w:p>
        </w:tc>
      </w:tr>
      <w:tr>
        <w:trPr>
          <w:trHeight w:val="230"/>
        </w:trPr>
        <w:tc>
          <w:tcPr>
            <w:tcW w:w="4540" w:type="dxa"/>
            <w:vAlign w:val="bottom"/>
          </w:tcPr>
          <w:p>
            <w:pPr>
              <w:spacing w:after="0"/>
              <w:rPr>
                <w:sz w:val="20"/>
                <w:szCs w:val="20"/>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88"/>
              </w:rPr>
              <w:t>Shareholders—Transfers of Founder Shares and Private Placement Warrants.”</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Proceeds to be held in trust account</w:t>
            </w: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9"/>
              </w:rPr>
              <w:t>Nasdaq rules provide that at least 90% of the gross proceeds from this</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0"/>
              </w:rPr>
              <w:t>offering and the sale of the private placement warrants be deposited in a trust</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4"/>
              </w:rPr>
              <w:t>account. Of the $257,000,000 in proceeds we will receive from this offering</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89"/>
              </w:rPr>
              <w:t>and the sale of the private placement warrants described in this prospectus, or</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5"/>
              </w:rPr>
              <w:t>$295,250,000 if the underwriters’ over-allotment option is exercised in full,</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8"/>
              </w:rPr>
              <w:t>$250,000,000 ($10.00 per unit), or $287,500,000 ($10.00 per unit) if the</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2"/>
              </w:rPr>
              <w:t>underwriters’ over-allotment option is exercised in full, (including $8,750,000</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3"/>
              </w:rPr>
              <w:t>(or up to $10,062,500 if the underwriters’ over-allotment option is exercised</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4"/>
              </w:rPr>
              <w:t>in full) in deferred underwriting commissions), will be deposited into a U.S.-</w:t>
            </w:r>
          </w:p>
        </w:tc>
      </w:tr>
      <w:tr>
        <w:trPr>
          <w:trHeight w:val="216"/>
        </w:trPr>
        <w:tc>
          <w:tcPr>
            <w:tcW w:w="4540" w:type="dxa"/>
            <w:vAlign w:val="bottom"/>
          </w:tcPr>
          <w:p>
            <w:pPr>
              <w:spacing w:after="0"/>
              <w:rPr>
                <w:sz w:val="18"/>
                <w:szCs w:val="18"/>
                <w:color w:val="auto"/>
              </w:rPr>
            </w:pPr>
          </w:p>
        </w:tc>
        <w:tc>
          <w:tcPr>
            <w:tcW w:w="2940" w:type="dxa"/>
            <w:vAlign w:val="bottom"/>
          </w:tcPr>
          <w:p>
            <w:pPr>
              <w:ind w:left="880"/>
              <w:spacing w:after="0"/>
              <w:rPr>
                <w:sz w:val="20"/>
                <w:szCs w:val="20"/>
                <w:color w:val="auto"/>
              </w:rPr>
            </w:pPr>
            <w:r>
              <w:rPr>
                <w:rFonts w:ascii="Arial" w:cs="Arial" w:eastAsia="Arial" w:hAnsi="Arial"/>
                <w:sz w:val="18"/>
                <w:szCs w:val="18"/>
                <w:color w:val="auto"/>
              </w:rPr>
              <w:t>based trust account with</w:t>
            </w:r>
          </w:p>
        </w:tc>
        <w:tc>
          <w:tcPr>
            <w:tcW w:w="3560" w:type="dxa"/>
            <w:vAlign w:val="bottom"/>
          </w:tcPr>
          <w:p>
            <w:pPr>
              <w:ind w:left="300"/>
              <w:spacing w:after="0"/>
              <w:rPr>
                <w:sz w:val="20"/>
                <w:szCs w:val="20"/>
                <w:color w:val="auto"/>
              </w:rPr>
            </w:pPr>
            <w:r>
              <w:rPr>
                <w:rFonts w:ascii="Arial" w:cs="Arial" w:eastAsia="Arial" w:hAnsi="Arial"/>
                <w:sz w:val="18"/>
                <w:szCs w:val="18"/>
                <w:color w:val="auto"/>
              </w:rPr>
              <w:t>acting as trustee, and $2,000,000 will be</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4"/>
              </w:rPr>
              <w:t>used to pay expenses in connection with the closing of this offering and for</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4"/>
              </w:rPr>
              <w:t>working capital following this offering. The funds in the trust account will be</w:t>
            </w:r>
          </w:p>
        </w:tc>
      </w:tr>
      <w:tr>
        <w:trPr>
          <w:trHeight w:val="216"/>
        </w:trPr>
        <w:tc>
          <w:tcPr>
            <w:tcW w:w="4540" w:type="dxa"/>
            <w:vAlign w:val="bottom"/>
          </w:tcPr>
          <w:p>
            <w:pPr>
              <w:spacing w:after="0"/>
              <w:rPr>
                <w:sz w:val="18"/>
                <w:szCs w:val="18"/>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w w:val="91"/>
              </w:rPr>
              <w:t>invested only in U.S. government treasury bills with a maturity of 180 days or</w:t>
            </w:r>
          </w:p>
        </w:tc>
      </w:tr>
      <w:tr>
        <w:trPr>
          <w:trHeight w:val="230"/>
        </w:trPr>
        <w:tc>
          <w:tcPr>
            <w:tcW w:w="4540" w:type="dxa"/>
            <w:vAlign w:val="bottom"/>
          </w:tcPr>
          <w:p>
            <w:pPr>
              <w:spacing w:after="0"/>
              <w:rPr>
                <w:sz w:val="20"/>
                <w:szCs w:val="20"/>
                <w:color w:val="auto"/>
              </w:rPr>
            </w:pPr>
          </w:p>
        </w:tc>
        <w:tc>
          <w:tcPr>
            <w:tcW w:w="6500" w:type="dxa"/>
            <w:vAlign w:val="bottom"/>
            <w:gridSpan w:val="2"/>
          </w:tcPr>
          <w:p>
            <w:pPr>
              <w:ind w:left="880"/>
              <w:spacing w:after="0"/>
              <w:rPr>
                <w:sz w:val="20"/>
                <w:szCs w:val="20"/>
                <w:color w:val="auto"/>
              </w:rPr>
            </w:pPr>
            <w:r>
              <w:rPr>
                <w:rFonts w:ascii="Arial" w:cs="Arial" w:eastAsia="Arial" w:hAnsi="Arial"/>
                <w:sz w:val="18"/>
                <w:szCs w:val="18"/>
                <w:color w:val="auto"/>
              </w:rPr>
              <w:t>less or in money market funds investing solely in U.S. Treasuries.</w:t>
            </w:r>
          </w:p>
        </w:tc>
      </w:tr>
    </w:tbl>
    <w:p>
      <w:pPr>
        <w:spacing w:after="0" w:line="202" w:lineRule="exact"/>
        <w:rPr>
          <w:sz w:val="20"/>
          <w:szCs w:val="20"/>
          <w:color w:val="auto"/>
        </w:rPr>
      </w:pPr>
    </w:p>
    <w:p>
      <w:pPr>
        <w:ind w:left="5520" w:right="20"/>
        <w:spacing w:after="0" w:line="284"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w:t>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our public shares if we do not complete our initial business combination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within 24 months from the closing of this offering or (B) with respect to any</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other provision relating to shareholders’ rights or pre-initial business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combination activity; and (3) the redemption of our public shares if we are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unable to complete our initial business combination within 24 months from</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the closing of this offering, subject to applicable law. The proceeds deposited</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in the trust account could become subject to the claims of</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322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our creditors, if any, which could have priority over the claims of our public</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shareholders.</w:t>
      </w:r>
    </w:p>
    <w:p>
      <w:pPr>
        <w:sectPr>
          <w:pgSz w:w="11900" w:h="16838" w:orient="portrait"/>
          <w:cols w:equalWidth="0" w:num="1">
            <w:col w:w="11120"/>
          </w:cols>
          <w:pgMar w:left="320" w:top="225" w:right="45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Anticipated expenses and funding sources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Unless and until we complete our initial business combination, no proceeds held in the trust account will be available for our use, except the withdrawal of interest to pay taxes or to redeem our public shares in connection with an amendment to our amended and restated memorandum and articles of association, as described above. Based upon current interest rates, we expect the trust account to generate approximately $3,500,000 of interest annually (assuming an interest rate of 1.40% per year). Unless and until we complete our initial business combination, we may pay our expenses only from:</w:t>
      </w:r>
    </w:p>
    <w:p>
      <w:pPr>
        <w:spacing w:after="0" w:line="150" w:lineRule="exact"/>
        <w:rPr>
          <w:sz w:val="20"/>
          <w:szCs w:val="20"/>
          <w:color w:val="auto"/>
        </w:rPr>
      </w:pPr>
    </w:p>
    <w:p>
      <w:pPr>
        <w:sectPr>
          <w:pgSz w:w="11900" w:h="16838" w:orient="portrait"/>
          <w:cols w:equalWidth="0" w:num="2">
            <w:col w:w="4800" w:space="720"/>
            <w:col w:w="560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320" w:hanging="8"/>
        <w:spacing w:after="0" w:line="301" w:lineRule="auto"/>
        <w:rPr>
          <w:sz w:val="20"/>
          <w:szCs w:val="20"/>
          <w:color w:val="auto"/>
        </w:rPr>
      </w:pPr>
      <w:r>
        <w:rPr>
          <w:rFonts w:ascii="Arial" w:cs="Arial" w:eastAsia="Arial" w:hAnsi="Arial"/>
          <w:sz w:val="16"/>
          <w:szCs w:val="16"/>
          <w:color w:val="auto"/>
        </w:rPr>
        <w:t>the net proceeds of this offering and the sale of the private placement warrants not held in the trust account, which will be approximately $1,000,000 in working capital after the payment of approximately $1,000,000 in expenses relating to this offering; and</w:t>
      </w:r>
    </w:p>
    <w:p>
      <w:pPr>
        <w:spacing w:after="0" w:line="157" w:lineRule="exact"/>
        <w:rPr>
          <w:sz w:val="20"/>
          <w:szCs w:val="20"/>
          <w:color w:val="auto"/>
        </w:rPr>
      </w:pPr>
    </w:p>
    <w:p>
      <w:pPr>
        <w:sectPr>
          <w:pgSz w:w="11900" w:h="16838" w:orient="portrait"/>
          <w:cols w:equalWidth="0" w:num="2">
            <w:col w:w="5560" w:space="280"/>
            <w:col w:w="528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hanging="8"/>
        <w:spacing w:after="0" w:line="273" w:lineRule="auto"/>
        <w:rPr>
          <w:sz w:val="20"/>
          <w:szCs w:val="20"/>
          <w:color w:val="auto"/>
        </w:rPr>
      </w:pPr>
      <w:r>
        <w:rPr>
          <w:rFonts w:ascii="Arial" w:cs="Arial" w:eastAsia="Arial" w:hAnsi="Arial"/>
          <w:sz w:val="17"/>
          <w:szCs w:val="17"/>
          <w:color w:val="auto"/>
        </w:rPr>
        <w:t>any loans or additional investments from our sponsor, members of our management team or any of their affiliates or other third parties, although they are under no obligation to loan funds or invest in us; and provided that any such loans will not have any claim on the proceeds held in the trust account unless such proceeds are released to us upon completion of our initial business combination.</w:t>
      </w:r>
    </w:p>
    <w:p>
      <w:pPr>
        <w:spacing w:after="0" w:line="178" w:lineRule="exact"/>
        <w:rPr>
          <w:sz w:val="20"/>
          <w:szCs w:val="20"/>
          <w:color w:val="auto"/>
        </w:rPr>
      </w:pPr>
    </w:p>
    <w:p>
      <w:pPr>
        <w:sectPr>
          <w:pgSz w:w="11900" w:h="16838" w:orient="portrait"/>
          <w:cols w:equalWidth="0" w:num="2">
            <w:col w:w="5560" w:space="280"/>
            <w:col w:w="5280"/>
          </w:cols>
          <w:pgMar w:left="320" w:top="225" w:right="4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Conditions to completing our initial business combination</w:t>
      </w:r>
    </w:p>
    <w:p>
      <w:pPr>
        <w:spacing w:after="0" w:line="20" w:lineRule="exact"/>
        <w:rPr>
          <w:sz w:val="20"/>
          <w:szCs w:val="20"/>
          <w:color w:val="auto"/>
        </w:rPr>
      </w:pPr>
      <w:r>
        <w:rPr>
          <w:sz w:val="20"/>
          <w:szCs w:val="20"/>
          <w:color w:val="auto"/>
        </w:rPr>
        <w:br w:type="column"/>
      </w:r>
    </w:p>
    <w:p>
      <w:pPr>
        <w:ind w:right="120"/>
        <w:spacing w:after="0" w:line="287" w:lineRule="auto"/>
        <w:rPr>
          <w:sz w:val="20"/>
          <w:szCs w:val="20"/>
          <w:color w:val="auto"/>
        </w:rPr>
      </w:pPr>
      <w:r>
        <w:rPr>
          <w:rFonts w:ascii="Arial" w:cs="Arial" w:eastAsia="Arial" w:hAnsi="Arial"/>
          <w:sz w:val="16"/>
          <w:szCs w:val="16"/>
          <w:color w:val="auto"/>
        </w:rPr>
        <w:t>There is no limitation on our ability to raise funds privately or through loans in connection with our initial business combination. The rules of Nasdaq require that our initial business combination occur with one or more target</w:t>
      </w:r>
    </w:p>
    <w:p>
      <w:pPr>
        <w:spacing w:after="0" w:line="2" w:lineRule="exact"/>
        <w:rPr>
          <w:sz w:val="20"/>
          <w:szCs w:val="20"/>
          <w:color w:val="auto"/>
        </w:rPr>
      </w:pPr>
    </w:p>
    <w:p>
      <w:pPr>
        <w:sectPr>
          <w:pgSz w:w="11900" w:h="16838" w:orient="portrait"/>
          <w:cols w:equalWidth="0" w:num="2">
            <w:col w:w="4800" w:space="720"/>
            <w:col w:w="560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businesses that together have an aggregate fair market value of at least 80%</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of the assets held in the trust account (excluding the deferred underwriting</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commissions and taxes payable on the income earned on the trust account) at</w:t>
      </w:r>
    </w:p>
    <w:p>
      <w:pPr>
        <w:spacing w:after="0" w:line="4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the time of the agreement to enter into the initial business combination. We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refer to this as the 80% fair market value test. The fair market value of the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target or targets will be determined by our board of directors based upon one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or more standards generally accepted by the financial community (such as</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actual and potential sales, earnings, cash flow and/or book value). Even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though our board of directors will rely on generally accepted standards, our</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board of directors will have discretion to select the standards employed. In</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addition, the application of the standards generally involves a substantial</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degree of judgment. Accordingly, investors will be relying on the business</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judgment of the board of directors in evaluating the fair market value of the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target or targets. The proxy solicitation materials or tender offer documents</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used by us in connection with any proposed transaction will provide public</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shareholders with our analysis of our satisfaction of</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22" w:name="page23"/>
    <w:bookmarkEnd w:id="22"/>
    <w:p>
      <w:pPr>
        <w:spacing w:after="0"/>
        <w:rPr>
          <w:rFonts w:ascii="Arial" w:cs="Arial" w:eastAsia="Arial" w:hAnsi="Arial"/>
          <w:sz w:val="12"/>
          <w:szCs w:val="12"/>
          <w:b w:val="1"/>
          <w:bCs w:val="1"/>
          <w:u w:val="single" w:color="auto"/>
          <w:color w:val="0000EE"/>
        </w:rPr>
      </w:pP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6322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 w:right="380"/>
        <w:spacing w:after="0" w:line="277"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will complete our initial business combination only if the post-transaction company in which our public shareholders own shares will own or acquire 50% or more of the issued and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provided that in the event that our initial business combination involves more than one target business, the 80% fair market value test will be based on the aggregate value of all of the target businesses.</w:t>
      </w:r>
    </w:p>
    <w:p>
      <w:pPr>
        <w:spacing w:after="0" w:line="1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w:t>
      </w:r>
    </w:p>
    <w:p>
      <w:pPr>
        <w:spacing w:after="0" w:line="200" w:lineRule="exact"/>
        <w:rPr>
          <w:sz w:val="20"/>
          <w:szCs w:val="20"/>
          <w:color w:val="auto"/>
        </w:rPr>
      </w:pPr>
    </w:p>
    <w:p>
      <w:pPr>
        <w:sectPr>
          <w:pgSz w:w="11900" w:h="16838" w:orient="portrait"/>
          <w:cols w:equalWidth="0" w:num="2">
            <w:col w:w="4800" w:space="720"/>
            <w:col w:w="5620"/>
          </w:cols>
          <w:pgMar w:left="320" w:top="225" w:right="439" w:bottom="1440" w:gutter="0" w:footer="0" w:header="0"/>
          <w:type w:val="continuous"/>
        </w:sectPr>
      </w:pP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23" w:name="page24"/>
    <w:bookmarkEnd w:id="23"/>
    <w:p>
      <w:pPr>
        <w:spacing w:after="0"/>
        <w:rPr>
          <w:rFonts w:ascii="Arial" w:cs="Arial" w:eastAsia="Arial" w:hAnsi="Arial"/>
          <w:sz w:val="12"/>
          <w:szCs w:val="12"/>
          <w:b w:val="1"/>
          <w:bCs w:val="1"/>
          <w:u w:val="single" w:color="auto"/>
          <w:color w:val="0000EE"/>
        </w:rPr>
      </w:pP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6322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0" w:right="400"/>
        <w:spacing w:after="0" w:line="277" w:lineRule="auto"/>
        <w:rPr>
          <w:sz w:val="20"/>
          <w:szCs w:val="20"/>
          <w:color w:val="auto"/>
        </w:rPr>
      </w:pPr>
      <w:r>
        <w:rPr>
          <w:rFonts w:ascii="Arial" w:cs="Arial" w:eastAsia="Arial" w:hAnsi="Arial"/>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1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Our sponsor, directors, officers, advisors or any of their affiliates will be restricted from making any purchases if such purchases would violate Section 9(a)(2) or Rule 10b-5 of the Exchange Act.</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amount in the trust account is initially anticipated to be $10.00 per public share. The per-share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w:t>
      </w:r>
    </w:p>
    <w:p>
      <w:pPr>
        <w:spacing w:after="0" w:line="200" w:lineRule="exact"/>
        <w:rPr>
          <w:sz w:val="20"/>
          <w:szCs w:val="20"/>
          <w:color w:val="auto"/>
        </w:rPr>
      </w:pPr>
    </w:p>
    <w:p>
      <w:pPr>
        <w:sectPr>
          <w:pgSz w:w="11900" w:h="16838" w:orient="portrait"/>
          <w:cols w:equalWidth="0" w:num="2">
            <w:col w:w="4800" w:space="720"/>
            <w:col w:w="5600"/>
          </w:cols>
          <w:pgMar w:left="320" w:top="225" w:right="459" w:bottom="1440" w:gutter="0" w:footer="0" w:header="0"/>
          <w:type w:val="continuous"/>
        </w:sect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322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shareholders have entered into a letter agreement with us, pursuant to which</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they have agreed to waive their redemption rights with respect to their</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founder shares and any public shares held by them in connection with the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completion of our initial business combination. Our directors and officers</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have also entered into the letter agreement, imposing similar obligations on</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them with respect to public shares acquired by them, if any.</w:t>
      </w:r>
    </w:p>
    <w:p>
      <w:pPr>
        <w:sectPr>
          <w:pgSz w:w="11900" w:h="16838" w:orient="portrait"/>
          <w:cols w:equalWidth="0" w:num="1">
            <w:col w:w="11120"/>
          </w:cols>
          <w:pgMar w:left="320" w:top="225" w:right="45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Manner of conducting redemptions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169" w:lineRule="exact"/>
        <w:rPr>
          <w:sz w:val="20"/>
          <w:szCs w:val="20"/>
          <w:color w:val="auto"/>
        </w:rPr>
      </w:pPr>
    </w:p>
    <w:p>
      <w:pPr>
        <w:sectPr>
          <w:pgSz w:w="11900" w:h="16838" w:orient="portrait"/>
          <w:cols w:equalWidth="0" w:num="2">
            <w:col w:w="4800" w:space="720"/>
            <w:col w:w="560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7"/>
          <w:szCs w:val="17"/>
          <w:color w:val="auto"/>
        </w:rPr>
        <w:t>If a shareholder vote is not required and we do not decide to hold a</w:t>
      </w:r>
    </w:p>
    <w:p>
      <w:pPr>
        <w:spacing w:after="0" w:line="35"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shareholder vote for business or other reasons, we will, pursuant to our</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amended and restated memorandum and articles of association:</w:t>
      </w:r>
    </w:p>
    <w:p>
      <w:pPr>
        <w:sectPr>
          <w:pgSz w:w="11900" w:h="16838" w:orient="portrait"/>
          <w:cols w:equalWidth="0" w:num="1">
            <w:col w:w="11120"/>
          </w:cols>
          <w:pgMar w:left="320" w:top="225" w:right="459" w:bottom="1440" w:gutter="0" w:footer="0" w:header="0"/>
          <w:type w:val="continuous"/>
        </w:sectPr>
      </w:pPr>
    </w:p>
    <w:p>
      <w:pPr>
        <w:spacing w:after="0" w:line="222"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160" w:hanging="8"/>
        <w:spacing w:after="0" w:line="308" w:lineRule="auto"/>
        <w:rPr>
          <w:sz w:val="20"/>
          <w:szCs w:val="20"/>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146" w:lineRule="exact"/>
        <w:rPr>
          <w:sz w:val="20"/>
          <w:szCs w:val="20"/>
          <w:color w:val="auto"/>
        </w:rPr>
      </w:pPr>
    </w:p>
    <w:p>
      <w:pPr>
        <w:sectPr>
          <w:pgSz w:w="11900" w:h="16838" w:orient="portrait"/>
          <w:cols w:equalWidth="0" w:num="2">
            <w:col w:w="5560" w:space="280"/>
            <w:col w:w="528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60" w:hanging="8"/>
        <w:spacing w:after="0" w:line="275" w:lineRule="auto"/>
        <w:rPr>
          <w:sz w:val="20"/>
          <w:szCs w:val="20"/>
          <w:color w:val="auto"/>
        </w:rPr>
      </w:pPr>
      <w:r>
        <w:rPr>
          <w:rFonts w:ascii="Arial" w:cs="Arial" w:eastAsia="Arial" w:hAnsi="Arial"/>
          <w:sz w:val="17"/>
          <w:szCs w:val="17"/>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sectPr>
          <w:pgSz w:w="11900" w:h="16838" w:orient="portrait"/>
          <w:cols w:equalWidth="0" w:num="2">
            <w:col w:w="5560" w:space="280"/>
            <w:col w:w="528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Upon the public announcement of our initial business combination, if we</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elect to conduct redemptions pursuant to the tender offer rules, we and our</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sponsor will terminate any</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6596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65963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right="60"/>
        <w:spacing w:after="0" w:line="263" w:lineRule="auto"/>
        <w:rPr>
          <w:sz w:val="20"/>
          <w:szCs w:val="20"/>
          <w:color w:val="auto"/>
        </w:rPr>
      </w:pPr>
      <w:r>
        <w:rPr>
          <w:rFonts w:ascii="Arial" w:cs="Arial" w:eastAsia="Arial" w:hAnsi="Arial"/>
          <w:sz w:val="18"/>
          <w:szCs w:val="18"/>
          <w:color w:val="auto"/>
        </w:rPr>
        <w:t>plan established in accordance with Rule 10b5-1 to purchase our Class A ordinary shares in the open market, in order to comply with Rule 14e-5 under the Exchange Act.</w:t>
      </w:r>
    </w:p>
    <w:p>
      <w:pPr>
        <w:spacing w:after="0" w:line="184" w:lineRule="exact"/>
        <w:rPr>
          <w:sz w:val="20"/>
          <w:szCs w:val="20"/>
          <w:color w:val="auto"/>
        </w:rPr>
      </w:pPr>
    </w:p>
    <w:p>
      <w:pPr>
        <w:ind w:left="5520" w:right="40"/>
        <w:spacing w:after="0" w:line="286"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67" w:lineRule="exact"/>
        <w:rPr>
          <w:sz w:val="20"/>
          <w:szCs w:val="20"/>
          <w:color w:val="auto"/>
        </w:rPr>
      </w:pPr>
    </w:p>
    <w:p>
      <w:pPr>
        <w:jc w:val="both"/>
        <w:ind w:left="5520" w:right="40"/>
        <w:spacing w:after="0" w:line="263" w:lineRule="auto"/>
        <w:rPr>
          <w:sz w:val="20"/>
          <w:szCs w:val="20"/>
          <w:color w:val="auto"/>
        </w:rPr>
      </w:pPr>
      <w:r>
        <w:rPr>
          <w:rFonts w:ascii="Arial" w:cs="Arial" w:eastAsia="Arial" w:hAnsi="Arial"/>
          <w:sz w:val="18"/>
          <w:szCs w:val="18"/>
          <w:color w:val="auto"/>
        </w:rPr>
        <w:t>If, however, shareholder approval of the transaction is required by applicable law or stock exchange listing requirement, or we decide to obtain shareholder approval for business or other reasons, we will:</w:t>
      </w:r>
    </w:p>
    <w:p>
      <w:pPr>
        <w:spacing w:after="0" w:line="184" w:lineRule="exact"/>
        <w:rPr>
          <w:sz w:val="20"/>
          <w:szCs w:val="20"/>
          <w:color w:val="auto"/>
        </w:rPr>
      </w:pPr>
    </w:p>
    <w:p>
      <w:pPr>
        <w:ind w:left="5840" w:hanging="329"/>
        <w:spacing w:after="0" w:line="286" w:lineRule="auto"/>
        <w:tabs>
          <w:tab w:leader="none" w:pos="5831"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conduct the redemptions in conjunction with a proxy solicitation pursuant to Regulation 14A of the Exchange Act, which regulates the solicitation of proxies, and not pursuant to the tender offer rules; and</w:t>
      </w:r>
    </w:p>
    <w:p>
      <w:pPr>
        <w:spacing w:after="0" w:line="165" w:lineRule="exact"/>
        <w:rPr>
          <w:rFonts w:ascii="Arial" w:cs="Arial" w:eastAsia="Arial" w:hAnsi="Arial"/>
          <w:sz w:val="17"/>
          <w:szCs w:val="17"/>
          <w:color w:val="auto"/>
        </w:rPr>
      </w:pPr>
    </w:p>
    <w:p>
      <w:pPr>
        <w:ind w:left="5820" w:hanging="309"/>
        <w:spacing w:after="0"/>
        <w:tabs>
          <w:tab w:leader="none" w:pos="5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We expect that a final proxy statement would be mailed to public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shareholders at least 10 days prior to the shareholder vote. However, we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expect that a draft proxy statement would be made available to such</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shareholders well in advance of such time, providing additional notice of</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redemption if we conduct redemptions in conjunction with a proxy</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solicitation. Although we are not required to do so, we currently intend to</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comply with the substantive and procedural requirements of Regulation 14A</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in connection with any shareholder vote even if we are not able to maintain</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our Nasdaq listing or Exchange Act registration.</w:t>
      </w:r>
    </w:p>
    <w:p>
      <w:pPr>
        <w:spacing w:after="0" w:line="211" w:lineRule="exact"/>
        <w:rPr>
          <w:sz w:val="20"/>
          <w:szCs w:val="20"/>
          <w:color w:val="auto"/>
        </w:rPr>
      </w:pPr>
    </w:p>
    <w:p>
      <w:pPr>
        <w:ind w:left="5520" w:right="20"/>
        <w:spacing w:after="0" w:line="275"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6459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645922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right="320"/>
        <w:spacing w:after="0" w:line="277" w:lineRule="auto"/>
        <w:rPr>
          <w:sz w:val="20"/>
          <w:szCs w:val="20"/>
          <w:color w:val="auto"/>
        </w:rPr>
      </w:pPr>
      <w:r>
        <w:rPr>
          <w:rFonts w:ascii="Arial" w:cs="Arial" w:eastAsia="Arial" w:hAnsi="Arial"/>
          <w:sz w:val="18"/>
          <w:szCs w:val="18"/>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us, our initial shareholders have agreed (and their permitted transferees will agree) to vote their founder shares and any public shares held by them in favor of our initial business combination. We expect that at the time of any shareholder vote relating to our initial business combination, our initial shareholders and their permitted transferees will own at least 20% of our issued and outstanding ordinary shares entitled to vote thereon. Our directors and officers also have agreed to vote in favor of our initial business combination with respect to public shares acquired by them, if any. These voting thresholds, and the voting agreements of our initial shareholders, may make it more likely that we will consummate our initial business combination. Each public shareholder may elect to redeem their public shares without voting, and if they do vote, irrespective of whether they vote for or against the proposed business combination.</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w:t>
      </w:r>
    </w:p>
    <w:p>
      <w:pPr>
        <w:spacing w:after="0" w:line="200" w:lineRule="exact"/>
        <w:rPr>
          <w:sz w:val="20"/>
          <w:szCs w:val="20"/>
          <w:color w:val="auto"/>
        </w:rPr>
      </w:pPr>
    </w:p>
    <w:p>
      <w:pPr>
        <w:sectPr>
          <w:pgSz w:w="11900" w:h="16838" w:orient="portrait"/>
          <w:cols w:equalWidth="0" w:num="2">
            <w:col w:w="4800" w:space="720"/>
            <w:col w:w="5620"/>
          </w:cols>
          <w:pgMar w:left="320" w:top="225" w:right="439" w:bottom="1440" w:gutter="0" w:footer="0" w:header="0"/>
          <w:type w:val="continuous"/>
        </w:sect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27" w:name="page28"/>
    <w:bookmarkEnd w:id="27"/>
    <w:p>
      <w:pPr>
        <w:spacing w:after="0"/>
        <w:rPr>
          <w:rFonts w:ascii="Arial" w:cs="Arial" w:eastAsia="Arial" w:hAnsi="Arial"/>
          <w:sz w:val="12"/>
          <w:szCs w:val="12"/>
          <w:b w:val="1"/>
          <w:bCs w:val="1"/>
          <w:u w:val="single" w:color="auto"/>
          <w:color w:val="0000EE"/>
        </w:rPr>
      </w:pP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6459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645922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right="420"/>
        <w:spacing w:after="0" w:line="263" w:lineRule="auto"/>
        <w:rPr>
          <w:sz w:val="20"/>
          <w:szCs w:val="20"/>
          <w:color w:val="auto"/>
        </w:rPr>
      </w:pPr>
      <w:r>
        <w:rPr>
          <w:rFonts w:ascii="Arial" w:cs="Arial" w:eastAsia="Arial" w:hAnsi="Arial"/>
          <w:sz w:val="18"/>
          <w:szCs w:val="18"/>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right="380"/>
        <w:spacing w:after="0" w:line="263" w:lineRule="auto"/>
        <w:rPr>
          <w:sz w:val="20"/>
          <w:szCs w:val="20"/>
          <w:color w:val="auto"/>
        </w:rPr>
      </w:pPr>
      <w:r>
        <w:rPr>
          <w:rFonts w:ascii="Arial" w:cs="Arial" w:eastAsia="Arial" w:hAnsi="Arial"/>
          <w:sz w:val="18"/>
          <w:szCs w:val="18"/>
          <w:color w:val="auto"/>
        </w:rPr>
        <w:t>Redemption Rights in connection with proposed amendments to our amended and restated memorandum and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tender offer or proxy materials, as applicable, that we will furnish to holders of our public shares in connection with our initial business combination will indicate whether we are requiring public shareholders to satisfy such delivery requirements.</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3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Some other blank check companies have a provision in their constitutional documents which prohibits the amendment of certain constitutional provisions. Our amended and restated memorandum and articles of association will provide that any of its provisions (other than amendments relating to the appointment or removal of directors prior to our initial business combination, which require the approval of at least 90% of our ordinary shares voting in a general meeting), including those related to pre-business combination activity (including the requirement to deposit proceeds of this</w:t>
      </w:r>
    </w:p>
    <w:p>
      <w:pPr>
        <w:spacing w:after="0" w:line="200" w:lineRule="exact"/>
        <w:rPr>
          <w:sz w:val="20"/>
          <w:szCs w:val="20"/>
          <w:color w:val="auto"/>
        </w:rPr>
      </w:pPr>
    </w:p>
    <w:p>
      <w:pPr>
        <w:sectPr>
          <w:pgSz w:w="11900" w:h="16838" w:orient="portrait"/>
          <w:cols w:equalWidth="0" w:num="2">
            <w:col w:w="4800" w:space="720"/>
            <w:col w:w="5620"/>
          </w:cols>
          <w:pgMar w:left="320" w:top="225" w:right="4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28" w:name="page29"/>
    <w:bookmarkEnd w:id="28"/>
    <w:p>
      <w:pPr>
        <w:spacing w:after="0"/>
        <w:rPr>
          <w:rFonts w:ascii="Arial" w:cs="Arial" w:eastAsia="Arial" w:hAnsi="Arial"/>
          <w:sz w:val="12"/>
          <w:szCs w:val="12"/>
          <w:b w:val="1"/>
          <w:bCs w:val="1"/>
          <w:u w:val="single" w:color="auto"/>
          <w:color w:val="0000EE"/>
        </w:rPr>
      </w:pP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63220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right="611"/>
        <w:spacing w:after="0" w:line="277" w:lineRule="auto"/>
        <w:rPr>
          <w:sz w:val="20"/>
          <w:szCs w:val="20"/>
          <w:color w:val="auto"/>
        </w:rPr>
      </w:pPr>
      <w:r>
        <w:rPr>
          <w:rFonts w:ascii="Arial" w:cs="Arial" w:eastAsia="Arial" w:hAnsi="Arial"/>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9" w:right="40"/>
        <w:spacing w:after="0" w:line="282" w:lineRule="auto"/>
        <w:rPr>
          <w:sz w:val="20"/>
          <w:szCs w:val="20"/>
          <w:color w:val="auto"/>
        </w:rPr>
      </w:pPr>
      <w:r>
        <w:rPr>
          <w:rFonts w:ascii="Arial" w:cs="Arial" w:eastAsia="Arial" w:hAnsi="Arial"/>
          <w:sz w:val="16"/>
          <w:szCs w:val="16"/>
          <w:color w:val="auto"/>
        </w:rPr>
        <w:t>offering and the private placement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Our initial shareholders, who will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24 months from the closing of this offering or</w:t>
      </w:r>
    </w:p>
    <w:p>
      <w:pPr>
        <w:spacing w:after="0" w:line="11" w:lineRule="exact"/>
        <w:rPr>
          <w:sz w:val="20"/>
          <w:szCs w:val="20"/>
          <w:color w:val="auto"/>
        </w:rPr>
      </w:pPr>
    </w:p>
    <w:p>
      <w:pPr>
        <w:ind w:left="9" w:hanging="9"/>
        <w:spacing w:after="0" w:line="267" w:lineRule="auto"/>
        <w:tabs>
          <w:tab w:leader="none" w:pos="2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ind w:left="9" w:right="20"/>
        <w:spacing w:after="0" w:line="268" w:lineRule="auto"/>
        <w:rPr>
          <w:sz w:val="20"/>
          <w:szCs w:val="20"/>
          <w:color w:val="auto"/>
        </w:rPr>
      </w:pPr>
      <w:r>
        <w:rPr>
          <w:rFonts w:ascii="Arial" w:cs="Arial" w:eastAsia="Arial" w:hAnsi="Arial"/>
          <w:sz w:val="17"/>
          <w:szCs w:val="17"/>
          <w:color w:val="auto"/>
        </w:rPr>
        <w:t>On the completion of our initial business combination, all amounts held in the trust account will be released to us. We will use these funds to pay amounts due to any public shareholders who properly exercise their redemption rights as described above under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w:t>
      </w:r>
    </w:p>
    <w:p>
      <w:pPr>
        <w:spacing w:after="0" w:line="200" w:lineRule="exact"/>
        <w:rPr>
          <w:sz w:val="20"/>
          <w:szCs w:val="20"/>
          <w:color w:val="auto"/>
        </w:rPr>
      </w:pPr>
    </w:p>
    <w:p>
      <w:pPr>
        <w:sectPr>
          <w:pgSz w:w="11900" w:h="16838" w:orient="portrait"/>
          <w:cols w:equalWidth="0" w:num="2">
            <w:col w:w="4791" w:space="720"/>
            <w:col w:w="5629"/>
          </w:cols>
          <w:pgMar w:left="320" w:top="225" w:right="439" w:bottom="1440" w:gutter="0" w:footer="0" w:header="0"/>
          <w:type w:val="continuous"/>
        </w:sect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29" w:name="page30"/>
    <w:bookmarkEnd w:id="29"/>
    <w:p>
      <w:pPr>
        <w:spacing w:after="0"/>
        <w:rPr>
          <w:rFonts w:ascii="Arial" w:cs="Arial" w:eastAsia="Arial" w:hAnsi="Arial"/>
          <w:sz w:val="12"/>
          <w:szCs w:val="12"/>
          <w:b w:val="1"/>
          <w:bCs w:val="1"/>
          <w:u w:val="single" w:color="auto"/>
          <w:color w:val="0000EE"/>
        </w:rPr>
      </w:pP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36130" cy="6596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659638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right="320"/>
        <w:spacing w:after="0" w:line="277"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7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sponsor, officers and directors have agreed that we will have only 24 months from the closing of this offering to complete our initial business combination. 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24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24-month time frame. The underwriters have agreed to waive their rights to their deferred underwriting commission held in the trust account in the event we do not complete our initial business combination within the allotted time frame and, in such event, such amounts will be included with the funds held in the trust account that will be available to fund the redemption of our public shares.</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memorandum and articles of association (A) to modify the substance or timing</w:t>
      </w:r>
    </w:p>
    <w:p>
      <w:pPr>
        <w:spacing w:after="0" w:line="200" w:lineRule="exact"/>
        <w:rPr>
          <w:sz w:val="20"/>
          <w:szCs w:val="20"/>
          <w:color w:val="auto"/>
        </w:rPr>
      </w:pPr>
    </w:p>
    <w:p>
      <w:pPr>
        <w:sectPr>
          <w:pgSz w:w="11900" w:h="16838" w:orient="portrait"/>
          <w:cols w:equalWidth="0" w:num="2">
            <w:col w:w="4800" w:space="720"/>
            <w:col w:w="5620"/>
          </w:cols>
          <w:pgMar w:left="320" w:top="225" w:right="439" w:bottom="1440" w:gutter="0" w:footer="0" w:header="0"/>
          <w:type w:val="continuous"/>
        </w:sect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5636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of our obligation to redeem 100% of our public shares if we do not complete</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our initial business combination within 24 months from the closing of this</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offering or (B) with respect to any other provision relating to shareholders’</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rights or pre-initial business combination activity, unless we provide our</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public shareholders with the opportunity to redeem their public shares upon</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approval of any such amendment at a per-share price, payable in cash, equal</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to the aggregate amount then on deposit in the trust account, including</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interest (which interest shall be net of taxes payable), divided by the number</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of then issued and outstanding public shares. However, we may not redeem</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our public shares in an amount that would cause our net tangible assets, after</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payment of the deferred underwriting commissions, to be less than</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$5,000,001 upon completion of our initial business combination (so that we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do not then become subject to the SEC’s “penny stock” rules).</w:t>
      </w:r>
    </w:p>
    <w:p>
      <w:pPr>
        <w:sectPr>
          <w:pgSz w:w="11900" w:h="16838" w:orient="portrait"/>
          <w:cols w:equalWidth="0" w:num="1">
            <w:col w:w="11120"/>
          </w:cols>
          <w:pgMar w:left="320" w:top="225" w:right="459" w:bottom="1440" w:gutter="0" w:footer="0" w:header="0"/>
        </w:sect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Limited payments to insiders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will be no finder’s fees, reimbursements or cash payments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p>
      <w:pPr>
        <w:spacing w:after="0" w:line="177" w:lineRule="exact"/>
        <w:rPr>
          <w:sz w:val="20"/>
          <w:szCs w:val="20"/>
          <w:color w:val="auto"/>
        </w:rPr>
      </w:pPr>
    </w:p>
    <w:p>
      <w:pPr>
        <w:sectPr>
          <w:pgSz w:w="11900" w:h="16838" w:orient="portrait"/>
          <w:cols w:equalWidth="0" w:num="2">
            <w:col w:w="4800" w:space="720"/>
            <w:col w:w="560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120" w:hanging="8"/>
        <w:spacing w:after="0" w:line="259" w:lineRule="auto"/>
        <w:rPr>
          <w:sz w:val="20"/>
          <w:szCs w:val="20"/>
          <w:color w:val="auto"/>
        </w:rPr>
      </w:pPr>
      <w:r>
        <w:rPr>
          <w:rFonts w:ascii="Arial" w:cs="Arial" w:eastAsia="Arial" w:hAnsi="Arial"/>
          <w:sz w:val="18"/>
          <w:szCs w:val="18"/>
          <w:color w:val="auto"/>
        </w:rPr>
        <w:t>repayment of an aggregate of up to $250,000 in loans that may be made to us by our sponsor to cover offering-related and organizational expenses (as of June 11, 2019, we had borrowed $12,500 from our sponsor);</w:t>
      </w:r>
    </w:p>
    <w:p>
      <w:pPr>
        <w:spacing w:after="0" w:line="187" w:lineRule="exact"/>
        <w:rPr>
          <w:sz w:val="20"/>
          <w:szCs w:val="20"/>
          <w:color w:val="auto"/>
        </w:rPr>
      </w:pPr>
    </w:p>
    <w:p>
      <w:pPr>
        <w:sectPr>
          <w:pgSz w:w="11900" w:h="16838" w:orient="portrait"/>
          <w:cols w:equalWidth="0" w:num="2">
            <w:col w:w="5560" w:space="280"/>
            <w:col w:w="528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340" w:hanging="8"/>
        <w:spacing w:after="0" w:line="342" w:lineRule="auto"/>
        <w:rPr>
          <w:sz w:val="20"/>
          <w:szCs w:val="20"/>
          <w:color w:val="auto"/>
        </w:rPr>
      </w:pPr>
      <w:r>
        <w:rPr>
          <w:rFonts w:ascii="Arial" w:cs="Arial" w:eastAsia="Arial" w:hAnsi="Arial"/>
          <w:sz w:val="16"/>
          <w:szCs w:val="16"/>
          <w:color w:val="auto"/>
        </w:rPr>
        <w:t>reimbursement for any out-of-pocket expenses related to identifying, investigating and completing an initial business combination; and</w:t>
      </w:r>
    </w:p>
    <w:p>
      <w:pPr>
        <w:spacing w:after="0" w:line="124" w:lineRule="exact"/>
        <w:rPr>
          <w:sz w:val="20"/>
          <w:szCs w:val="20"/>
          <w:color w:val="auto"/>
        </w:rPr>
      </w:pPr>
    </w:p>
    <w:p>
      <w:pPr>
        <w:sectPr>
          <w:pgSz w:w="11900" w:h="16838" w:orient="portrait"/>
          <w:cols w:equalWidth="0" w:num="2">
            <w:col w:w="5560" w:space="280"/>
            <w:col w:w="5280"/>
          </w:cols>
          <w:pgMar w:left="320" w:top="225" w:right="459" w:bottom="1440" w:gutter="0" w:footer="0" w:header="0"/>
          <w:type w:val="continuous"/>
        </w:sectPr>
      </w:pPr>
    </w:p>
    <w:p>
      <w:pPr>
        <w:ind w:left="552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60" w:hanging="8"/>
        <w:spacing w:after="0" w:line="286" w:lineRule="auto"/>
        <w:rPr>
          <w:sz w:val="20"/>
          <w:szCs w:val="20"/>
          <w:color w:val="auto"/>
        </w:rPr>
      </w:pPr>
      <w:r>
        <w:rPr>
          <w:rFonts w:ascii="Arial" w:cs="Arial" w:eastAsia="Arial" w:hAnsi="Arial"/>
          <w:sz w:val="16"/>
          <w:szCs w:val="16"/>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w:t>
      </w:r>
    </w:p>
    <w:p>
      <w:pPr>
        <w:spacing w:after="0" w:line="1" w:lineRule="exact"/>
        <w:rPr>
          <w:sz w:val="20"/>
          <w:szCs w:val="20"/>
          <w:color w:val="auto"/>
        </w:rPr>
      </w:pPr>
    </w:p>
    <w:p>
      <w:pPr>
        <w:sectPr>
          <w:pgSz w:w="11900" w:h="16838" w:orient="portrait"/>
          <w:cols w:equalWidth="0" w:num="2">
            <w:col w:w="5560" w:space="280"/>
            <w:col w:w="5280"/>
          </w:cols>
          <w:pgMar w:left="320" w:top="225" w:right="459" w:bottom="1440" w:gutter="0" w:footer="0" w:header="0"/>
          <w:type w:val="continuous"/>
        </w:sectPr>
      </w:pPr>
    </w:p>
    <w:p>
      <w:pPr>
        <w:ind w:left="5840"/>
        <w:spacing w:after="0"/>
        <w:rPr>
          <w:sz w:val="20"/>
          <w:szCs w:val="20"/>
          <w:color w:val="auto"/>
        </w:rPr>
      </w:pPr>
      <w:r>
        <w:rPr>
          <w:rFonts w:ascii="Arial" w:cs="Arial" w:eastAsia="Arial" w:hAnsi="Arial"/>
          <w:sz w:val="16"/>
          <w:szCs w:val="16"/>
          <w:color w:val="auto"/>
        </w:rPr>
        <w:t>agreements been executed with respect thereto. Up to $1,500,000 of such</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loans may be convertible into warrants at a price of $1.00 per warrant at</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option of the lender.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542"/>
        </w:trPr>
        <w:tc>
          <w:tcPr>
            <w:tcW w:w="352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color w:val="auto"/>
                <w:w w:val="90"/>
              </w:rPr>
              <w:t>These payments may be funded using the net proceeds of this offering and the</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4"/>
              </w:rPr>
              <w:t>sale of the private placement warrants not held in the trust account or, upon</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4"/>
              </w:rPr>
              <w:t>completion of the initial business combination, from any amounts remaining</w:t>
            </w:r>
          </w:p>
        </w:tc>
      </w:tr>
      <w:tr>
        <w:trPr>
          <w:trHeight w:val="230"/>
        </w:trPr>
        <w:tc>
          <w:tcPr>
            <w:tcW w:w="35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2"/>
              </w:rPr>
              <w:t>from the proceeds of the trust account released to us in connection therewith.</w:t>
            </w:r>
          </w:p>
        </w:tc>
      </w:tr>
      <w:tr>
        <w:trPr>
          <w:trHeight w:val="418"/>
        </w:trPr>
        <w:tc>
          <w:tcPr>
            <w:tcW w:w="35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Audit committee</w:t>
            </w: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Prior to the effectiveness of this registration statement, we will have</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8"/>
              </w:rPr>
              <w:t>established and will maintain an audit committee to, among other things,</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9"/>
              </w:rPr>
              <w:t>monitor compliance with the terms described above and the other terms</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6"/>
              </w:rPr>
              <w:t>relating to this offering. Our audit committee will also review on a quarterly</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2"/>
              </w:rPr>
              <w:t>basis all payments that were made to our sponsor, officers or directors, or our</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8"/>
              </w:rPr>
              <w:t>or any of their affiliates. If any noncompliance is identified, then the audit</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committee will be charged with the responsibility to immediately take all</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action necessary to rectify such noncompliance or otherwise to cause</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9"/>
              </w:rPr>
              <w:t>compliance with the terms of this offering. For more information, see the</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9"/>
              </w:rPr>
              <w:t>section entitled “Management—Committees of the Board of Directors—</w:t>
            </w:r>
          </w:p>
        </w:tc>
      </w:tr>
      <w:tr>
        <w:trPr>
          <w:trHeight w:val="230"/>
        </w:trPr>
        <w:tc>
          <w:tcPr>
            <w:tcW w:w="35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Audit Committee.”</w:t>
            </w:r>
          </w:p>
        </w:tc>
      </w:tr>
      <w:tr>
        <w:trPr>
          <w:trHeight w:val="418"/>
        </w:trPr>
        <w:tc>
          <w:tcPr>
            <w:tcW w:w="35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Conflicts of interest</w:t>
            </w: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6"/>
              </w:rPr>
              <w:t>Certain of our officers and directors presently have, and any of them in the</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future may have, additional, fiduciary or contractual obligations to other</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9"/>
              </w:rPr>
              <w:t>entities pursuant to which such officer or director is or will be required to</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2"/>
              </w:rPr>
              <w:t>present a business combination opportunity to such entity. Accordingly, if any</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of our officers or directors becomes aware of a business combination</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5"/>
              </w:rPr>
              <w:t>opportunity that is suitable for an entity to which he or she has then-current</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fiduciary or contractual obligations, he or she may need to honor these</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8"/>
              </w:rPr>
              <w:t>fiduciary or contractual obligations to present such business combination</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8"/>
              </w:rPr>
              <w:t>opportunity to such entity, subject to their fiduciary duties under Cayman</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Islands law. We do not believe, however, that the fiduciary duties or</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7"/>
              </w:rPr>
              <w:t>contractual obligations of our officers or directors will materially affect our</w:t>
            </w:r>
          </w:p>
        </w:tc>
      </w:tr>
      <w:tr>
        <w:trPr>
          <w:trHeight w:val="230"/>
        </w:trPr>
        <w:tc>
          <w:tcPr>
            <w:tcW w:w="35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ability to complete our initial business combination.</w:t>
            </w:r>
          </w:p>
        </w:tc>
      </w:tr>
      <w:tr>
        <w:trPr>
          <w:trHeight w:val="418"/>
        </w:trPr>
        <w:tc>
          <w:tcPr>
            <w:tcW w:w="35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Indemnity</w:t>
            </w: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8"/>
              </w:rPr>
              <w:t>Our sponsor has agreed that it will be liable to us if and to the extent any</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8"/>
              </w:rPr>
              <w:t>claims by a third party (other than our independent auditors) for services</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4"/>
              </w:rPr>
              <w:t>rendered or products sold to us, or a prospective target business with which</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2"/>
              </w:rPr>
              <w:t>we have discussed entering into a transaction agreement, reduce the amount</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3"/>
              </w:rPr>
              <w:t>of funds in the trust account to below (1) $10.00 per public share or (2) such</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3"/>
              </w:rPr>
              <w:t>lesser amount per public share held in the trust account as of the date of the</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9"/>
              </w:rPr>
              <w:t>liquidation of the trust account due to reductions in the value of the trust</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2"/>
              </w:rPr>
              <w:t>assets, in each case net of the interest which may be withdrawn to pay taxes,</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2"/>
              </w:rPr>
              <w:t>except as to any claims by a third party who executed a waiver of any and all</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3"/>
              </w:rPr>
              <w:t>rights to seek access to the trust account and except as to any claims under</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7"/>
              </w:rPr>
              <w:t>our indemnity of the underwriters of this offering against certain liabilities,</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6"/>
              </w:rPr>
              <w:t>including liabilities under the Securities Act. Moreover, in the event that an</w:t>
            </w: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w w:val="97"/>
              </w:rPr>
              <w:t>executed waiver is deemed to be unenforceable against a third party, our</w:t>
            </w:r>
          </w:p>
        </w:tc>
      </w:tr>
      <w:tr>
        <w:trPr>
          <w:trHeight w:val="230"/>
        </w:trPr>
        <w:tc>
          <w:tcPr>
            <w:tcW w:w="35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2000"/>
              <w:spacing w:after="0"/>
              <w:rPr>
                <w:sz w:val="20"/>
                <w:szCs w:val="20"/>
                <w:color w:val="auto"/>
              </w:rPr>
            </w:pPr>
            <w:r>
              <w:rPr>
                <w:rFonts w:ascii="Arial" w:cs="Arial" w:eastAsia="Arial" w:hAnsi="Arial"/>
                <w:sz w:val="18"/>
                <w:szCs w:val="18"/>
                <w:color w:val="auto"/>
              </w:rPr>
              <w:t>sponsor will not be responsible to the extent of any liability</w:t>
            </w:r>
          </w:p>
        </w:tc>
      </w:tr>
      <w:tr>
        <w:trPr>
          <w:trHeight w:val="307"/>
        </w:trPr>
        <w:tc>
          <w:tcPr>
            <w:tcW w:w="3520" w:type="dxa"/>
            <w:vAlign w:val="bottom"/>
            <w:tcBorders>
              <w:left w:val="single" w:sz="8" w:color="auto"/>
              <w:bottom w:val="single" w:sz="8" w:color="auto"/>
            </w:tcBorders>
          </w:tcPr>
          <w:p>
            <w:pPr>
              <w:spacing w:after="0"/>
              <w:rPr>
                <w:sz w:val="24"/>
                <w:szCs w:val="24"/>
                <w:color w:val="auto"/>
              </w:rPr>
            </w:pPr>
          </w:p>
        </w:tc>
        <w:tc>
          <w:tcPr>
            <w:tcW w:w="7720" w:type="dxa"/>
            <w:vAlign w:val="bottom"/>
            <w:tcBorders>
              <w:bottom w:val="single" w:sz="8" w:color="auto"/>
              <w:right w:val="single" w:sz="8" w:color="auto"/>
            </w:tcBorders>
          </w:tcPr>
          <w:p>
            <w:pPr>
              <w:spacing w:after="0"/>
              <w:rPr>
                <w:sz w:val="24"/>
                <w:szCs w:val="24"/>
                <w:color w:val="auto"/>
              </w:rPr>
            </w:pPr>
          </w:p>
        </w:tc>
      </w:tr>
      <w:tr>
        <w:trPr>
          <w:trHeight w:val="328"/>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40"/>
          </w:cols>
          <w:pgMar w:left="320" w:top="225"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36130" cy="4813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48133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for such third-party claims. We have not independently verified whether our</w:t>
      </w:r>
    </w:p>
    <w:p>
      <w:pPr>
        <w:spacing w:after="0" w:line="4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sponsor has sufficient funds to satisfy its indemnity obligations and believe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that our sponsor’s only assets are securities of our company and, therefore,</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our sponsor may not be able to satisfy those obligations. We have not asked</w:t>
      </w:r>
    </w:p>
    <w:p>
      <w:pPr>
        <w:spacing w:after="0" w:line="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our sponsor to reserve for such obligations.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ind w:left="100" w:right="60"/>
        <w:spacing w:after="0" w:line="272"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Business—Comparison of This Offering to Those of Blank Check Companies Subject to Rule 419.” You should carefully consider these and the other risks set forth in the section of this prospectus entitled “Risk Factors.”</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100" w:right="140"/>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9400" w:type="dxa"/>
            <w:vAlign w:val="bottom"/>
            <w:tcBorders>
              <w:bottom w:val="single" w:sz="8" w:color="auto"/>
            </w:tcBorders>
          </w:tcPr>
          <w:p>
            <w:pPr>
              <w:ind w:left="3920"/>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bottom w:val="single" w:sz="8" w:color="D5EAEA"/>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June 11, 2019</w:t>
            </w:r>
          </w:p>
        </w:tc>
      </w:tr>
      <w:tr>
        <w:trPr>
          <w:trHeight w:val="209"/>
        </w:trPr>
        <w:tc>
          <w:tcPr>
            <w:tcW w:w="9400" w:type="dxa"/>
            <w:vAlign w:val="bottom"/>
            <w:shd w:val="clear" w:color="auto" w:fill="D5EAEA"/>
          </w:tcPr>
          <w:p>
            <w:pPr>
              <w:spacing w:after="0"/>
              <w:rPr>
                <w:sz w:val="20"/>
                <w:szCs w:val="20"/>
                <w:color w:val="auto"/>
              </w:rPr>
            </w:pPr>
            <w:r>
              <w:rPr>
                <w:rFonts w:ascii="Arial" w:cs="Arial" w:eastAsia="Arial" w:hAnsi="Arial"/>
                <w:sz w:val="18"/>
                <w:szCs w:val="18"/>
                <w:color w:val="auto"/>
              </w:rPr>
              <w:t>Working capital (deficiency)</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(12,500)</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32,500</w:t>
            </w:r>
          </w:p>
        </w:tc>
      </w:tr>
      <w:tr>
        <w:trPr>
          <w:trHeight w:val="216"/>
        </w:trPr>
        <w:tc>
          <w:tcPr>
            <w:tcW w:w="9400" w:type="dxa"/>
            <w:vAlign w:val="bottom"/>
            <w:shd w:val="clear" w:color="auto" w:fill="D5EAEA"/>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10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12,500</w:t>
            </w:r>
          </w:p>
        </w:tc>
      </w:tr>
      <w:tr>
        <w:trPr>
          <w:trHeight w:val="230"/>
        </w:trPr>
        <w:tc>
          <w:tcPr>
            <w:tcW w:w="94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20,000</w:t>
            </w:r>
          </w:p>
        </w:tc>
      </w:tr>
    </w:tbl>
    <w:p>
      <w:pPr>
        <w:spacing w:after="0" w:line="187" w:lineRule="exact"/>
        <w:rPr>
          <w:sz w:val="20"/>
          <w:szCs w:val="20"/>
          <w:color w:val="auto"/>
        </w:rPr>
      </w:pPr>
    </w:p>
    <w:p>
      <w:pPr>
        <w:ind w:left="100" w:right="40"/>
        <w:spacing w:after="0" w:line="257" w:lineRule="auto"/>
        <w:rPr>
          <w:sz w:val="20"/>
          <w:szCs w:val="20"/>
          <w:color w:val="auto"/>
        </w:rPr>
      </w:pPr>
      <w:r>
        <w:rPr>
          <w:rFonts w:ascii="Arial" w:cs="Arial" w:eastAsia="Arial" w:hAnsi="Arial"/>
          <w:sz w:val="18"/>
          <w:szCs w:val="18"/>
          <w:color w:val="auto"/>
        </w:rPr>
        <w:t>If our initial business combination is not completed within 24 months from the closing of this offering, the proceeds then on deposit in the trust account, including interest (less up to $100,000 of interest to pay dissolution expenses and which interest shall be net of taxes payable), will be used to fund the redemption of our public shares.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such 24-month time period.</w:t>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Offering</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 newly incorporated company with no operating history and no revenues, and you have no basis on which to evaluate our ability to achieve our business objective.</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are a newly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June 11, 2019, we had no cash and a working capital deficiency of $12,500. Further, we have incurred and expect to continue to incur significant costs in pursuit of our financing and acquisition plans. Management’s plans to address this need for capital through this offering are discussed in the section of this prospectus 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pacing w:after="0" w:line="1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w:t>
      </w: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provide our public shareholders with the opportunity to redeem all or a portion of their public shares upon the completion of our initial business</w:t>
      </w:r>
    </w:p>
    <w:p>
      <w:pPr>
        <w:spacing w:after="0" w:line="20" w:lineRule="exact"/>
        <w:rPr>
          <w:rFonts w:ascii="Arial" w:cs="Arial" w:eastAsia="Arial" w:hAnsi="Arial"/>
          <w:sz w:val="17"/>
          <w:szCs w:val="17"/>
          <w:color w:val="auto"/>
        </w:rPr>
      </w:pPr>
    </w:p>
    <w:p>
      <w:pPr>
        <w:ind w:right="20"/>
        <w:spacing w:after="0" w:line="267" w:lineRule="auto"/>
        <w:rPr>
          <w:rFonts w:ascii="Arial" w:cs="Arial" w:eastAsia="Arial" w:hAnsi="Arial"/>
          <w:sz w:val="17"/>
          <w:szCs w:val="17"/>
          <w:color w:val="auto"/>
        </w:rPr>
      </w:pPr>
      <w:r>
        <w:rPr>
          <w:rFonts w:ascii="Arial" w:cs="Arial" w:eastAsia="Arial" w:hAnsi="Arial"/>
          <w:sz w:val="17"/>
          <w:szCs w:val="17"/>
          <w:color w:val="auto"/>
        </w:rPr>
        <w:t>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18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4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end of the 24-month period. In addition, we may have limited time to conduct due diligence and may enter into our initial business combination on terms that we would have rejected upon a more comprehensive investigation.</w:t>
      </w:r>
    </w:p>
    <w:p>
      <w:pPr>
        <w:spacing w:after="0" w:line="19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 and our warrants will expire worthless.</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sponsor, officers and directors have agreed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In such case, our public shareholders may receive only $10.00 per share, or less than $10.00 per share, on the redemption of their shares,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“Proposed Business—Permitted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1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“Proposed Business—Effecting Our Initial Business Combination—Tendering share certificates in connection with a tender offer or redemption rights.”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that our Class A ordinary shares and warrants are eligible to trade separately, we anticipate that our Class A ordinary shares and warrants will be listed separately on Nasdaq. Although, after giving effect to this offering, we expect to meet on a pro forma basis Nasdaq’s minimum initial listing standards, which generally only require that we meet certain requirements relating to shareholders’ equity, market capitalization, aggregate market value of publicly held shares and distribution requirements,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spacing w:after="0" w:line="18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U.S. securities laws. However, because we will have net tangible assets in excess of $5,000,000 upon the successful completion of this offering and the sale of the private placement warrants and will file a Current Report on Form 8-K, including an audited balance sheet of the Company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Comparison of This Offering to Those of Blank Check Companies Subject to Rule 419.”</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14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funds not being held in the trust account are insufficient to allow us to operate for at least the 24 months following the closing of this offering, we may be unable to complete our initial business combination.</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for at least the 24 months following the closing of this offering, assuming that our initial business combination is not completed during that time. We expect to incur significant costs in pursuit of our acquisition plans.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believe that, upon the closing of this offering, the funds available to us outside of the trust account, will be sufficient to allow us to operate for at least the 24 months following the closing of this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Of the net proceeds of this offering and the sale of the private placement warrants, only approximately $1,000,000 will be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8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pacing w:after="0" w:line="1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19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188" w:lineRule="exact"/>
        <w:rPr>
          <w:sz w:val="20"/>
          <w:szCs w:val="20"/>
          <w:color w:val="auto"/>
        </w:rPr>
      </w:pPr>
    </w:p>
    <w:p>
      <w:pPr>
        <w:ind w:right="860"/>
        <w:spacing w:after="0" w:line="381"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3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 Risks Relating to the Cannabis Industry” for additional risks we may face in connection with our initial business combination.</w:t>
      </w:r>
    </w:p>
    <w:p>
      <w:pPr>
        <w:spacing w:after="0" w:line="1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within 24 months of the closing of this offering, our public shareholders may be forced to wait beyond such 24 months before redemption from our trust account.</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we are unable to consummate our initial business combination within 24 months from the closing of this offering,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the initial 24 months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$18,292.68 and to imprisonment for five years in the Cayman Islands.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hold an annual general meeting of shareholders until after the completion of our initial business combination. Our public shareholders will not have the right to elect directors prior to the consummation of our Business Combination.</w:t>
      </w:r>
    </w:p>
    <w:p>
      <w:pPr>
        <w:spacing w:after="0" w:line="17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16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in this offering than a direct investment, if an opportunity were available, in a target business. See “—Risks Relating to the Cannabis Industry” for additional risks we may face in connection with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performance by our management team and their affiliates may not be indicative of future performance of an investment in the Company.</w:t>
      </w: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w:t>
      </w:r>
    </w:p>
    <w:p>
      <w:pPr>
        <w:ind w:right="300" w:firstLine="8"/>
        <w:spacing w:after="0" w:line="255"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success with respect to 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6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88"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140"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Our amended and restated memorandum and articles of association will authorize the issuance of ordinary shares, including 200,000,000 Class A ordinary shares, par value $0.0001 per share, and 20,000,000 Class B ordinary shares, par value $0.0001 per share, as well as 1,000,000 preferred shares, par value $0.0001. Immediately after this offering, there will be 155,500,000 and 13,750,000 (assuming that the underwriters have not exercised their over-allotment option)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our initial business combination, we may not issue additional shares that would entitle the holders thereof to (1) receive funds from the trust account or</w:t>
      </w:r>
    </w:p>
    <w:p>
      <w:pPr>
        <w:spacing w:after="0" w:line="2" w:lineRule="exact"/>
        <w:rPr>
          <w:sz w:val="20"/>
          <w:szCs w:val="20"/>
          <w:color w:val="auto"/>
        </w:rPr>
      </w:pPr>
    </w:p>
    <w:p>
      <w:pPr>
        <w:ind w:right="120" w:firstLine="8"/>
        <w:spacing w:after="0" w:line="277"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 The issuance of additional ordinary shares or preferred shares:</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United States federal income tax consequences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“Income Tax Considerations — United States Federal Income Taxation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“Income Tax Considerations—United States Federal Income Taxation—U.S. Holders—Passive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required information, and such election would be unavailable with respect to our warrants in all cases. We urge U.S. investors to consult their own tax advisors regarding the possible application of the PFIC rules. For a more detailed discussion of the tax consequences of PFIC classification to U.S. Holders, see the section of this prospectus captioned “Income Tax Considerations — United States Federal Income Taxation — U.S. Holders — Passive Foreign Investment Company Rules.”</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shareholders.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and Mohammed Grimeh, our Chief Operating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178"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4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9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4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16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“Management—Directors, Director Nominees and Executive Officers.”</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“Management—Directors, Director Nominees and Executive Officers,” “Management—Conflicts of Interest” and “Certain Relationships and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light of the involvement of our sponsor, officers and directors with other entities, we may decide to acquire one or more businesses affiliated with our sponsor, officers and directors. Our officers and directors also serve as officers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board members for other entities, including, without limitation, those described under “Management—Conflicts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Business—Effecting Our Initial Business Combination—Selection of a target business and structuring of our initial business combination” and such transaction was approved by a majority of our independent and disinterested directors.</w:t>
      </w:r>
    </w:p>
    <w:p>
      <w:pPr>
        <w:spacing w:after="0" w:line="17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11, 2019, our sponsor subscribed for an aggregate of 7,187,500 founder shares for an aggregate purchase price of $25,000, or $0.004 per share (assuming the over-allotment option is not exercised and the forfeiture by our sponsor of 937,500 founder shares). As such, our initial shareholders will collectively own 20% of our issued and outstanding shares after this offering (assuming they do not purchase any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 The founder shares will be worthless if we do not complete an initial business combination. In addition, our sponsor has committed to purchase an aggregate of 7,000,000 (or 7,750,000 if the underwriters’ over-allotment option is exercised in full) private placement warrants, each exercisable to purchase one Class A ordinary share, for a purchase price of $7,000,000 in the aggregate (or $7,750,000 in the aggregate if the underwriters’ over-allotment option is exercised in full), or $1.00 per warrant, that will also be worthless if we do not complete a business combination. Each private placement warrant may be exercised for one Class A ordinary share at a price of $11.50 per share, subject to adjustment as provided herein.</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founder shares are identical to the ordinary shares included in the units being sold in this offering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w:t>
      </w:r>
    </w:p>
    <w:p>
      <w:pPr>
        <w:spacing w:after="0" w:line="2" w:lineRule="exact"/>
        <w:rPr>
          <w:sz w:val="20"/>
          <w:szCs w:val="20"/>
          <w:color w:val="auto"/>
        </w:rPr>
      </w:pPr>
    </w:p>
    <w:p>
      <w:pPr>
        <w:ind w:right="60" w:firstLine="8"/>
        <w:spacing w:after="0" w:line="287" w:lineRule="auto"/>
        <w:tabs>
          <w:tab w:leader="none" w:pos="2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deadline following the closing of this offering nears, which is the deadline for the completion of our initial business combination.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be able to complete only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proceeds from this offering and the sale of the private placement warrants will provide us with $250,000,000 (or $287,500,000 if the underwriters’ over-allotment option is exercised in full) that we may use to complete our initial business combination (which includes $8,750,000, or up to $10,062,500 if the underwriters’ over-allotment option is exercised in full, of deferred underwriting commissions being held in the trust account).</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have the resources to complete several business combinations in different industries or different areas of a single industry. Accordingly, the prospects for our success may be:</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0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6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exercise price of the public warrants is higher than is typical in many similar blank check companies in the past. Historically, the exercise price of a warrant was generally a fraction of the purchase price of the units in the initial public offering. The exercise price for our public warrants is $11.50 per share, subject to adjustment as provided herein. As a result, the warrants are more likely to expire worthless.</w:t>
      </w:r>
    </w:p>
    <w:p>
      <w:pPr>
        <w:spacing w:after="0" w:line="16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will provide that any of its provisions, including those related to pre-business combination activity (including the requirement to deposit proceeds of this offering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will collectively beneficially own 20% of our ordinary shares upon the closing of this offering (assuming they do not purchase any units in this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pacing w:after="0" w:line="3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at least a majority of the then outstanding public warrants.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warrants will be issued in registered form under a warrant agreement between ,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agreements related to this offering may be amended without shareholder approval.</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Each of the agreements related to this offering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spacing w:after="0" w:line="19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selected any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spacing w:after="0" w:line="18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Upon the closing of this offering, our initial shareholders will own 20% of our issued and outstanding ordinary shares (assuming they do not purchase any units in this offering).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spacing w:after="0" w:line="18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Neither our initial shareholders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this offering or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sponsor paid an aggregate of $25,000, or $0.004 per founder share (assuming the over-allotment option is not exercised and the forfeiture by our sponsor of 937,500 founder shares), and, accordingly, you will experience immediate and substantial dilution upon the purchase of our Class A ordinary shares.</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shares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shareholders will incur an immediate and substantial dilution of approximately 93.4% (or $9.34 per share, assuming no exercise of the underwriters’ over-allotment option), the difference between the pro forma net tangible book value per share of $0.66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In addition, because of the anti-dilution protection in the founder shares, any equity or equity-linked securities issued in connection with our initial business combination would be disproportionately dilutive to our Class A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660" w:right="2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issue additional Class A ordinary shares or equity-linked securities for capital raising purposes in connection with the closing of our initial business combination at a Newly Issued Price of less than $9.20 per Class A ordinary share;</w:t>
      </w:r>
    </w:p>
    <w:p>
      <w:pPr>
        <w:spacing w:after="0" w:line="170" w:lineRule="exact"/>
        <w:rPr>
          <w:rFonts w:ascii="Arial" w:cs="Arial" w:eastAsia="Arial" w:hAnsi="Arial"/>
          <w:sz w:val="18"/>
          <w:szCs w:val="18"/>
          <w:color w:val="auto"/>
        </w:rPr>
      </w:pPr>
    </w:p>
    <w:p>
      <w:pPr>
        <w:ind w:left="660" w:right="30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will be issuing warrants to purchase 12,500,000 Class A ordinary shares (or up to 14,375,000 Class A ordinary shares if the underwriters’ over-allotment option is exercised in full), at a price of $11.50 per whole share (subject to adjustment as provided herein), as part of the units offered by this prospectus and, simultaneously with the closing of this offering, we will be issuing in a private placement an aggregate of 7,000,000 (or 7,750,000 if the underwriters’ over-allotment option is exercised in full) private placement warrants, each exercisable to purchase one Class A ordinary share at a price of $11.50 per share, subject to adjustment as provided herein. Our initial shareholders currently hold 7,187,500 founder shares (up to 937,500 of which are subject to forfeiture by our sponsor depending on the extent to which the underwriters’ over-allotment option is exercised).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private placement warrants are identical to the warrants sold as part of the units in this offering except that, so long as they are held by our sponsor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its permitted transferees: (1) they will not be redeemable by us; (2) they (including the ordinary shares issuable upon exercise of these warrants) may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limited exceptions, be transferred, assigned or sold by our sponsor until 30 days after the completion of our initial business combination;</w:t>
      </w:r>
    </w:p>
    <w:p>
      <w:pPr>
        <w:spacing w:after="0" w:line="32" w:lineRule="exact"/>
        <w:rPr>
          <w:sz w:val="20"/>
          <w:szCs w:val="20"/>
          <w:color w:val="auto"/>
        </w:rPr>
      </w:pPr>
    </w:p>
    <w:p>
      <w:pPr>
        <w:ind w:right="480" w:firstLine="8"/>
        <w:spacing w:after="0" w:line="260"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they may be exercised by the holders on a cashless basis; and (4) they (including the ordinary shares issuable upon exercise of these warrants) are entitled to registration rights.</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warrant and only a whole warrant may be exercised, the units may be worth less than units of other blank check companies.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This is different from other offerings similar to ours whose units include one ordinary share and one whole warrant to purchase one share. We have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will make us a more attractive business combination partner for target businesses. Nevertheless, this unit structure may cause our units to be worth less than if they included a warrant to purchase one whole share.</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1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8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6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12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70" w:lineRule="exact"/>
        <w:rPr>
          <w:sz w:val="20"/>
          <w:szCs w:val="20"/>
          <w:color w:val="auto"/>
        </w:rPr>
      </w:pPr>
    </w:p>
    <w:p>
      <w:pPr>
        <w:ind w:right="640"/>
        <w:spacing w:after="0" w:line="301" w:lineRule="auto"/>
        <w:rPr>
          <w:sz w:val="20"/>
          <w:szCs w:val="20"/>
          <w:color w:val="auto"/>
        </w:rPr>
      </w:pPr>
      <w:r>
        <w:rPr>
          <w:rFonts w:ascii="Arial" w:cs="Arial" w:eastAsia="Arial" w:hAnsi="Arial"/>
          <w:sz w:val="16"/>
          <w:szCs w:val="16"/>
          <w:color w:val="auto"/>
        </w:rPr>
        <w:t>Our amended and restated memorandum and articles of association will contain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5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be subject to changing law and regulations regarding regulatory matters, corporate governance and public disclosure that have increased both our costs and the risk of non-compliance.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will be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delayed in processing mail received at our registered office.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Mail addressed to the Company and received at its registered office will be forwarded unopened to the forwarding address supplied by Company to be dealt with. None of the Company, its directors, officers, advisors or service providers (including the organisation which provides registered office services in the Cayman Islands) will bear any responsibility for any delay howsoever caused in mail reaching the forwarding address.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Cannabis Industry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cannabis industry to which we may become subject.</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If we are successful in completing a business combination with a target business with operations in the cannabis industry, we will be subject to, and possibly adversely affected by, the following risks:</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225" w:lineRule="exact"/>
        <w:rPr>
          <w:rFonts w:ascii="Arial" w:cs="Arial" w:eastAsia="Arial" w:hAnsi="Arial"/>
          <w:sz w:val="18"/>
          <w:szCs w:val="18"/>
          <w:color w:val="auto"/>
        </w:rPr>
      </w:pPr>
    </w:p>
    <w:p>
      <w:pPr>
        <w:ind w:left="660" w:right="8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of cannabis that is not in compliance with the U.S. Controlled Substances Act is illegal under U.S. federal law, and therefore, strict enforcement of U.S. federal laws regarding the use, cultivation,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manufacturing, processing, transportation, distribution, storage and/or sale of cannabis would likely result in our inability to execute a business plan in the cannabis industry;</w:t>
      </w:r>
    </w:p>
    <w:p>
      <w:pPr>
        <w:spacing w:after="0" w:line="170" w:lineRule="exact"/>
        <w:rPr>
          <w:sz w:val="20"/>
          <w:szCs w:val="20"/>
          <w:color w:val="auto"/>
        </w:rPr>
      </w:pPr>
    </w:p>
    <w:p>
      <w:pPr>
        <w:ind w:left="660" w:right="44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current policies of the Trump Administration and the U.S. Department of Justice resulting in heightened enforcement of U.S. federal cannabis laws may negatively impact our ability to pursue our prospective business operations and/or generate revenues;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Consumer complaints and negative publicity regarding cannabis 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17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18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financing in connection with our initial business combination or thereafter;</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National securities exchanges may not list companies engaged in the cannabis industry;</w:t>
      </w:r>
    </w:p>
    <w:p>
      <w:pPr>
        <w:spacing w:after="0" w:line="225" w:lineRule="exact"/>
        <w:rPr>
          <w:rFonts w:ascii="Arial" w:cs="Arial" w:eastAsia="Arial" w:hAnsi="Arial"/>
          <w:sz w:val="18"/>
          <w:szCs w:val="18"/>
          <w:color w:val="auto"/>
        </w:rPr>
      </w:pPr>
    </w:p>
    <w:p>
      <w:pPr>
        <w:jc w:val="both"/>
        <w:ind w:left="660" w:right="4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183" w:lineRule="exact"/>
        <w:rPr>
          <w:rFonts w:ascii="Arial" w:cs="Arial" w:eastAsia="Arial" w:hAnsi="Arial"/>
          <w:sz w:val="18"/>
          <w:szCs w:val="18"/>
          <w:color w:val="auto"/>
        </w:rPr>
      </w:pPr>
    </w:p>
    <w:p>
      <w:pPr>
        <w:ind w:right="280" w:firstLine="332"/>
        <w:spacing w:after="0" w:line="527"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similar to those discussed above based on regulations of other jurisdictions in which a prospective target may operate or be organized in. Any of the foregoing could have an adverse impact on our operations following a business combination.</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is currently illegal under U.S. federal law and in other jurisdictions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 derived cannabinoids out of the most restrictive class of controlled substances under U.S. federal law, marijuana is a schedule-1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potential growth in the cannabis industry continues to be subject to new and changing state and local laws and regulations.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the laws, regulations and guidelines that impact our business may cause adverse effects on our operations.</w:t>
      </w:r>
    </w:p>
    <w:p>
      <w:pPr>
        <w:spacing w:after="0" w:line="225"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our operations.</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operate a highly regulated business and any failure or significant delay in obtaining regulatory approvals could adversely affect our ability to conduct our business.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event we acquire a business involved in the production, distribution and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regulations relating to hemp-derived CBD products are unclear and rapidly evolving.</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 non-THC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regulatory or agency proceedings, investigations and audits.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ectPr>
          <w:pgSz w:w="11900" w:h="16838" w:orient="portrait"/>
          <w:cols w:equalWidth="0" w:num="1">
            <w:col w:w="11220"/>
          </w:cols>
          <w:pgMar w:left="320" w:top="225" w:right="359" w:bottom="1440" w:gutter="0" w:footer="0" w:header="0"/>
        </w:sect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Research in Canada, the United States and internationally regarding the medical benefits, viability, safety, efficacy and dosing of cannabis or isolated cannabinoids (such as CBD and THC) remains in relatively early stages. There have been few clinical trials on the benefits of cannabis or isolated cannabinoids conducted by us or by others.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70"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w:t>
      </w:r>
    </w:p>
    <w:p>
      <w:pPr>
        <w:spacing w:after="0" w:line="2" w:lineRule="exact"/>
        <w:rPr>
          <w:sz w:val="20"/>
          <w:szCs w:val="20"/>
          <w:color w:val="auto"/>
        </w:rPr>
      </w:pPr>
    </w:p>
    <w:p>
      <w:pPr>
        <w:ind w:right="280" w:firstLine="8"/>
        <w:spacing w:after="0" w:line="260" w:lineRule="auto"/>
        <w:tabs>
          <w:tab w:leader="none" w:pos="2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faces significant opposition, and any negative trends may adversely affect our business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is highly competitive and evolving.</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have longer operating histories, significantly greater financial, marketing or other resources and larger client bases than we will, and there can be no assurance that we will be able to successfully compete against these or other competitors.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Given the rapid changes affecting the global, national, and regional economies generally and the cannabis industry, in particular, we may not be able to create and maintain a competitive advantage in the marketplace. Our success will depend on our ability to keep pace with any changes in our markets, particularly, legal and regulatory changes.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customers may have difficulty accessing the service of banks, which may make it difficult to sell products and services.</w:t>
      </w:r>
    </w:p>
    <w:p>
      <w:pPr>
        <w:spacing w:after="0" w:line="23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development and operation of businesses in the cannabis industry may require additional financing, which may not be available on favorable terms, if at all.</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19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76"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the cannabis industry more generally, may receive unfavorable publicity or become subject to negative consumer or investor perception.</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w:t>
      </w:r>
    </w:p>
    <w:p>
      <w:pPr>
        <w:sectPr>
          <w:pgSz w:w="11900" w:h="16838" w:orient="portrait"/>
          <w:cols w:equalWidth="0" w:num="1">
            <w:col w:w="11240"/>
          </w:cols>
          <w:pgMar w:left="320" w:top="225" w:right="3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ability to do business may be negatively impacted by the improper conduct by our business partners, employees or agents.</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our reputation.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and service providers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cannabis industry is subject to the risks inherent in an agricultural business, including the risk of crop failure.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 controlled conditions, cannabis continues to be grown outdoors and there can be no assurance that natural elements, such as insects and plant diseases, will not entirely interrupt production activities or have an adverse effect on the production of cannabis and, accordingly, the operations of a potential target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cannabis businesses are dependent on key personnel with sufficient experience in the cannabis industry.</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production of cannabis will vary based on a number of factors outside of our control.</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of businesses in the cannabis industry are in a large part derived from the production, sale and distribution of cannabis. The price of production, sale and distribution of cannabis is dependent number of key inputs and their related costs, including raw materials and supplies related to cannabis growing operations, as well as electricity, water and other utilities. Cannabis growing operations consume considerable energy, making such operations vulnerable to rising energy costs. Any significant interruption or negative change in the availability or economics of the supply chain for key inputs could materially impact financial condition and operating results of businesses operating in the cannabis industry. Any inability to secure required supplies and services or to do so on appropriate terms could have a materially adverse impact on the business, financial condition, results of operations and prospects of such businesses.</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ectPr>
          <w:pgSz w:w="11900" w:h="16838" w:orient="portrait"/>
          <w:cols w:equalWidth="0" w:num="1">
            <w:col w:w="11240"/>
          </w:cols>
          <w:pgMar w:left="320" w:top="225"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Some statements contained in this prospectus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6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a business in the cannabis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offering 25,000,000 units at an offering price of $10.00 per unit. We estimate that the net proceeds of this offering together with the funds we will receive from the sale of the private placement warrants will be used as set forth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Without Over-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Over-Allotment</w:t>
            </w:r>
          </w:p>
        </w:tc>
        <w:tc>
          <w:tcPr>
            <w:tcW w:w="0" w:type="dxa"/>
            <w:vAlign w:val="bottom"/>
          </w:tcPr>
          <w:p>
            <w:pPr>
              <w:spacing w:after="0"/>
              <w:rPr>
                <w:sz w:val="1"/>
                <w:szCs w:val="1"/>
                <w:color w:val="auto"/>
              </w:rPr>
            </w:pPr>
          </w:p>
        </w:tc>
      </w:tr>
      <w:tr>
        <w:trPr>
          <w:trHeight w:val="234"/>
        </w:trPr>
        <w:tc>
          <w:tcPr>
            <w:tcW w:w="7920" w:type="dxa"/>
            <w:vAlign w:val="bottom"/>
            <w:tcBorders>
              <w:bottom w:val="single" w:sz="8" w:color="D5EAE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Allotment Option</w:t>
            </w:r>
          </w:p>
        </w:tc>
        <w:tc>
          <w:tcPr>
            <w:tcW w:w="120" w:type="dxa"/>
            <w:vAlign w:val="bottom"/>
            <w:tcBorders>
              <w:bottom w:val="single" w:sz="8" w:color="D5EAEA"/>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Option Exercised</w:t>
            </w:r>
          </w:p>
        </w:tc>
        <w:tc>
          <w:tcPr>
            <w:tcW w:w="0" w:type="dxa"/>
            <w:vAlign w:val="bottom"/>
          </w:tcPr>
          <w:p>
            <w:pPr>
              <w:spacing w:after="0"/>
              <w:rPr>
                <w:sz w:val="1"/>
                <w:szCs w:val="1"/>
                <w:color w:val="auto"/>
              </w:rPr>
            </w:pPr>
          </w:p>
        </w:tc>
      </w:tr>
      <w:tr>
        <w:trPr>
          <w:trHeight w:val="209"/>
        </w:trPr>
        <w:tc>
          <w:tcPr>
            <w:tcW w:w="7920" w:type="dxa"/>
            <w:vAlign w:val="bottom"/>
            <w:shd w:val="clear" w:color="auto" w:fill="D5EAEA"/>
          </w:tcPr>
          <w:p>
            <w:pPr>
              <w:spacing w:after="0"/>
              <w:rPr>
                <w:sz w:val="20"/>
                <w:szCs w:val="20"/>
                <w:color w:val="auto"/>
              </w:rPr>
            </w:pPr>
            <w:r>
              <w:rPr>
                <w:rFonts w:ascii="Arial" w:cs="Arial" w:eastAsia="Arial" w:hAnsi="Arial"/>
                <w:sz w:val="18"/>
                <w:szCs w:val="18"/>
                <w:i w:val="1"/>
                <w:iCs w:val="1"/>
                <w:color w:val="auto"/>
              </w:rPr>
              <w:t>Gross proceeds</w:t>
            </w: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20" w:type="dxa"/>
            <w:vAlign w:val="bottom"/>
          </w:tcPr>
          <w:p>
            <w:pPr>
              <w:spacing w:after="0" w:line="256" w:lineRule="exact"/>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250,000,000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287,500,000</w:t>
            </w:r>
          </w:p>
        </w:tc>
        <w:tc>
          <w:tcPr>
            <w:tcW w:w="0" w:type="dxa"/>
            <w:vAlign w:val="bottom"/>
          </w:tcPr>
          <w:p>
            <w:pPr>
              <w:spacing w:after="0"/>
              <w:rPr>
                <w:sz w:val="1"/>
                <w:szCs w:val="1"/>
                <w:color w:val="auto"/>
              </w:rPr>
            </w:pPr>
          </w:p>
        </w:tc>
      </w:tr>
      <w:tr>
        <w:trPr>
          <w:trHeight w:val="229"/>
        </w:trPr>
        <w:tc>
          <w:tcPr>
            <w:tcW w:w="7920" w:type="dxa"/>
            <w:vAlign w:val="bottom"/>
            <w:shd w:val="clear" w:color="auto" w:fill="D5EAEA"/>
          </w:tcPr>
          <w:p>
            <w:pPr>
              <w:spacing w:after="0"/>
              <w:rPr>
                <w:sz w:val="20"/>
                <w:szCs w:val="20"/>
                <w:color w:val="auto"/>
              </w:rPr>
            </w:pPr>
            <w:r>
              <w:rPr>
                <w:rFonts w:ascii="Arial" w:cs="Arial" w:eastAsia="Arial" w:hAnsi="Arial"/>
                <w:sz w:val="18"/>
                <w:szCs w:val="18"/>
                <w:color w:val="auto"/>
              </w:rPr>
              <w:t>Gross proceeds from private placement warrants offered in the private placement</w:t>
            </w:r>
          </w:p>
        </w:tc>
        <w:tc>
          <w:tcPr>
            <w:tcW w:w="100" w:type="dxa"/>
            <w:vAlign w:val="bottom"/>
            <w:tcBorders>
              <w:bottom w:val="single" w:sz="8" w:color="auto"/>
            </w:tcBorders>
            <w:shd w:val="clear" w:color="auto" w:fill="D5EAEA"/>
          </w:tcPr>
          <w:p>
            <w:pPr>
              <w:spacing w:after="0"/>
              <w:rPr>
                <w:sz w:val="19"/>
                <w:szCs w:val="19"/>
                <w:color w:val="auto"/>
              </w:rPr>
            </w:pPr>
          </w:p>
        </w:tc>
        <w:tc>
          <w:tcPr>
            <w:tcW w:w="150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D5EAEA"/>
          </w:tcPr>
          <w:p>
            <w:pPr>
              <w:spacing w:after="0"/>
              <w:rPr>
                <w:sz w:val="19"/>
                <w:szCs w:val="19"/>
                <w:color w:val="auto"/>
              </w:rPr>
            </w:pPr>
          </w:p>
        </w:tc>
        <w:tc>
          <w:tcPr>
            <w:tcW w:w="100" w:type="dxa"/>
            <w:vAlign w:val="bottom"/>
            <w:tcBorders>
              <w:bottom w:val="single" w:sz="8" w:color="auto"/>
            </w:tcBorders>
            <w:shd w:val="clear" w:color="auto" w:fill="D5EAEA"/>
          </w:tcPr>
          <w:p>
            <w:pPr>
              <w:spacing w:after="0"/>
              <w:rPr>
                <w:sz w:val="19"/>
                <w:szCs w:val="19"/>
                <w:color w:val="auto"/>
              </w:rPr>
            </w:pPr>
          </w:p>
        </w:tc>
        <w:tc>
          <w:tcPr>
            <w:tcW w:w="150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7,750,000</w:t>
            </w:r>
          </w:p>
        </w:tc>
        <w:tc>
          <w:tcPr>
            <w:tcW w:w="0" w:type="dxa"/>
            <w:vAlign w:val="bottom"/>
          </w:tcPr>
          <w:p>
            <w:pPr>
              <w:spacing w:after="0"/>
              <w:rPr>
                <w:sz w:val="1"/>
                <w:szCs w:val="1"/>
                <w:color w:val="auto"/>
              </w:rPr>
            </w:pPr>
          </w:p>
        </w:tc>
      </w:tr>
      <w:tr>
        <w:trPr>
          <w:trHeight w:val="210"/>
        </w:trPr>
        <w:tc>
          <w:tcPr>
            <w:tcW w:w="79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gross proceeds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257,000,000</w:t>
            </w:r>
          </w:p>
        </w:tc>
        <w:tc>
          <w:tcPr>
            <w:tcW w:w="120" w:type="dxa"/>
            <w:vAlign w:val="bottom"/>
            <w:tcBorders>
              <w:bottom w:val="single" w:sz="8" w:color="D5EAEA"/>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295,250,000</w:t>
            </w:r>
          </w:p>
        </w:tc>
        <w:tc>
          <w:tcPr>
            <w:tcW w:w="0" w:type="dxa"/>
            <w:vAlign w:val="bottom"/>
          </w:tcPr>
          <w:p>
            <w:pPr>
              <w:spacing w:after="0"/>
              <w:rPr>
                <w:sz w:val="1"/>
                <w:szCs w:val="1"/>
                <w:color w:val="auto"/>
              </w:rPr>
            </w:pPr>
          </w:p>
        </w:tc>
      </w:tr>
      <w:tr>
        <w:trPr>
          <w:trHeight w:val="236"/>
        </w:trPr>
        <w:tc>
          <w:tcPr>
            <w:tcW w:w="7920" w:type="dxa"/>
            <w:vAlign w:val="bottom"/>
            <w:shd w:val="clear" w:color="auto" w:fill="D5EAEA"/>
          </w:tcPr>
          <w:p>
            <w:pPr>
              <w:spacing w:after="0" w:line="236" w:lineRule="exact"/>
              <w:rPr>
                <w:sz w:val="20"/>
                <w:szCs w:val="20"/>
                <w:color w:val="auto"/>
              </w:rPr>
            </w:pPr>
            <w:r>
              <w:rPr>
                <w:rFonts w:ascii="Arial" w:cs="Arial" w:eastAsia="Arial" w:hAnsi="Arial"/>
                <w:sz w:val="17"/>
                <w:szCs w:val="17"/>
                <w:i w:val="1"/>
                <w:iCs w:val="1"/>
                <w:color w:val="auto"/>
              </w:rPr>
              <w:t>Estimated offering expenses</w:t>
            </w:r>
            <w:r>
              <w:rPr>
                <w:rFonts w:ascii="Arial" w:cs="Arial" w:eastAsia="Arial" w:hAnsi="Arial"/>
                <w:sz w:val="27"/>
                <w:szCs w:val="27"/>
                <w:i w:val="1"/>
                <w:iCs w:val="1"/>
                <w:color w:val="auto"/>
                <w:vertAlign w:val="superscript"/>
              </w:rPr>
              <w:t>(2)</w:t>
            </w:r>
          </w:p>
        </w:tc>
        <w:tc>
          <w:tcPr>
            <w:tcW w:w="100" w:type="dxa"/>
            <w:vAlign w:val="bottom"/>
            <w:shd w:val="clear" w:color="auto" w:fill="D5EAEA"/>
          </w:tcPr>
          <w:p>
            <w:pPr>
              <w:spacing w:after="0"/>
              <w:rPr>
                <w:sz w:val="20"/>
                <w:szCs w:val="20"/>
                <w:color w:val="auto"/>
              </w:rPr>
            </w:pPr>
          </w:p>
        </w:tc>
        <w:tc>
          <w:tcPr>
            <w:tcW w:w="150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50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920" w:type="dxa"/>
            <w:vAlign w:val="bottom"/>
          </w:tcPr>
          <w:p>
            <w:pPr>
              <w:spacing w:after="0" w:line="206" w:lineRule="exact"/>
              <w:rPr>
                <w:sz w:val="20"/>
                <w:szCs w:val="20"/>
                <w:color w:val="auto"/>
              </w:rPr>
            </w:pPr>
            <w:r>
              <w:rPr>
                <w:rFonts w:ascii="Arial" w:cs="Arial" w:eastAsia="Arial" w:hAnsi="Arial"/>
                <w:sz w:val="18"/>
                <w:szCs w:val="18"/>
                <w:color w:val="auto"/>
              </w:rPr>
              <w:t>Underwriting commissions (2.0% of gross proceeds from units offered to public, excluding deferred</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7920" w:type="dxa"/>
            <w:vAlign w:val="bottom"/>
          </w:tcPr>
          <w:p>
            <w:pPr>
              <w:spacing w:after="0" w:line="280" w:lineRule="exact"/>
              <w:rPr>
                <w:sz w:val="20"/>
                <w:szCs w:val="20"/>
                <w:color w:val="auto"/>
              </w:rPr>
            </w:pPr>
            <w:r>
              <w:rPr>
                <w:rFonts w:ascii="Arial" w:cs="Arial" w:eastAsia="Arial" w:hAnsi="Arial"/>
                <w:sz w:val="18"/>
                <w:szCs w:val="18"/>
                <w:color w:val="auto"/>
              </w:rPr>
              <w:t>portion)</w:t>
            </w:r>
            <w:r>
              <w:rPr>
                <w:rFonts w:ascii="Arial" w:cs="Arial" w:eastAsia="Arial" w:hAnsi="Arial"/>
                <w:sz w:val="29"/>
                <w:szCs w:val="29"/>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5,750,000</w:t>
            </w:r>
          </w:p>
        </w:tc>
        <w:tc>
          <w:tcPr>
            <w:tcW w:w="0" w:type="dxa"/>
            <w:vAlign w:val="bottom"/>
          </w:tcPr>
          <w:p>
            <w:pPr>
              <w:spacing w:after="0"/>
              <w:rPr>
                <w:sz w:val="1"/>
                <w:szCs w:val="1"/>
                <w:color w:val="auto"/>
              </w:rPr>
            </w:pPr>
          </w:p>
        </w:tc>
      </w:tr>
      <w:tr>
        <w:trPr>
          <w:trHeight w:val="209"/>
        </w:trPr>
        <w:tc>
          <w:tcPr>
            <w:tcW w:w="79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Borders>
              <w:top w:val="single" w:sz="8" w:color="auto"/>
            </w:tcBorders>
            <w:shd w:val="clear" w:color="auto" w:fill="D5EAEA"/>
          </w:tcPr>
          <w:p>
            <w:pPr>
              <w:spacing w:after="0"/>
              <w:rPr>
                <w:sz w:val="18"/>
                <w:szCs w:val="18"/>
                <w:color w:val="auto"/>
              </w:rPr>
            </w:pPr>
          </w:p>
        </w:tc>
        <w:tc>
          <w:tcPr>
            <w:tcW w:w="15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auto"/>
            </w:tcBorders>
            <w:shd w:val="clear" w:color="auto" w:fill="D5EAEA"/>
          </w:tcPr>
          <w:p>
            <w:pPr>
              <w:spacing w:after="0"/>
              <w:rPr>
                <w:sz w:val="18"/>
                <w:szCs w:val="18"/>
                <w:color w:val="auto"/>
              </w:rPr>
            </w:pPr>
          </w:p>
        </w:tc>
        <w:tc>
          <w:tcPr>
            <w:tcW w:w="150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D5EAEA"/>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SEC expenses</w:t>
            </w:r>
          </w:p>
        </w:tc>
        <w:tc>
          <w:tcPr>
            <w:tcW w:w="1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34,845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34,845</w:t>
            </w:r>
          </w:p>
        </w:tc>
        <w:tc>
          <w:tcPr>
            <w:tcW w:w="0" w:type="dxa"/>
            <w:vAlign w:val="bottom"/>
          </w:tcPr>
          <w:p>
            <w:pPr>
              <w:spacing w:after="0"/>
              <w:rPr>
                <w:sz w:val="1"/>
                <w:szCs w:val="1"/>
                <w:color w:val="auto"/>
              </w:rPr>
            </w:pPr>
          </w:p>
        </w:tc>
      </w:tr>
      <w:tr>
        <w:trPr>
          <w:trHeight w:val="216"/>
        </w:trPr>
        <w:tc>
          <w:tcPr>
            <w:tcW w:w="7920" w:type="dxa"/>
            <w:vAlign w:val="bottom"/>
            <w:shd w:val="clear" w:color="auto" w:fill="D5EAEA"/>
          </w:tcPr>
          <w:p>
            <w:pPr>
              <w:spacing w:after="0"/>
              <w:rPr>
                <w:sz w:val="20"/>
                <w:szCs w:val="20"/>
                <w:color w:val="auto"/>
              </w:rPr>
            </w:pPr>
            <w:r>
              <w:rPr>
                <w:rFonts w:ascii="Arial" w:cs="Arial" w:eastAsia="Arial" w:hAnsi="Arial"/>
                <w:sz w:val="18"/>
                <w:szCs w:val="18"/>
                <w:color w:val="auto"/>
              </w:rPr>
              <w:t>FINRA expenses</w:t>
            </w: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43,625</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43,625</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Travel and road show</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D5EAEA"/>
          </w:tcPr>
          <w:p>
            <w:pPr>
              <w:spacing w:after="0"/>
              <w:rPr>
                <w:sz w:val="20"/>
                <w:szCs w:val="20"/>
                <w:color w:val="auto"/>
              </w:rPr>
            </w:pPr>
            <w:r>
              <w:rPr>
                <w:rFonts w:ascii="Arial" w:cs="Arial" w:eastAsia="Arial" w:hAnsi="Arial"/>
                <w:sz w:val="18"/>
                <w:szCs w:val="18"/>
                <w:color w:val="auto"/>
              </w:rPr>
              <w:t>Directors and officers insurance premiums</w:t>
            </w: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10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57"/>
        </w:trPr>
        <w:tc>
          <w:tcPr>
            <w:tcW w:w="7920" w:type="dxa"/>
            <w:vAlign w:val="bottom"/>
            <w:shd w:val="clear" w:color="auto" w:fill="D5EAEA"/>
          </w:tcPr>
          <w:p>
            <w:pPr>
              <w:spacing w:after="0" w:line="256" w:lineRule="exact"/>
              <w:rPr>
                <w:sz w:val="20"/>
                <w:szCs w:val="20"/>
                <w:color w:val="auto"/>
              </w:rPr>
            </w:pPr>
            <w:r>
              <w:rPr>
                <w:rFonts w:ascii="Arial" w:cs="Arial" w:eastAsia="Arial" w:hAnsi="Arial"/>
                <w:sz w:val="18"/>
                <w:szCs w:val="18"/>
                <w:color w:val="auto"/>
              </w:rPr>
              <w:t>Miscellaneous expenses</w:t>
            </w:r>
            <w:r>
              <w:rPr>
                <w:rFonts w:ascii="Arial" w:cs="Arial" w:eastAsia="Arial" w:hAnsi="Arial"/>
                <w:sz w:val="29"/>
                <w:szCs w:val="29"/>
                <w:color w:val="auto"/>
                <w:vertAlign w:val="superscript"/>
              </w:rPr>
              <w:t>(4)</w:t>
            </w:r>
          </w:p>
        </w:tc>
        <w:tc>
          <w:tcPr>
            <w:tcW w:w="100" w:type="dxa"/>
            <w:vAlign w:val="bottom"/>
            <w:tcBorders>
              <w:bottom w:val="single" w:sz="8" w:color="auto"/>
            </w:tcBorders>
            <w:shd w:val="clear" w:color="auto" w:fill="D5EAEA"/>
          </w:tcPr>
          <w:p>
            <w:pPr>
              <w:spacing w:after="0"/>
              <w:rPr>
                <w:sz w:val="22"/>
                <w:szCs w:val="22"/>
                <w:color w:val="auto"/>
              </w:rPr>
            </w:pPr>
          </w:p>
        </w:tc>
        <w:tc>
          <w:tcPr>
            <w:tcW w:w="1500" w:type="dxa"/>
            <w:vAlign w:val="bottom"/>
            <w:tcBorders>
              <w:bottom w:val="single" w:sz="8" w:color="auto"/>
            </w:tcBorders>
            <w:shd w:val="clear" w:color="auto" w:fill="D5EAEA"/>
          </w:tcPr>
          <w:p>
            <w:pPr>
              <w:spacing w:after="0"/>
              <w:rPr>
                <w:sz w:val="22"/>
                <w:szCs w:val="22"/>
                <w:color w:val="auto"/>
              </w:rPr>
            </w:pPr>
          </w:p>
        </w:tc>
        <w:tc>
          <w:tcPr>
            <w:tcW w:w="120" w:type="dxa"/>
            <w:vAlign w:val="bottom"/>
            <w:shd w:val="clear" w:color="auto" w:fill="D5EAEA"/>
          </w:tcPr>
          <w:p>
            <w:pPr>
              <w:spacing w:after="0"/>
              <w:rPr>
                <w:sz w:val="22"/>
                <w:szCs w:val="22"/>
                <w:color w:val="auto"/>
              </w:rPr>
            </w:pPr>
          </w:p>
        </w:tc>
        <w:tc>
          <w:tcPr>
            <w:tcW w:w="100" w:type="dxa"/>
            <w:vAlign w:val="bottom"/>
            <w:tcBorders>
              <w:bottom w:val="single" w:sz="8" w:color="auto"/>
            </w:tcBorders>
            <w:shd w:val="clear" w:color="auto" w:fill="D5EAEA"/>
          </w:tcPr>
          <w:p>
            <w:pPr>
              <w:spacing w:after="0"/>
              <w:rPr>
                <w:sz w:val="22"/>
                <w:szCs w:val="22"/>
                <w:color w:val="auto"/>
              </w:rPr>
            </w:pPr>
          </w:p>
        </w:tc>
        <w:tc>
          <w:tcPr>
            <w:tcW w:w="1500" w:type="dxa"/>
            <w:vAlign w:val="bottom"/>
            <w:tcBorders>
              <w:bottom w:val="single" w:sz="8" w:color="auto"/>
            </w:tcBorders>
            <w:shd w:val="clear" w:color="auto" w:fill="D5EAEA"/>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 estimated offering expenses (other than underwriting commissions)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7920" w:type="dxa"/>
            <w:vAlign w:val="bottom"/>
            <w:shd w:val="clear" w:color="auto" w:fill="D5EAEA"/>
          </w:tcPr>
          <w:p>
            <w:pPr>
              <w:spacing w:after="0"/>
              <w:rPr>
                <w:sz w:val="20"/>
                <w:szCs w:val="20"/>
                <w:color w:val="auto"/>
              </w:rPr>
            </w:pPr>
            <w:r>
              <w:rPr>
                <w:rFonts w:ascii="Arial" w:cs="Arial" w:eastAsia="Arial" w:hAnsi="Arial"/>
                <w:sz w:val="18"/>
                <w:szCs w:val="18"/>
                <w:color w:val="auto"/>
              </w:rPr>
              <w:t>Proceeds after estimated offering expenses</w:t>
            </w:r>
          </w:p>
        </w:tc>
        <w:tc>
          <w:tcPr>
            <w:tcW w:w="100" w:type="dxa"/>
            <w:vAlign w:val="bottom"/>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251,000,000</w:t>
            </w:r>
          </w:p>
        </w:tc>
        <w:tc>
          <w:tcPr>
            <w:tcW w:w="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288,500,000</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line="256" w:lineRule="exact"/>
              <w:rPr>
                <w:sz w:val="20"/>
                <w:szCs w:val="20"/>
                <w:color w:val="auto"/>
              </w:rPr>
            </w:pPr>
            <w:r>
              <w:rPr>
                <w:rFonts w:ascii="Arial" w:cs="Arial" w:eastAsia="Arial" w:hAnsi="Arial"/>
                <w:sz w:val="18"/>
                <w:szCs w:val="18"/>
                <w:color w:val="auto"/>
              </w:rPr>
              <w:t>Held in trust account</w:t>
            </w:r>
            <w:r>
              <w:rPr>
                <w:rFonts w:ascii="Arial" w:cs="Arial" w:eastAsia="Arial" w:hAnsi="Arial"/>
                <w:sz w:val="29"/>
                <w:szCs w:val="29"/>
                <w:color w:val="auto"/>
                <w:vertAlign w:val="superscript"/>
              </w:rPr>
              <w:t>(3)</w:t>
            </w: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250,000,000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287,500,000</w:t>
            </w:r>
          </w:p>
        </w:tc>
        <w:tc>
          <w:tcPr>
            <w:tcW w:w="0" w:type="dxa"/>
            <w:vAlign w:val="bottom"/>
          </w:tcPr>
          <w:p>
            <w:pPr>
              <w:spacing w:after="0"/>
              <w:rPr>
                <w:sz w:val="1"/>
                <w:szCs w:val="1"/>
                <w:color w:val="auto"/>
              </w:rPr>
            </w:pPr>
          </w:p>
        </w:tc>
      </w:tr>
      <w:tr>
        <w:trPr>
          <w:trHeight w:val="216"/>
        </w:trPr>
        <w:tc>
          <w:tcPr>
            <w:tcW w:w="7920" w:type="dxa"/>
            <w:vAlign w:val="bottom"/>
            <w:shd w:val="clear" w:color="auto" w:fill="D5EAEA"/>
          </w:tcPr>
          <w:p>
            <w:pPr>
              <w:spacing w:after="0"/>
              <w:rPr>
                <w:sz w:val="20"/>
                <w:szCs w:val="20"/>
                <w:color w:val="auto"/>
              </w:rPr>
            </w:pPr>
            <w:r>
              <w:rPr>
                <w:rFonts w:ascii="Arial" w:cs="Arial" w:eastAsia="Arial" w:hAnsi="Arial"/>
                <w:sz w:val="18"/>
                <w:szCs w:val="18"/>
                <w:color w:val="auto"/>
              </w:rPr>
              <w:t>% of public offering size</w:t>
            </w: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5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90"/>
        </w:trPr>
        <w:tc>
          <w:tcPr>
            <w:tcW w:w="7920" w:type="dxa"/>
            <w:vAlign w:val="bottom"/>
          </w:tcPr>
          <w:p>
            <w:pPr>
              <w:spacing w:after="0"/>
              <w:rPr>
                <w:sz w:val="20"/>
                <w:szCs w:val="20"/>
                <w:color w:val="auto"/>
              </w:rPr>
            </w:pPr>
            <w:r>
              <w:rPr>
                <w:rFonts w:ascii="Arial" w:cs="Arial" w:eastAsia="Arial" w:hAnsi="Arial"/>
                <w:sz w:val="18"/>
                <w:szCs w:val="18"/>
                <w:color w:val="auto"/>
              </w:rPr>
              <w:t>Not held in trust account</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9"/>
          <w:szCs w:val="29"/>
          <w:color w:val="auto"/>
          <w:vertAlign w:val="superscript"/>
        </w:rPr>
        <w:t>(5)</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 of Total</w:t>
            </w:r>
          </w:p>
        </w:tc>
      </w:tr>
      <w:tr>
        <w:trPr>
          <w:trHeight w:val="237"/>
        </w:trPr>
        <w:tc>
          <w:tcPr>
            <w:tcW w:w="7980" w:type="dxa"/>
            <w:vAlign w:val="bottom"/>
            <w:tcBorders>
              <w:top w:val="single" w:sz="8" w:color="D5EAEA"/>
            </w:tcBorders>
            <w:gridSpan w:val="2"/>
            <w:shd w:val="clear" w:color="auto" w:fill="D5EAEA"/>
          </w:tcPr>
          <w:p>
            <w:pPr>
              <w:spacing w:after="0" w:line="236" w:lineRule="exact"/>
              <w:rPr>
                <w:sz w:val="20"/>
                <w:szCs w:val="20"/>
                <w:color w:val="auto"/>
              </w:rPr>
            </w:pPr>
            <w:r>
              <w:rPr>
                <w:rFonts w:ascii="Arial" w:cs="Arial" w:eastAsia="Arial" w:hAnsi="Arial"/>
                <w:sz w:val="17"/>
                <w:szCs w:val="17"/>
                <w:color w:val="auto"/>
                <w:w w:val="98"/>
              </w:rPr>
              <w:t>Legal, accounting, due diligence, travel and other expenses in connection with any business combination</w:t>
            </w:r>
            <w:r>
              <w:rPr>
                <w:rFonts w:ascii="Arial" w:cs="Arial" w:eastAsia="Arial" w:hAnsi="Arial"/>
                <w:sz w:val="27"/>
                <w:szCs w:val="27"/>
                <w:color w:val="auto"/>
                <w:w w:val="98"/>
                <w:vertAlign w:val="superscript"/>
              </w:rPr>
              <w:t>(6)</w:t>
            </w:r>
          </w:p>
        </w:tc>
        <w:tc>
          <w:tcPr>
            <w:tcW w:w="260" w:type="dxa"/>
            <w:vAlign w:val="bottom"/>
            <w:tcBorders>
              <w:top w:val="single" w:sz="8" w:color="auto"/>
            </w:tcBorders>
            <w:shd w:val="clear" w:color="auto" w:fill="D5EAEA"/>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D5EAEA"/>
          </w:tcPr>
          <w:p>
            <w:pPr>
              <w:spacing w:after="0"/>
              <w:rPr>
                <w:sz w:val="20"/>
                <w:szCs w:val="20"/>
                <w:color w:val="auto"/>
              </w:rPr>
            </w:pPr>
          </w:p>
        </w:tc>
        <w:tc>
          <w:tcPr>
            <w:tcW w:w="120" w:type="dxa"/>
            <w:vAlign w:val="bottom"/>
            <w:tcBorders>
              <w:top w:val="single" w:sz="8" w:color="D5EAEA"/>
            </w:tcBorders>
            <w:shd w:val="clear" w:color="auto" w:fill="D5EAEA"/>
          </w:tcPr>
          <w:p>
            <w:pPr>
              <w:spacing w:after="0"/>
              <w:rPr>
                <w:sz w:val="20"/>
                <w:szCs w:val="20"/>
                <w:color w:val="auto"/>
              </w:rPr>
            </w:pPr>
          </w:p>
        </w:tc>
        <w:tc>
          <w:tcPr>
            <w:tcW w:w="16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Payment for director compensation</w:t>
            </w:r>
          </w:p>
        </w:tc>
        <w:tc>
          <w:tcPr>
            <w:tcW w:w="26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6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Reserve for liquidation expenses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Nasdaq continued listing fees</w:t>
            </w:r>
          </w:p>
        </w:tc>
        <w:tc>
          <w:tcPr>
            <w:tcW w:w="260" w:type="dxa"/>
            <w:vAlign w:val="bottom"/>
            <w:shd w:val="clear" w:color="auto" w:fill="D5EAEA"/>
          </w:tcPr>
          <w:p>
            <w:pPr>
              <w:spacing w:after="0"/>
              <w:rPr>
                <w:sz w:val="18"/>
                <w:szCs w:val="18"/>
                <w:color w:val="auto"/>
              </w:rPr>
            </w:pP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D5EAEA"/>
          </w:tcPr>
          <w:p>
            <w:pPr>
              <w:spacing w:after="0"/>
              <w:rPr>
                <w:sz w:val="18"/>
                <w:szCs w:val="18"/>
                <w:color w:val="auto"/>
              </w:rPr>
            </w:pPr>
          </w:p>
        </w:tc>
        <w:tc>
          <w:tcPr>
            <w:tcW w:w="16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98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Other miscellaneous expenses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D5EAEA"/>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D5EAEA"/>
            </w:tcBorders>
            <w:shd w:val="clear" w:color="auto" w:fill="D5EAEA"/>
          </w:tcPr>
          <w:p>
            <w:pPr>
              <w:spacing w:after="0"/>
              <w:rPr>
                <w:sz w:val="19"/>
                <w:szCs w:val="19"/>
                <w:color w:val="auto"/>
              </w:rPr>
            </w:pPr>
          </w:p>
        </w:tc>
        <w:tc>
          <w:tcPr>
            <w:tcW w:w="16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2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35"/>
        </w:trPr>
        <w:tc>
          <w:tcPr>
            <w:tcW w:w="2240" w:type="dxa"/>
            <w:vAlign w:val="bottom"/>
            <w:tcBorders>
              <w:bottom w:val="single" w:sz="8" w:color="auto"/>
            </w:tcBorders>
          </w:tcPr>
          <w:p>
            <w:pPr>
              <w:spacing w:after="0"/>
              <w:rPr>
                <w:sz w:val="3"/>
                <w:szCs w:val="3"/>
                <w:color w:val="auto"/>
              </w:rPr>
            </w:pPr>
          </w:p>
        </w:tc>
        <w:tc>
          <w:tcPr>
            <w:tcW w:w="5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r>
    </w:tbl>
    <w:p>
      <w:pPr>
        <w:spacing w:after="0" w:line="296" w:lineRule="exact"/>
        <w:rPr>
          <w:sz w:val="20"/>
          <w:szCs w:val="20"/>
          <w:color w:val="auto"/>
        </w:rPr>
      </w:pPr>
    </w:p>
    <w:p>
      <w:pPr>
        <w:ind w:left="340" w:right="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70" w:lineRule="exact"/>
        <w:rPr>
          <w:rFonts w:ascii="Arial" w:cs="Arial" w:eastAsia="Arial" w:hAnsi="Arial"/>
          <w:sz w:val="18"/>
          <w:szCs w:val="18"/>
          <w:color w:val="auto"/>
        </w:rPr>
      </w:pPr>
    </w:p>
    <w:p>
      <w:pPr>
        <w:ind w:left="340" w:right="20" w:hanging="332"/>
        <w:spacing w:after="0" w:line="273"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portion of the offering expenses have been paid from the proceeds of loans from our sponsor of up to $250,000 as described in this prospectus. As of June 11, 2019, we had borrowed $12,500 under the promissory note with our sponsor to be used for a portion of the expenses of this offering. These loans will be repaid upon completion of this offering out of the $1,000,000 of offering proceeds that has been allocated for the payment of offering expenses (other than underwriting commissions) not held in the trust account. These expenses are estimates only.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180" w:hanging="332"/>
        <w:spacing w:after="0" w:line="272"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underwriters have agreed to defer underwriting commissions equal to 3.5% of the gross proceeds of this offering. Upon completion of our initial business combination, $8,750,000 (or up to $10,062,500 if the underwriters’ over-allotment option is exercised in full), which constitutes the underwriters’ deferred commissions, will be paid to the underwriters from the funds held in the trust account, and the remaining funds, less amounts used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177" w:lineRule="exact"/>
        <w:rPr>
          <w:rFonts w:ascii="Arial" w:cs="Arial" w:eastAsia="Arial" w:hAnsi="Arial"/>
          <w:sz w:val="17"/>
          <w:szCs w:val="17"/>
          <w:color w:val="auto"/>
        </w:rPr>
      </w:pPr>
    </w:p>
    <w:p>
      <w:pPr>
        <w:ind w:left="340" w:right="36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organizational and administrative expenses and may include amounts related to above-listed expenses in the event actual amounts exceed estimates.</w:t>
      </w:r>
    </w:p>
    <w:p>
      <w:pPr>
        <w:spacing w:after="0" w:line="170" w:lineRule="exact"/>
        <w:rPr>
          <w:rFonts w:ascii="Arial" w:cs="Arial" w:eastAsia="Arial" w:hAnsi="Arial"/>
          <w:sz w:val="18"/>
          <w:szCs w:val="18"/>
          <w:color w:val="auto"/>
        </w:rPr>
      </w:pPr>
    </w:p>
    <w:p>
      <w:pPr>
        <w:ind w:left="340" w:hanging="332"/>
        <w:spacing w:after="0" w:line="28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a business combination based upon the level of complexity of such business combination. In the event we identify an acquisition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Based on current interest rates, we would expect approximately $3,500,000 to be available to us from interest earned on the funds held in the trust account over the 12 months following the closing of this offering; however, we can provide no assurances regarding this amount. This estimate assumes an interest rate of 1.40% per annum based upon current yields of securities in which the trust account may be invested. 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3" w:lineRule="exact"/>
        <w:rPr>
          <w:rFonts w:ascii="Arial" w:cs="Arial" w:eastAsia="Arial" w:hAnsi="Arial"/>
          <w:sz w:val="16"/>
          <w:szCs w:val="16"/>
          <w:color w:val="auto"/>
        </w:rPr>
      </w:pPr>
    </w:p>
    <w:p>
      <w:pPr>
        <w:ind w:left="340" w:right="1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Of the net proceeds of this offering and the sale of the private placement warrants, $250,000,000 (or $287,500,000 if the underwriters’ over-allotment option is exercised in full), including $8,750,000 (or up to $10,062,500 if the underwriters’ over-allotment option is exercised in full) of deferred underwriting commissions, will, upon the consummation of this offering, be placed in a</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U.S.-based trust account with acting as trustee. The funds in the trust account will be invested only in U.S. government treasury bills with a maturity of 180 days or less or in money market funds investing solely in U.S. Treasuries and meeting certain conditions under Rule 2a-7 under the Investment Company Act. Based on current interest rates, we estimate that the interest earned on the trust account will be approximately $3,500,000 per year, assuming an interest rate of 1.40% per year. We will not be permitted to withdraw any of the principal or interest held in the trust account except for the withdrawal of interest to pay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business combination activity; and (3) the redemption of our public shares if we are unable to complete our initial business combination within 24 months from the closing of this offering, subject to applicable law. Based on current interest rates, we expect that interest earned on the trust account will be sufficient to pay taxes.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loan funds to, or invest in, us.</w:t>
      </w:r>
    </w:p>
    <w:p>
      <w:pPr>
        <w:spacing w:after="0" w:line="19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Prior to the closing of this offering, our sponsor has agreed to loan us up to $250,000 under an unsecured promissory note to be used for a portion of the expenses of this offering. As of June 11, 2019, we had borrowed $12,500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18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officers, advisors or any of their affiliates may also purchase shares in privately negotiated transactions or in the open market either prior to or following the completion of our initial business combination. Please see “Proposed Business— Permitted purchases of our securities” for a description of how such persons will determine from which shareholders to seek to acquire shares. The price per share paid in any such transaction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 and the agreement for our initial business combination may require as a closing condition that we have a minimum net worth or a certain amount of cash. If too many public shareholders exercise their redemption rights so that we cannot satisfy the net tangible asset requirement or any net worth or cash requirements, we would not proceed with such redemption of our public shares and the related business combination, and we instead may search for an alternate business combination.</w:t>
      </w:r>
    </w:p>
    <w:p>
      <w:pPr>
        <w:spacing w:after="0" w:line="19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 public shareholder will be entitled to receive funds from the trust account only upon the earliest to occur of: (1) the completion of our initial business combination;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In no other circumstances will a shareholder have any right or interest of any kind to or in the trust account.</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In addition, our initial shareholders have agreed to waive their rights to liquidating distributions from the trust account with respect to their founder shares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issued and outstanding Class A ordinary shares.</w:t>
      </w:r>
    </w:p>
    <w:p>
      <w:pPr>
        <w:spacing w:after="0" w:line="19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June 11, 2019, our net tangible book value was a deficiency of $12,500, or approximately $(0.00) per ordinary share. After giving effect to the sale of 25,000,000 Class A ordinary shares included in the units we are offering by this prospectus, the sale of the private placement warrants and the deduction of underwriting commissions and estimated expenses of this offering, our pro forma net tangible book value at June 11, 2019 would have been $5,000,010 or $0.66 per share, representing an immediate increase in net tangible book value (as decreased by the value of 23,726,999 Class A ordinary shares that may be redeemed for cash and assuming no exercise of the underwriters’ over-allotment option) of 0.66 per share to our initial shareholders as of the date of this prospectus and an immediate dilution of $9.34 per share or 93.40% to our public shareholders not exercising their redemption rights. The dilution to new investors if the underwriters exercise the over-allotment option in full would be an immediate dilution of $9.42 per share or 94.20%.</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Without Over-</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Borders>
              <w:bottom w:val="single" w:sz="8" w:color="D5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allotment</w:t>
            </w:r>
          </w:p>
        </w:tc>
        <w:tc>
          <w:tcPr>
            <w:tcW w:w="120" w:type="dxa"/>
            <w:vAlign w:val="bottom"/>
            <w:tcBorders>
              <w:bottom w:val="single" w:sz="8" w:color="D5EAEA"/>
            </w:tcBorders>
          </w:tcPr>
          <w:p>
            <w:pPr>
              <w:spacing w:after="0"/>
              <w:rPr>
                <w:sz w:val="20"/>
                <w:szCs w:val="20"/>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With Over-allotment</w:t>
            </w:r>
          </w:p>
        </w:tc>
        <w:tc>
          <w:tcPr>
            <w:tcW w:w="0" w:type="dxa"/>
            <w:vAlign w:val="bottom"/>
          </w:tcPr>
          <w:p>
            <w:pPr>
              <w:spacing w:after="0"/>
              <w:rPr>
                <w:sz w:val="1"/>
                <w:szCs w:val="1"/>
                <w:color w:val="auto"/>
              </w:rPr>
            </w:pPr>
          </w:p>
        </w:tc>
      </w:tr>
      <w:tr>
        <w:trPr>
          <w:trHeight w:val="209"/>
        </w:trPr>
        <w:tc>
          <w:tcPr>
            <w:tcW w:w="792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160" w:type="dxa"/>
            <w:vAlign w:val="bottom"/>
            <w:tcBorders>
              <w:bottom w:val="single" w:sz="8" w:color="auto"/>
            </w:tcBorders>
            <w:shd w:val="clear" w:color="auto" w:fill="D5EAEA"/>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5EAEA"/>
          </w:tcPr>
          <w:p>
            <w:pPr>
              <w:spacing w:after="0"/>
              <w:rPr>
                <w:sz w:val="18"/>
                <w:szCs w:val="18"/>
                <w:color w:val="auto"/>
              </w:rPr>
            </w:pPr>
          </w:p>
        </w:tc>
        <w:tc>
          <w:tcPr>
            <w:tcW w:w="56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9"/>
        </w:trPr>
        <w:tc>
          <w:tcPr>
            <w:tcW w:w="7920" w:type="dxa"/>
            <w:vAlign w:val="bottom"/>
            <w:shd w:val="clear" w:color="auto" w:fill="D5EAEA"/>
          </w:tcPr>
          <w:p>
            <w:pPr>
              <w:spacing w:after="0"/>
              <w:rPr>
                <w:sz w:val="20"/>
                <w:szCs w:val="20"/>
                <w:color w:val="auto"/>
              </w:rPr>
            </w:pPr>
            <w:r>
              <w:rPr>
                <w:rFonts w:ascii="Arial" w:cs="Arial" w:eastAsia="Arial" w:hAnsi="Arial"/>
                <w:sz w:val="18"/>
                <w:szCs w:val="18"/>
                <w:color w:val="auto"/>
              </w:rPr>
              <w:t>Increase attributable to public shareholders</w:t>
            </w:r>
          </w:p>
        </w:tc>
        <w:tc>
          <w:tcPr>
            <w:tcW w:w="160" w:type="dxa"/>
            <w:vAlign w:val="bottom"/>
            <w:tcBorders>
              <w:bottom w:val="single" w:sz="8" w:color="auto"/>
            </w:tcBorders>
            <w:shd w:val="clear" w:color="auto" w:fill="D5EAEA"/>
          </w:tcPr>
          <w:p>
            <w:pPr>
              <w:spacing w:after="0"/>
              <w:rPr>
                <w:sz w:val="19"/>
                <w:szCs w:val="19"/>
                <w:color w:val="auto"/>
              </w:rPr>
            </w:pPr>
          </w:p>
        </w:tc>
        <w:tc>
          <w:tcPr>
            <w:tcW w:w="144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D5EAEA"/>
          </w:tcPr>
          <w:p>
            <w:pPr>
              <w:spacing w:after="0"/>
              <w:rPr>
                <w:sz w:val="19"/>
                <w:szCs w:val="19"/>
                <w:color w:val="auto"/>
              </w:rPr>
            </w:pPr>
          </w:p>
        </w:tc>
        <w:tc>
          <w:tcPr>
            <w:tcW w:w="560" w:type="dxa"/>
            <w:vAlign w:val="bottom"/>
            <w:tcBorders>
              <w:bottom w:val="single" w:sz="8" w:color="auto"/>
            </w:tcBorders>
            <w:shd w:val="clear" w:color="auto" w:fill="D5EAEA"/>
          </w:tcPr>
          <w:p>
            <w:pPr>
              <w:spacing w:after="0"/>
              <w:rPr>
                <w:sz w:val="19"/>
                <w:szCs w:val="19"/>
                <w:color w:val="auto"/>
              </w:rPr>
            </w:pPr>
          </w:p>
        </w:tc>
        <w:tc>
          <w:tcPr>
            <w:tcW w:w="104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Pro forma net tangible book value after this offering and the sale of the private placement warrants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D5EAEA"/>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Dilution to public shareholders</w:t>
            </w:r>
          </w:p>
        </w:tc>
        <w:tc>
          <w:tcPr>
            <w:tcW w:w="160" w:type="dxa"/>
            <w:vAlign w:val="bottom"/>
            <w:tcBorders>
              <w:bottom w:val="single" w:sz="8" w:color="auto"/>
            </w:tcBorders>
            <w:shd w:val="clear" w:color="auto" w:fill="D5EAEA"/>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D5EAEA"/>
            </w:tcBorders>
            <w:shd w:val="clear" w:color="auto" w:fill="D5EAEA"/>
          </w:tcPr>
          <w:p>
            <w:pPr>
              <w:spacing w:after="0"/>
              <w:rPr>
                <w:sz w:val="19"/>
                <w:szCs w:val="19"/>
                <w:color w:val="auto"/>
              </w:rPr>
            </w:pPr>
          </w:p>
        </w:tc>
        <w:tc>
          <w:tcPr>
            <w:tcW w:w="560" w:type="dxa"/>
            <w:vAlign w:val="bottom"/>
            <w:tcBorders>
              <w:bottom w:val="single" w:sz="8" w:color="auto"/>
            </w:tcBorders>
            <w:shd w:val="clear" w:color="auto" w:fill="D5EAEA"/>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93.40%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For purposes of presentation, we have reduced our pro forma net tangible book value after this offering (assuming no exercise of the underwriters’ over-allotment option) by $237,269,990 because holders of up to approximately 94.9% of our public shares may redeem their shares for a pro rata share of the aggregate amount then on deposit in the trust account at a per-share redemption price equal to the amount in the trust account as set forth in our tender offer or proxy materials (initially anticipated to be the aggregate amount held in trust two days prior to the commencement of our tender offer or shareholders meeting, including interest (which interest shall be net of taxes payable), divided by the number of Class A ordinary shares sold in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our initial shareholders and the public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88"/>
              </w:rPr>
              <w:t>Average Price per</w:t>
            </w:r>
          </w:p>
        </w:tc>
      </w:tr>
      <w:tr>
        <w:trPr>
          <w:trHeight w:val="234"/>
        </w:trPr>
        <w:tc>
          <w:tcPr>
            <w:tcW w:w="2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5"/>
              </w:rPr>
              <w:t>Total Consideration</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Share</w:t>
            </w:r>
          </w:p>
        </w:tc>
      </w:tr>
      <w:tr>
        <w:trPr>
          <w:trHeight w:val="223"/>
        </w:trPr>
        <w:tc>
          <w:tcPr>
            <w:tcW w:w="2240" w:type="dxa"/>
            <w:vAlign w:val="bottom"/>
            <w:tcBorders>
              <w:bottom w:val="single" w:sz="8" w:color="D5EAEA"/>
            </w:tcBorders>
          </w:tcPr>
          <w:p>
            <w:pPr>
              <w:spacing w:after="0"/>
              <w:rPr>
                <w:sz w:val="19"/>
                <w:szCs w:val="19"/>
                <w:color w:val="auto"/>
              </w:rPr>
            </w:pPr>
          </w:p>
        </w:tc>
        <w:tc>
          <w:tcPr>
            <w:tcW w:w="700" w:type="dxa"/>
            <w:vAlign w:val="bottom"/>
            <w:tcBorders>
              <w:bottom w:val="single" w:sz="8" w:color="D5EAEA"/>
            </w:tcBorders>
          </w:tcPr>
          <w:p>
            <w:pPr>
              <w:spacing w:after="0"/>
              <w:rPr>
                <w:sz w:val="19"/>
                <w:szCs w:val="19"/>
                <w:color w:val="auto"/>
              </w:rPr>
            </w:pPr>
          </w:p>
        </w:tc>
        <w:tc>
          <w:tcPr>
            <w:tcW w:w="1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Number</w:t>
            </w:r>
          </w:p>
        </w:tc>
        <w:tc>
          <w:tcPr>
            <w:tcW w:w="120" w:type="dxa"/>
            <w:vAlign w:val="bottom"/>
            <w:tcBorders>
              <w:bottom w:val="single" w:sz="8" w:color="D5EAEA"/>
            </w:tcBorders>
          </w:tcPr>
          <w:p>
            <w:pPr>
              <w:spacing w:after="0"/>
              <w:rPr>
                <w:sz w:val="19"/>
                <w:szCs w:val="19"/>
                <w:color w:val="auto"/>
              </w:rPr>
            </w:pP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Percentage</w:t>
            </w:r>
          </w:p>
        </w:tc>
        <w:tc>
          <w:tcPr>
            <w:tcW w:w="120" w:type="dxa"/>
            <w:vAlign w:val="bottom"/>
            <w:tcBorders>
              <w:bottom w:val="single" w:sz="8" w:color="D5EAE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D5EAEA"/>
            </w:tcBorders>
          </w:tcPr>
          <w:p>
            <w:pPr>
              <w:spacing w:after="0"/>
              <w:rPr>
                <w:sz w:val="19"/>
                <w:szCs w:val="19"/>
                <w:color w:val="auto"/>
              </w:rPr>
            </w:pPr>
          </w:p>
        </w:tc>
        <w:tc>
          <w:tcPr>
            <w:tcW w:w="16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460" w:type="dxa"/>
            <w:vAlign w:val="bottom"/>
            <w:tcBorders>
              <w:bottom w:val="single" w:sz="8" w:color="D5EAEA"/>
            </w:tcBorders>
          </w:tcPr>
          <w:p>
            <w:pPr>
              <w:spacing w:after="0"/>
              <w:rPr>
                <w:sz w:val="19"/>
                <w:szCs w:val="19"/>
                <w:color w:val="auto"/>
              </w:rPr>
            </w:pPr>
          </w:p>
        </w:tc>
      </w:tr>
      <w:tr>
        <w:trPr>
          <w:trHeight w:val="237"/>
        </w:trPr>
        <w:tc>
          <w:tcPr>
            <w:tcW w:w="2940" w:type="dxa"/>
            <w:vAlign w:val="bottom"/>
            <w:gridSpan w:val="2"/>
            <w:shd w:val="clear" w:color="auto" w:fill="D5EAEA"/>
          </w:tcPr>
          <w:p>
            <w:pPr>
              <w:spacing w:after="0" w:line="236" w:lineRule="exact"/>
              <w:rPr>
                <w:sz w:val="20"/>
                <w:szCs w:val="20"/>
                <w:color w:val="auto"/>
              </w:rPr>
            </w:pPr>
            <w:r>
              <w:rPr>
                <w:rFonts w:ascii="Arial" w:cs="Arial" w:eastAsia="Arial" w:hAnsi="Arial"/>
                <w:sz w:val="17"/>
                <w:szCs w:val="17"/>
                <w:color w:val="auto"/>
              </w:rPr>
              <w:t>Initial Shareholders</w:t>
            </w:r>
            <w:r>
              <w:rPr>
                <w:rFonts w:ascii="Arial" w:cs="Arial" w:eastAsia="Arial" w:hAnsi="Arial"/>
                <w:sz w:val="27"/>
                <w:szCs w:val="27"/>
                <w:color w:val="auto"/>
                <w:vertAlign w:val="superscript"/>
              </w:rPr>
              <w:t>(1)</w:t>
            </w:r>
          </w:p>
        </w:tc>
        <w:tc>
          <w:tcPr>
            <w:tcW w:w="15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6,250,000</w:t>
            </w:r>
          </w:p>
        </w:tc>
        <w:tc>
          <w:tcPr>
            <w:tcW w:w="120" w:type="dxa"/>
            <w:vAlign w:val="bottom"/>
            <w:shd w:val="clear" w:color="auto" w:fill="D5EAEA"/>
          </w:tcPr>
          <w:p>
            <w:pPr>
              <w:spacing w:after="0"/>
              <w:rPr>
                <w:sz w:val="20"/>
                <w:szCs w:val="20"/>
                <w:color w:val="auto"/>
              </w:rPr>
            </w:pPr>
          </w:p>
        </w:tc>
        <w:tc>
          <w:tcPr>
            <w:tcW w:w="16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20.00%</w:t>
            </w:r>
          </w:p>
        </w:tc>
        <w:tc>
          <w:tcPr>
            <w:tcW w:w="380" w:type="dxa"/>
            <w:vAlign w:val="bottom"/>
            <w:gridSpan w:val="2"/>
            <w:shd w:val="clear" w:color="auto" w:fill="D5EAEA"/>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D5EAEA"/>
          </w:tcPr>
          <w:p>
            <w:pPr>
              <w:spacing w:after="0"/>
              <w:rPr>
                <w:sz w:val="20"/>
                <w:szCs w:val="20"/>
                <w:color w:val="auto"/>
              </w:rPr>
            </w:pPr>
          </w:p>
        </w:tc>
        <w:tc>
          <w:tcPr>
            <w:tcW w:w="840" w:type="dxa"/>
            <w:vAlign w:val="bottom"/>
            <w:shd w:val="clear" w:color="auto" w:fill="D5EAEA"/>
          </w:tcPr>
          <w:p>
            <w:pPr>
              <w:spacing w:after="0"/>
              <w:rPr>
                <w:sz w:val="20"/>
                <w:szCs w:val="20"/>
                <w:color w:val="auto"/>
              </w:rPr>
            </w:pPr>
          </w:p>
        </w:tc>
        <w:tc>
          <w:tcPr>
            <w:tcW w:w="7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0.004</w:t>
            </w:r>
          </w:p>
        </w:tc>
      </w:tr>
      <w:tr>
        <w:trPr>
          <w:trHeight w:val="230"/>
        </w:trPr>
        <w:tc>
          <w:tcPr>
            <w:tcW w:w="29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Public Shareholders</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25,000,000</w:t>
            </w:r>
          </w:p>
        </w:tc>
        <w:tc>
          <w:tcPr>
            <w:tcW w:w="120" w:type="dxa"/>
            <w:vAlign w:val="bottom"/>
            <w:tcBorders>
              <w:bottom w:val="single" w:sz="8" w:color="D5EAEA"/>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D5EAEA"/>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250,000,000</w:t>
            </w:r>
          </w:p>
        </w:tc>
        <w:tc>
          <w:tcPr>
            <w:tcW w:w="120" w:type="dxa"/>
            <w:vAlign w:val="bottom"/>
            <w:tcBorders>
              <w:bottom w:val="single" w:sz="8" w:color="D5EAEA"/>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D5EAEA"/>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r>
      <w:tr>
        <w:trPr>
          <w:trHeight w:val="223"/>
        </w:trPr>
        <w:tc>
          <w:tcPr>
            <w:tcW w:w="2240" w:type="dxa"/>
            <w:vAlign w:val="bottom"/>
            <w:tcBorders>
              <w:bottom w:val="single" w:sz="8" w:color="D5EAEA"/>
            </w:tcBorders>
            <w:shd w:val="clear" w:color="auto" w:fill="D5EAEA"/>
          </w:tcPr>
          <w:p>
            <w:pPr>
              <w:spacing w:after="0"/>
              <w:rPr>
                <w:sz w:val="19"/>
                <w:szCs w:val="19"/>
                <w:color w:val="auto"/>
              </w:rPr>
            </w:pPr>
          </w:p>
        </w:tc>
        <w:tc>
          <w:tcPr>
            <w:tcW w:w="700" w:type="dxa"/>
            <w:vAlign w:val="bottom"/>
            <w:tcBorders>
              <w:bottom w:val="single" w:sz="8" w:color="D5EAEA"/>
            </w:tcBorders>
            <w:shd w:val="clear" w:color="auto" w:fill="D5EAEA"/>
          </w:tcPr>
          <w:p>
            <w:pPr>
              <w:spacing w:after="0"/>
              <w:rPr>
                <w:sz w:val="19"/>
                <w:szCs w:val="19"/>
                <w:color w:val="auto"/>
              </w:rPr>
            </w:pPr>
          </w:p>
        </w:tc>
        <w:tc>
          <w:tcPr>
            <w:tcW w:w="15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31,250,000</w:t>
            </w:r>
          </w:p>
        </w:tc>
        <w:tc>
          <w:tcPr>
            <w:tcW w:w="120" w:type="dxa"/>
            <w:vAlign w:val="bottom"/>
            <w:tcBorders>
              <w:bottom w:val="single" w:sz="8" w:color="D5EAEA"/>
            </w:tcBorders>
            <w:shd w:val="clear" w:color="auto" w:fill="D5EAEA"/>
          </w:tcPr>
          <w:p>
            <w:pPr>
              <w:spacing w:after="0"/>
              <w:rPr>
                <w:sz w:val="19"/>
                <w:szCs w:val="19"/>
                <w:color w:val="auto"/>
              </w:rPr>
            </w:pPr>
          </w:p>
        </w:tc>
        <w:tc>
          <w:tcPr>
            <w:tcW w:w="16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D5EAEA"/>
            </w:tcBorders>
            <w:shd w:val="clear" w:color="auto" w:fill="D5EAEA"/>
          </w:tcPr>
          <w:p>
            <w:pPr>
              <w:spacing w:after="0"/>
              <w:rPr>
                <w:sz w:val="19"/>
                <w:szCs w:val="19"/>
                <w:color w:val="auto"/>
              </w:rPr>
            </w:pPr>
          </w:p>
        </w:tc>
        <w:tc>
          <w:tcPr>
            <w:tcW w:w="260" w:type="dxa"/>
            <w:vAlign w:val="bottom"/>
            <w:tcBorders>
              <w:bottom w:val="single" w:sz="8" w:color="auto"/>
            </w:tcBorders>
            <w:shd w:val="clear" w:color="auto" w:fill="D5EAEA"/>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250,025,000</w:t>
            </w:r>
          </w:p>
        </w:tc>
        <w:tc>
          <w:tcPr>
            <w:tcW w:w="120" w:type="dxa"/>
            <w:vAlign w:val="bottom"/>
            <w:tcBorders>
              <w:bottom w:val="single" w:sz="8" w:color="D5EAEA"/>
            </w:tcBorders>
            <w:shd w:val="clear" w:color="auto" w:fill="D5EAEA"/>
          </w:tcPr>
          <w:p>
            <w:pPr>
              <w:spacing w:after="0"/>
              <w:rPr>
                <w:sz w:val="19"/>
                <w:szCs w:val="19"/>
                <w:color w:val="auto"/>
              </w:rPr>
            </w:pPr>
          </w:p>
        </w:tc>
        <w:tc>
          <w:tcPr>
            <w:tcW w:w="840" w:type="dxa"/>
            <w:vAlign w:val="bottom"/>
            <w:tcBorders>
              <w:bottom w:val="single" w:sz="8" w:color="auto"/>
            </w:tcBorders>
            <w:shd w:val="clear" w:color="auto" w:fill="D5EAEA"/>
          </w:tcPr>
          <w:p>
            <w:pPr>
              <w:spacing w:after="0"/>
              <w:rPr>
                <w:sz w:val="19"/>
                <w:szCs w:val="19"/>
                <w:color w:val="auto"/>
              </w:rPr>
            </w:pPr>
          </w:p>
        </w:tc>
        <w:tc>
          <w:tcPr>
            <w:tcW w:w="7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auto"/>
            </w:tcBorders>
            <w:shd w:val="clear" w:color="auto" w:fill="D5EAEA"/>
          </w:tcPr>
          <w:p>
            <w:pPr>
              <w:spacing w:after="0"/>
              <w:rPr>
                <w:sz w:val="19"/>
                <w:szCs w:val="19"/>
                <w:color w:val="auto"/>
              </w:rPr>
            </w:pPr>
          </w:p>
        </w:tc>
        <w:tc>
          <w:tcPr>
            <w:tcW w:w="1460" w:type="dxa"/>
            <w:vAlign w:val="bottom"/>
            <w:tcBorders>
              <w:bottom w:val="single" w:sz="8" w:color="auto"/>
            </w:tcBorders>
            <w:shd w:val="clear" w:color="auto" w:fill="D5EAEA"/>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5"/>
        </w:trPr>
        <w:tc>
          <w:tcPr>
            <w:tcW w:w="2240" w:type="dxa"/>
            <w:vAlign w:val="bottom"/>
            <w:tcBorders>
              <w:bottom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bl>
    <w:p>
      <w:pPr>
        <w:spacing w:after="0" w:line="53" w:lineRule="exact"/>
        <w:rPr>
          <w:sz w:val="20"/>
          <w:szCs w:val="20"/>
          <w:color w:val="auto"/>
        </w:rPr>
      </w:pPr>
    </w:p>
    <w:p>
      <w:pPr>
        <w:ind w:left="340" w:right="18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Assumes the full forfeiture of 937,500 founder shares that are subject to forfeiture by our sponsor depending on the extent to which the underwriters’ over-allotment option is exercised.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 forma net tangible book value per share after this offering is calculated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544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1080" w:type="dxa"/>
            <w:vAlign w:val="bottom"/>
            <w:tcBorders>
              <w:top w:val="single" w:sz="8" w:color="0000EE"/>
            </w:tcBorders>
          </w:tcPr>
          <w:p>
            <w:pPr>
              <w:spacing w:after="0"/>
              <w:rPr>
                <w:sz w:val="24"/>
                <w:szCs w:val="24"/>
                <w:color w:val="auto"/>
              </w:rPr>
            </w:pPr>
          </w:p>
        </w:tc>
        <w:tc>
          <w:tcPr>
            <w:tcW w:w="4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Without Over-</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With Over-</w:t>
            </w:r>
          </w:p>
        </w:tc>
        <w:tc>
          <w:tcPr>
            <w:tcW w:w="0" w:type="dxa"/>
            <w:vAlign w:val="bottom"/>
          </w:tcPr>
          <w:p>
            <w:pPr>
              <w:spacing w:after="0"/>
              <w:rPr>
                <w:sz w:val="1"/>
                <w:szCs w:val="1"/>
                <w:color w:val="auto"/>
              </w:rPr>
            </w:pPr>
          </w:p>
        </w:tc>
      </w:tr>
      <w:tr>
        <w:trPr>
          <w:trHeight w:val="234"/>
        </w:trPr>
        <w:tc>
          <w:tcPr>
            <w:tcW w:w="1080" w:type="dxa"/>
            <w:vAlign w:val="bottom"/>
            <w:tcBorders>
              <w:bottom w:val="single" w:sz="8" w:color="D5EAEA"/>
            </w:tcBorders>
          </w:tcPr>
          <w:p>
            <w:pPr>
              <w:spacing w:after="0"/>
              <w:rPr>
                <w:sz w:val="20"/>
                <w:szCs w:val="20"/>
                <w:color w:val="auto"/>
              </w:rPr>
            </w:pPr>
          </w:p>
        </w:tc>
        <w:tc>
          <w:tcPr>
            <w:tcW w:w="4360" w:type="dxa"/>
            <w:vAlign w:val="bottom"/>
            <w:tcBorders>
              <w:bottom w:val="single" w:sz="8" w:color="D5EAEA"/>
            </w:tcBorders>
          </w:tcPr>
          <w:p>
            <w:pPr>
              <w:spacing w:after="0"/>
              <w:rPr>
                <w:sz w:val="20"/>
                <w:szCs w:val="20"/>
                <w:color w:val="auto"/>
              </w:rPr>
            </w:pPr>
          </w:p>
        </w:tc>
        <w:tc>
          <w:tcPr>
            <w:tcW w:w="2560" w:type="dxa"/>
            <w:vAlign w:val="bottom"/>
            <w:tcBorders>
              <w:bottom w:val="single" w:sz="8" w:color="D5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allotment</w:t>
            </w:r>
          </w:p>
        </w:tc>
        <w:tc>
          <w:tcPr>
            <w:tcW w:w="100" w:type="dxa"/>
            <w:vAlign w:val="bottom"/>
            <w:tcBorders>
              <w:bottom w:val="single" w:sz="8" w:color="D5EAEA"/>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allotment</w:t>
            </w:r>
          </w:p>
        </w:tc>
        <w:tc>
          <w:tcPr>
            <w:tcW w:w="0" w:type="dxa"/>
            <w:vAlign w:val="bottom"/>
          </w:tcPr>
          <w:p>
            <w:pPr>
              <w:spacing w:after="0"/>
              <w:rPr>
                <w:sz w:val="1"/>
                <w:szCs w:val="1"/>
                <w:color w:val="auto"/>
              </w:rPr>
            </w:pPr>
          </w:p>
        </w:tc>
      </w:tr>
      <w:tr>
        <w:trPr>
          <w:trHeight w:val="209"/>
        </w:trPr>
        <w:tc>
          <w:tcPr>
            <w:tcW w:w="5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Numerator:</w:t>
            </w:r>
          </w:p>
        </w:tc>
        <w:tc>
          <w:tcPr>
            <w:tcW w:w="25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4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Net tangible book deficit before this offering</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(12,500)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D5EAEA"/>
          </w:tcPr>
          <w:p>
            <w:pPr>
              <w:spacing w:after="0"/>
              <w:rPr>
                <w:sz w:val="20"/>
                <w:szCs w:val="20"/>
                <w:color w:val="auto"/>
              </w:rPr>
            </w:pPr>
            <w:r>
              <w:rPr>
                <w:rFonts w:ascii="Arial" w:cs="Arial" w:eastAsia="Arial" w:hAnsi="Arial"/>
                <w:sz w:val="18"/>
                <w:szCs w:val="18"/>
                <w:color w:val="auto"/>
                <w:w w:val="91"/>
              </w:rPr>
              <w:t>Net proceeds from this offering and sale of the private placement warrants</w:t>
            </w:r>
          </w:p>
        </w:tc>
        <w:tc>
          <w:tcPr>
            <w:tcW w:w="25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4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251,000,000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288,500,000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95"/>
              </w:rPr>
              <w:t>Plus: Offering costs paid in advance, excluded from tangible book value</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Less: Deferred underwriting commissions</w:t>
            </w:r>
          </w:p>
        </w:tc>
        <w:tc>
          <w:tcPr>
            <w:tcW w:w="25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4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Less: Proceeds held in trust subject to redemption</w:t>
            </w:r>
          </w:p>
        </w:tc>
        <w:tc>
          <w:tcPr>
            <w:tcW w:w="2560" w:type="dxa"/>
            <w:vAlign w:val="bottom"/>
            <w:tcBorders>
              <w:bottom w:val="single" w:sz="8" w:color="D5EAE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(237,269,990)</w:t>
            </w:r>
          </w:p>
        </w:tc>
        <w:tc>
          <w:tcPr>
            <w:tcW w:w="100" w:type="dxa"/>
            <w:vAlign w:val="bottom"/>
            <w:tcBorders>
              <w:bottom w:val="single" w:sz="8" w:color="D5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(273,457,490)</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D5EAEA"/>
            </w:tcBorders>
            <w:shd w:val="clear" w:color="auto" w:fill="D5EAEA"/>
          </w:tcPr>
          <w:p>
            <w:pPr>
              <w:spacing w:after="0"/>
              <w:rPr>
                <w:sz w:val="19"/>
                <w:szCs w:val="19"/>
                <w:color w:val="auto"/>
              </w:rPr>
            </w:pPr>
          </w:p>
        </w:tc>
        <w:tc>
          <w:tcPr>
            <w:tcW w:w="4360" w:type="dxa"/>
            <w:vAlign w:val="bottom"/>
            <w:tcBorders>
              <w:bottom w:val="single" w:sz="8" w:color="D5EAEA"/>
            </w:tcBorders>
            <w:shd w:val="clear" w:color="auto" w:fill="D5EAEA"/>
          </w:tcPr>
          <w:p>
            <w:pPr>
              <w:spacing w:after="0"/>
              <w:rPr>
                <w:sz w:val="19"/>
                <w:szCs w:val="19"/>
                <w:color w:val="auto"/>
              </w:rPr>
            </w:pPr>
          </w:p>
        </w:tc>
        <w:tc>
          <w:tcPr>
            <w:tcW w:w="2560" w:type="dxa"/>
            <w:vAlign w:val="bottom"/>
            <w:tcBorders>
              <w:bottom w:val="single" w:sz="8" w:color="D5EAEA"/>
            </w:tcBorders>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5,000,010</w:t>
            </w:r>
          </w:p>
        </w:tc>
        <w:tc>
          <w:tcPr>
            <w:tcW w:w="100" w:type="dxa"/>
            <w:vAlign w:val="bottom"/>
            <w:tcBorders>
              <w:bottom w:val="single" w:sz="8" w:color="D5EAEA"/>
            </w:tcBorders>
            <w:shd w:val="clear" w:color="auto" w:fill="D5EAEA"/>
          </w:tcPr>
          <w:p>
            <w:pPr>
              <w:spacing w:after="0"/>
              <w:rPr>
                <w:sz w:val="19"/>
                <w:szCs w:val="19"/>
                <w:color w:val="auto"/>
              </w:rPr>
            </w:pPr>
          </w:p>
        </w:tc>
        <w:tc>
          <w:tcPr>
            <w:tcW w:w="22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5,000,010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vMerge w:val="continue"/>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Class B ordinary shares outstanding prior to this offering</w:t>
            </w:r>
          </w:p>
        </w:tc>
        <w:tc>
          <w:tcPr>
            <w:tcW w:w="25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4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7,187,500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7,187,500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Class B ordinary shares forfeited if over-allotment is not exercised</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(937,500)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Class A ordinary shares included in the units offered</w:t>
            </w:r>
          </w:p>
        </w:tc>
        <w:tc>
          <w:tcPr>
            <w:tcW w:w="256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4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28,750,000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Less: Ordinary shares subject to redemption/tender</w:t>
            </w:r>
          </w:p>
        </w:tc>
        <w:tc>
          <w:tcPr>
            <w:tcW w:w="2560" w:type="dxa"/>
            <w:vAlign w:val="bottom"/>
            <w:tcBorders>
              <w:bottom w:val="single" w:sz="8" w:color="D5EAE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(23,726,999)</w:t>
            </w:r>
          </w:p>
        </w:tc>
        <w:tc>
          <w:tcPr>
            <w:tcW w:w="100" w:type="dxa"/>
            <w:vAlign w:val="bottom"/>
            <w:tcBorders>
              <w:bottom w:val="single" w:sz="8" w:color="D5EAEA"/>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(27,345,749)</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D5EAEA"/>
            </w:tcBorders>
            <w:shd w:val="clear" w:color="auto" w:fill="D5EAEA"/>
          </w:tcPr>
          <w:p>
            <w:pPr>
              <w:spacing w:after="0"/>
              <w:rPr>
                <w:sz w:val="19"/>
                <w:szCs w:val="19"/>
                <w:color w:val="auto"/>
              </w:rPr>
            </w:pPr>
          </w:p>
        </w:tc>
        <w:tc>
          <w:tcPr>
            <w:tcW w:w="4360" w:type="dxa"/>
            <w:vAlign w:val="bottom"/>
            <w:tcBorders>
              <w:bottom w:val="single" w:sz="8" w:color="D5EAEA"/>
            </w:tcBorders>
            <w:shd w:val="clear" w:color="auto" w:fill="D5EAEA"/>
          </w:tcPr>
          <w:p>
            <w:pPr>
              <w:spacing w:after="0"/>
              <w:rPr>
                <w:sz w:val="19"/>
                <w:szCs w:val="19"/>
                <w:color w:val="auto"/>
              </w:rPr>
            </w:pPr>
          </w:p>
        </w:tc>
        <w:tc>
          <w:tcPr>
            <w:tcW w:w="2560" w:type="dxa"/>
            <w:vAlign w:val="bottom"/>
            <w:tcBorders>
              <w:bottom w:val="single" w:sz="8" w:color="D5EAEA"/>
            </w:tcBorders>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14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7,523,001</w:t>
            </w:r>
          </w:p>
        </w:tc>
        <w:tc>
          <w:tcPr>
            <w:tcW w:w="100" w:type="dxa"/>
            <w:vAlign w:val="bottom"/>
            <w:tcBorders>
              <w:bottom w:val="single" w:sz="8" w:color="D5EAEA"/>
            </w:tcBorders>
            <w:shd w:val="clear" w:color="auto" w:fill="D5EAEA"/>
          </w:tcPr>
          <w:p>
            <w:pPr>
              <w:spacing w:after="0"/>
              <w:rPr>
                <w:sz w:val="19"/>
                <w:szCs w:val="19"/>
                <w:color w:val="auto"/>
              </w:rPr>
            </w:pPr>
          </w:p>
        </w:tc>
        <w:tc>
          <w:tcPr>
            <w:tcW w:w="220" w:type="dxa"/>
            <w:vAlign w:val="bottom"/>
            <w:tcBorders>
              <w:bottom w:val="single" w:sz="8" w:color="auto"/>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8,591,751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560" w:type="dxa"/>
            <w:vAlign w:val="bottom"/>
            <w:vMerge w:val="restart"/>
          </w:tcPr>
          <w:p>
            <w:pPr>
              <w:jc w:val="right"/>
              <w:ind w:right="2190"/>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0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2"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capitalization at June 11, 2019, and as adjusted to give effect to the sale of our 25,000,000 units in this offering for</w:t>
      </w:r>
    </w:p>
    <w:p>
      <w:pPr>
        <w:spacing w:after="0" w:line="35"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$250,000,000 (or $10.00 per unit) and the sale of 7,000,000 private placement warrants for $7,000,000 (or $1.00 per warrant) and the application of the estimated net proceeds derived from the sale of such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June 11, 2019</w:t>
            </w:r>
          </w:p>
        </w:tc>
      </w:tr>
      <w:tr>
        <w:trPr>
          <w:trHeight w:val="223"/>
        </w:trPr>
        <w:tc>
          <w:tcPr>
            <w:tcW w:w="2240" w:type="dxa"/>
            <w:vAlign w:val="bottom"/>
            <w:tcBorders>
              <w:bottom w:val="single" w:sz="8" w:color="D5EAEA"/>
            </w:tcBorders>
          </w:tcPr>
          <w:p>
            <w:pPr>
              <w:spacing w:after="0"/>
              <w:rPr>
                <w:sz w:val="19"/>
                <w:szCs w:val="19"/>
                <w:color w:val="auto"/>
              </w:rPr>
            </w:pPr>
          </w:p>
        </w:tc>
        <w:tc>
          <w:tcPr>
            <w:tcW w:w="1880" w:type="dxa"/>
            <w:vAlign w:val="bottom"/>
            <w:tcBorders>
              <w:bottom w:val="single" w:sz="8" w:color="D5EAEA"/>
            </w:tcBorders>
          </w:tcPr>
          <w:p>
            <w:pPr>
              <w:spacing w:after="0"/>
              <w:rPr>
                <w:sz w:val="19"/>
                <w:szCs w:val="19"/>
                <w:color w:val="auto"/>
              </w:rPr>
            </w:pPr>
          </w:p>
        </w:tc>
        <w:tc>
          <w:tcPr>
            <w:tcW w:w="3880" w:type="dxa"/>
            <w:vAlign w:val="bottom"/>
            <w:tcBorders>
              <w:bottom w:val="single" w:sz="8" w:color="D5EAEA"/>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Actual</w:t>
            </w:r>
          </w:p>
        </w:tc>
        <w:tc>
          <w:tcPr>
            <w:tcW w:w="100" w:type="dxa"/>
            <w:vAlign w:val="bottom"/>
            <w:tcBorders>
              <w:bottom w:val="single" w:sz="8" w:color="D5EAEA"/>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As Adjusted(2)</w:t>
            </w:r>
          </w:p>
        </w:tc>
      </w:tr>
      <w:tr>
        <w:trPr>
          <w:trHeight w:val="209"/>
        </w:trPr>
        <w:tc>
          <w:tcPr>
            <w:tcW w:w="8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Note payable to related party(1)</w:t>
            </w:r>
          </w:p>
        </w:tc>
        <w:tc>
          <w:tcPr>
            <w:tcW w:w="320" w:type="dxa"/>
            <w:vAlign w:val="bottom"/>
            <w:tcBorders>
              <w:bottom w:val="single" w:sz="8" w:color="auto"/>
            </w:tcBorders>
            <w:shd w:val="clear" w:color="auto" w:fill="D5EAEA"/>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D5EAEA"/>
          </w:tcPr>
          <w:p>
            <w:pPr>
              <w:spacing w:after="0"/>
              <w:rPr>
                <w:sz w:val="18"/>
                <w:szCs w:val="18"/>
                <w:color w:val="auto"/>
              </w:rPr>
            </w:pPr>
          </w:p>
        </w:tc>
        <w:tc>
          <w:tcPr>
            <w:tcW w:w="16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Deferred underwriting commissions</w:t>
            </w:r>
          </w:p>
        </w:tc>
        <w:tc>
          <w:tcPr>
            <w:tcW w:w="320" w:type="dxa"/>
            <w:vAlign w:val="bottom"/>
            <w:tcBorders>
              <w:bottom w:val="single" w:sz="8" w:color="D5EAEA"/>
            </w:tcBorders>
          </w:tcPr>
          <w:p>
            <w:pPr>
              <w:spacing w:after="0"/>
              <w:rPr>
                <w:sz w:val="18"/>
                <w:szCs w:val="18"/>
                <w:color w:val="auto"/>
              </w:rPr>
            </w:pPr>
          </w:p>
        </w:tc>
        <w:tc>
          <w:tcPr>
            <w:tcW w:w="1260" w:type="dxa"/>
            <w:vAlign w:val="bottom"/>
            <w:tcBorders>
              <w:bottom w:val="single" w:sz="8" w:color="D5EAEA"/>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8,750,000</w:t>
            </w:r>
          </w:p>
        </w:tc>
      </w:tr>
      <w:tr>
        <w:trPr>
          <w:trHeight w:val="209"/>
        </w:trPr>
        <w:tc>
          <w:tcPr>
            <w:tcW w:w="8000" w:type="dxa"/>
            <w:vAlign w:val="bottom"/>
            <w:gridSpan w:val="3"/>
            <w:shd w:val="clear" w:color="auto" w:fill="D5EAEA"/>
          </w:tcPr>
          <w:p>
            <w:pPr>
              <w:spacing w:after="0"/>
              <w:rPr>
                <w:sz w:val="20"/>
                <w:szCs w:val="20"/>
                <w:color w:val="auto"/>
              </w:rPr>
            </w:pPr>
            <w:r>
              <w:rPr>
                <w:rFonts w:ascii="Arial" w:cs="Arial" w:eastAsia="Arial" w:hAnsi="Arial"/>
                <w:sz w:val="18"/>
                <w:szCs w:val="18"/>
                <w:color w:val="auto"/>
                <w:w w:val="96"/>
              </w:rPr>
              <w:t>Class A ordinary shares, subject to redemption; -0- shares actual and 23,726,999 shares as adjusted(3)</w:t>
            </w:r>
          </w:p>
        </w:tc>
        <w:tc>
          <w:tcPr>
            <w:tcW w:w="32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60" w:type="dxa"/>
            <w:vAlign w:val="bottom"/>
            <w:tcBorders>
              <w:bottom w:val="single" w:sz="8" w:color="auto"/>
            </w:tcBorders>
            <w:shd w:val="clear" w:color="auto" w:fill="D5EAEA"/>
          </w:tcPr>
          <w:p>
            <w:pPr>
              <w:spacing w:after="0"/>
              <w:rPr>
                <w:sz w:val="18"/>
                <w:szCs w:val="18"/>
                <w:color w:val="auto"/>
              </w:rPr>
            </w:pPr>
          </w:p>
        </w:tc>
        <w:tc>
          <w:tcPr>
            <w:tcW w:w="14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237,269,990</w:t>
            </w:r>
          </w:p>
        </w:tc>
      </w:tr>
      <w:tr>
        <w:trPr>
          <w:trHeight w:val="209"/>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2"/>
        </w:trPr>
        <w:tc>
          <w:tcPr>
            <w:tcW w:w="8000" w:type="dxa"/>
            <w:vAlign w:val="bottom"/>
            <w:gridSpan w:val="3"/>
            <w:shd w:val="clear" w:color="auto" w:fill="D5EAEA"/>
          </w:tcPr>
          <w:p>
            <w:pPr>
              <w:spacing w:after="0" w:line="201" w:lineRule="exact"/>
              <w:rPr>
                <w:sz w:val="20"/>
                <w:szCs w:val="20"/>
                <w:color w:val="auto"/>
              </w:rPr>
            </w:pPr>
            <w:r>
              <w:rPr>
                <w:rFonts w:ascii="Arial" w:cs="Arial" w:eastAsia="Arial" w:hAnsi="Arial"/>
                <w:sz w:val="18"/>
                <w:szCs w:val="18"/>
                <w:color w:val="auto"/>
                <w:w w:val="90"/>
              </w:rPr>
              <w:t>Preferred shares, $0.0001 par value, 1,000,000 shares authorized; none issued and outstanding, actual and as</w:t>
            </w:r>
          </w:p>
        </w:tc>
        <w:tc>
          <w:tcPr>
            <w:tcW w:w="3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60" w:type="dxa"/>
            <w:vAlign w:val="bottom"/>
            <w:shd w:val="clear" w:color="auto" w:fill="D5EAEA"/>
          </w:tcPr>
          <w:p>
            <w:pPr>
              <w:spacing w:after="0"/>
              <w:rPr>
                <w:sz w:val="17"/>
                <w:szCs w:val="17"/>
                <w:color w:val="auto"/>
              </w:rPr>
            </w:pPr>
          </w:p>
        </w:tc>
        <w:tc>
          <w:tcPr>
            <w:tcW w:w="1400" w:type="dxa"/>
            <w:vAlign w:val="bottom"/>
            <w:shd w:val="clear" w:color="auto" w:fill="D5EAEA"/>
          </w:tcPr>
          <w:p>
            <w:pPr>
              <w:spacing w:after="0"/>
              <w:rPr>
                <w:sz w:val="17"/>
                <w:szCs w:val="17"/>
                <w:color w:val="auto"/>
              </w:rPr>
            </w:pPr>
          </w:p>
        </w:tc>
      </w:tr>
      <w:tr>
        <w:trPr>
          <w:trHeight w:val="230"/>
        </w:trPr>
        <w:tc>
          <w:tcPr>
            <w:tcW w:w="8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adjusted</w:t>
            </w:r>
          </w:p>
        </w:tc>
        <w:tc>
          <w:tcPr>
            <w:tcW w:w="320" w:type="dxa"/>
            <w:vAlign w:val="bottom"/>
            <w:shd w:val="clear" w:color="auto" w:fill="D5EAEA"/>
          </w:tcPr>
          <w:p>
            <w:pPr>
              <w:spacing w:after="0"/>
              <w:rPr>
                <w:sz w:val="20"/>
                <w:szCs w:val="20"/>
                <w:color w:val="auto"/>
              </w:rPr>
            </w:pP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0"/>
                <w:szCs w:val="20"/>
                <w:color w:val="auto"/>
              </w:rPr>
            </w:pPr>
          </w:p>
        </w:tc>
        <w:tc>
          <w:tcPr>
            <w:tcW w:w="160" w:type="dxa"/>
            <w:vAlign w:val="bottom"/>
            <w:shd w:val="clear" w:color="auto" w:fill="D5EAEA"/>
          </w:tcPr>
          <w:p>
            <w:pPr>
              <w:spacing w:after="0"/>
              <w:rPr>
                <w:sz w:val="20"/>
                <w:szCs w:val="20"/>
                <w:color w:val="auto"/>
              </w:rPr>
            </w:pPr>
          </w:p>
        </w:tc>
        <w:tc>
          <w:tcPr>
            <w:tcW w:w="14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3"/>
          </w:tcPr>
          <w:p>
            <w:pPr>
              <w:spacing w:after="0" w:line="201" w:lineRule="exact"/>
              <w:rPr>
                <w:sz w:val="20"/>
                <w:szCs w:val="20"/>
                <w:color w:val="auto"/>
              </w:rPr>
            </w:pPr>
            <w:r>
              <w:rPr>
                <w:rFonts w:ascii="Arial" w:cs="Arial" w:eastAsia="Arial" w:hAnsi="Arial"/>
                <w:sz w:val="18"/>
                <w:szCs w:val="18"/>
                <w:color w:val="auto"/>
              </w:rPr>
              <w:t>Class A ordinary shares, $0.0001 par value, 200,000,000 shares authorized; no shares issued and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w w:val="98"/>
              </w:rPr>
              <w:t>outstanding, actual; 1,273,001 shares issued and outstanding (excluding 23,726,999 shares subject to</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possible redemption), as adjusted</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02"/>
        </w:trPr>
        <w:tc>
          <w:tcPr>
            <w:tcW w:w="8000" w:type="dxa"/>
            <w:vAlign w:val="bottom"/>
            <w:gridSpan w:val="3"/>
            <w:shd w:val="clear" w:color="auto" w:fill="D5EAEA"/>
          </w:tcPr>
          <w:p>
            <w:pPr>
              <w:spacing w:after="0" w:line="201" w:lineRule="exact"/>
              <w:rPr>
                <w:sz w:val="20"/>
                <w:szCs w:val="20"/>
                <w:color w:val="auto"/>
              </w:rPr>
            </w:pPr>
            <w:r>
              <w:rPr>
                <w:rFonts w:ascii="Arial" w:cs="Arial" w:eastAsia="Arial" w:hAnsi="Arial"/>
                <w:sz w:val="18"/>
                <w:szCs w:val="18"/>
                <w:color w:val="auto"/>
                <w:w w:val="92"/>
              </w:rPr>
              <w:t>Class B ordinary shares, $0.0001 par value; 20,000,000 shares authorized; 7,187,500 and 6,250,000 shares</w:t>
            </w:r>
          </w:p>
        </w:tc>
        <w:tc>
          <w:tcPr>
            <w:tcW w:w="32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60" w:type="dxa"/>
            <w:vAlign w:val="bottom"/>
            <w:shd w:val="clear" w:color="auto" w:fill="D5EAEA"/>
          </w:tcPr>
          <w:p>
            <w:pPr>
              <w:spacing w:after="0"/>
              <w:rPr>
                <w:sz w:val="17"/>
                <w:szCs w:val="17"/>
                <w:color w:val="auto"/>
              </w:rPr>
            </w:pPr>
          </w:p>
        </w:tc>
        <w:tc>
          <w:tcPr>
            <w:tcW w:w="1400" w:type="dxa"/>
            <w:vAlign w:val="bottom"/>
            <w:shd w:val="clear" w:color="auto" w:fill="D5EAEA"/>
          </w:tcPr>
          <w:p>
            <w:pPr>
              <w:spacing w:after="0"/>
              <w:rPr>
                <w:sz w:val="17"/>
                <w:szCs w:val="17"/>
                <w:color w:val="auto"/>
              </w:rPr>
            </w:pPr>
          </w:p>
        </w:tc>
      </w:tr>
      <w:tr>
        <w:trPr>
          <w:trHeight w:val="230"/>
        </w:trPr>
        <w:tc>
          <w:tcPr>
            <w:tcW w:w="8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issued and outstanding, actual and as adjusted, respectively(4)</w:t>
            </w:r>
          </w:p>
        </w:tc>
        <w:tc>
          <w:tcPr>
            <w:tcW w:w="320" w:type="dxa"/>
            <w:vAlign w:val="bottom"/>
            <w:shd w:val="clear" w:color="auto" w:fill="D5EAEA"/>
          </w:tcPr>
          <w:p>
            <w:pPr>
              <w:spacing w:after="0"/>
              <w:rPr>
                <w:sz w:val="20"/>
                <w:szCs w:val="20"/>
                <w:color w:val="auto"/>
              </w:rPr>
            </w:pP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D5EAEA"/>
          </w:tcPr>
          <w:p>
            <w:pPr>
              <w:spacing w:after="0"/>
              <w:rPr>
                <w:sz w:val="20"/>
                <w:szCs w:val="20"/>
                <w:color w:val="auto"/>
              </w:rPr>
            </w:pPr>
          </w:p>
        </w:tc>
        <w:tc>
          <w:tcPr>
            <w:tcW w:w="160" w:type="dxa"/>
            <w:vAlign w:val="bottom"/>
            <w:shd w:val="clear" w:color="auto" w:fill="D5EAEA"/>
          </w:tcPr>
          <w:p>
            <w:pPr>
              <w:spacing w:after="0"/>
              <w:rPr>
                <w:sz w:val="20"/>
                <w:szCs w:val="20"/>
                <w:color w:val="auto"/>
              </w:rPr>
            </w:pPr>
          </w:p>
        </w:tc>
        <w:tc>
          <w:tcPr>
            <w:tcW w:w="14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625</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Additional paid-in capital(5)</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5,004,258</w:t>
            </w:r>
          </w:p>
        </w:tc>
      </w:tr>
      <w:tr>
        <w:trPr>
          <w:trHeight w:val="229"/>
        </w:trPr>
        <w:tc>
          <w:tcPr>
            <w:tcW w:w="8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14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(5,000)</w:t>
            </w:r>
          </w:p>
        </w:tc>
      </w:tr>
      <w:tr>
        <w:trPr>
          <w:trHeight w:val="209"/>
        </w:trPr>
        <w:tc>
          <w:tcPr>
            <w:tcW w:w="800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D5EAEA"/>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5,000,010</w:t>
            </w:r>
          </w:p>
        </w:tc>
      </w:tr>
      <w:tr>
        <w:trPr>
          <w:trHeight w:val="223"/>
        </w:trPr>
        <w:tc>
          <w:tcPr>
            <w:tcW w:w="8000" w:type="dxa"/>
            <w:vAlign w:val="bottom"/>
            <w:tcBorders>
              <w:bottom w:val="single" w:sz="8" w:color="D5EAEA"/>
            </w:tcBorders>
            <w:gridSpan w:val="3"/>
            <w:shd w:val="clear" w:color="auto" w:fill="D5EAEA"/>
          </w:tcPr>
          <w:p>
            <w:pPr>
              <w:spacing w:after="0"/>
              <w:rPr>
                <w:sz w:val="20"/>
                <w:szCs w:val="20"/>
                <w:color w:val="auto"/>
              </w:rPr>
            </w:pPr>
            <w:r>
              <w:rPr>
                <w:rFonts w:ascii="Arial" w:cs="Arial" w:eastAsia="Arial" w:hAnsi="Arial"/>
                <w:sz w:val="18"/>
                <w:szCs w:val="18"/>
                <w:color w:val="auto"/>
              </w:rPr>
              <w:t>Total capitalization</w:t>
            </w:r>
          </w:p>
        </w:tc>
        <w:tc>
          <w:tcPr>
            <w:tcW w:w="320" w:type="dxa"/>
            <w:vAlign w:val="bottom"/>
            <w:tcBorders>
              <w:bottom w:val="single" w:sz="8" w:color="auto"/>
            </w:tcBorders>
            <w:shd w:val="clear" w:color="auto" w:fill="D5EAEA"/>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32,500</w:t>
            </w:r>
          </w:p>
        </w:tc>
        <w:tc>
          <w:tcPr>
            <w:tcW w:w="100" w:type="dxa"/>
            <w:vAlign w:val="bottom"/>
            <w:tcBorders>
              <w:bottom w:val="single" w:sz="8" w:color="D5EAEA"/>
            </w:tcBorders>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251,020,000</w:t>
            </w: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
        </w:trPr>
        <w:tc>
          <w:tcPr>
            <w:tcW w:w="224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53" w:lineRule="exact"/>
        <w:rPr>
          <w:sz w:val="20"/>
          <w:szCs w:val="20"/>
          <w:color w:val="auto"/>
        </w:rPr>
      </w:pPr>
    </w:p>
    <w:p>
      <w:pPr>
        <w:ind w:left="340" w:right="20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sponsor has agreed to loan us up to $250,000 under an unsecured promissory note to be used for a portion of the expenses of this offering. As of June 11, 2019, we had borrowed $12,500 under the promissory note with our sponsor to be used for a portion of the expenses of this offering.</w:t>
      </w:r>
    </w:p>
    <w:p>
      <w:pPr>
        <w:spacing w:after="0" w:line="123" w:lineRule="exact"/>
        <w:rPr>
          <w:rFonts w:ascii="Arial" w:cs="Arial" w:eastAsia="Arial" w:hAnsi="Arial"/>
          <w:sz w:val="16"/>
          <w:szCs w:val="16"/>
          <w:color w:val="auto"/>
        </w:rPr>
      </w:pPr>
    </w:p>
    <w:p>
      <w:pPr>
        <w:jc w:val="both"/>
        <w:ind w:left="340" w:right="360" w:hanging="332"/>
        <w:spacing w:after="0" w:line="286"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Assumes the full forfeiture of 937,500 shares that are subject to forfeiture by our sponsor depending on the extent to which the underwriters’ over-allotment option is exercised. The proceeds of the sale of such shares will not be deposited into the trust account, the shares will not be eligible for redemption from the trust account nor will they be eligible to vote upon the initial business combination.</w:t>
      </w:r>
    </w:p>
    <w:p>
      <w:pPr>
        <w:spacing w:after="0" w:line="165" w:lineRule="exact"/>
        <w:rPr>
          <w:rFonts w:ascii="Arial" w:cs="Arial" w:eastAsia="Arial" w:hAnsi="Arial"/>
          <w:sz w:val="17"/>
          <w:szCs w:val="17"/>
          <w:color w:val="auto"/>
        </w:rPr>
      </w:pPr>
    </w:p>
    <w:p>
      <w:pPr>
        <w:ind w:left="340" w:hanging="332"/>
        <w:spacing w:after="0" w:line="289"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the completion of our initial business combination, we will provide our public shareholders with the opportunity to redeem their public shares for cash equal to their pro rata share of the aggregate amount then on deposit in the trust account as of two business days prior to the consummation of the initial business combination, including interest (which interest shall be net of taxes payable), subject to the limitations described herein whereby our net tangible assets, after payment of the deferred underwriting commission, will be maintained at a minimum of $5,000,001 upon our initial business combination and any limitations (including, but not limited to, cash requirements) created by the terms of the proposed business combination. The “as adjusted” amount of Class A ordinary shares, subject to redemption equals the “as adjusted” total assets of $251,020,000, less the “as adjusted” total liabilities of $8,750,000, less the “as adjusted” total shareholder’s equity. The value of Class A ordinary shares that may be redeemed is equal to $10.00 per share (which is the assumed redemption price) multiplied by 23,726,999 Class A ordinary shares, which is the maximum number of Class A ordinary shares that may be redeemed for a $10.00 purchase price per share and still maintain at least $5,000,001 of net tangible assets.</w:t>
      </w:r>
    </w:p>
    <w:p>
      <w:pPr>
        <w:spacing w:after="0" w:line="166" w:lineRule="exact"/>
        <w:rPr>
          <w:rFonts w:ascii="Arial" w:cs="Arial" w:eastAsia="Arial" w:hAnsi="Arial"/>
          <w:sz w:val="16"/>
          <w:szCs w:val="16"/>
          <w:color w:val="auto"/>
        </w:rPr>
      </w:pPr>
    </w:p>
    <w:p>
      <w:pPr>
        <w:ind w:left="340" w:right="1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share amount is prior to any forfeiture of founder shares by our sponsor and as adjusted share amount assumes no exercise of the underwriters’ over-allotment option.</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 adjusted” additional paid-in capital calculation is equal to the “as adjusted” total shareholder’s equity of $5,000,010, minus Class A and Class B ordinary shares (par value) of $752, minus the accumulated deficit of $(5,000).</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warrants, our shares, debt or a combination of cash, shares and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225" w:lineRule="exact"/>
        <w:rPr>
          <w:sz w:val="20"/>
          <w:szCs w:val="20"/>
          <w:color w:val="auto"/>
        </w:rPr>
      </w:pPr>
    </w:p>
    <w:p>
      <w:pPr>
        <w:ind w:left="660" w:right="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of the Class B ordinary shares resulted in the issuance of Class A ordinary shares on a greater than one-to-one basis upon conversion of the Class B ordinary shares;</w:t>
      </w:r>
    </w:p>
    <w:p>
      <w:pPr>
        <w:spacing w:after="0" w:line="18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7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 and/or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right="52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25"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indicated in the accompanying financial statements, at June 11, 2019, we had deferred offering costs of approximately $32,500. Further, we expect to continue to incur significant costs in the pursuit of our acquisition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our plans to raise capital or to complete our initial business combination will be successful.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liquidity needs have been satisfied prior to the completion of this offering from the availability of up to $250,000 in loans from our sponsor under an unsecured promissory note. As of June 11, 2019, we have borrowed $12,500 under the promissory note. Further, we have incurred and expect to continue to incur significant costs in pursuit of our financing and acquisition plans. Management’s plans to address this uncertainty through this offering are discussed above. We cannot assure you that our plans to raise capital or to consummate an initial business combination will be successful. These factors, among others, raise substantial doubt about our ability to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net proceeds from (1) the sale of the units in this offering, after deducting offering expenses of approximately $1,000,000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underwriting commissions of $5,000,000 ($5,750,000 if the underwriters’ over-allotment option is exercised in full) (excluding deferred underwriting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commissions of $8,750,000 (or up to $10,062,500 if the underwriters’ over-allotment option is exercised in full)), and (2) the sale of the private placement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for a purchase price of $7,000,000 (or $7,750,000 if the underwriters’ over-allotment option is exercised in full), will be $251,000,000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$288,500,000 if the underwriters’ over-allotment option is exercised in full). Of this amount, $250,000,000 or $287,500,000 if the underwriters’ over-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allotment option is exercised in full, including $8,750,000 (or up to $10,062,500 if the underwriters’ over-allotment option is exercised in full) in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underwriting commissions will be deposited into the trust account. The funds in the trust account will be invested only in U.S. government treasury bills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maturity of 180 days or less or in money market funds investing solely in U.S. Treasuries. The remaining $1,000,000 will not be held in the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In the event that our offering expenses exceed our estimate of $1,000,000 we may fund such excess with funds not to be held in the trust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such case, the amount of funds we intend to be held outside the trust account would decrease by a corresponding amount. Conversely, in the event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offering expenses are less than our estimate of $1,000,000, the amount of funds we intend to be held outside the trust account would increase by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corresponding amount.</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intend to use substantially all of the funds held in the trust account, including any amounts representing interest earned on the trust account (which interest shall be net of taxes payable and excluding deferred underwriting commissions) to complete our initial business combination. We may withdraw interest to pay taxes, if any. Our annual income tax obligations will depend on the amount of interest and other income earned on the amounts held in the trust account. We expect the interest earned on the amount in the trust account will be sufficient to pay our taxes. We expect the only taxes payable by us out of the funds in the trust account will be income and franchise taxes, if any. To the extent that our ordinary shares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the completion of our initial business combination, we will have available to us $1,000,000 of proceeds held outside the trust account. We will use these funds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 and to pay taxes to the extent the interest earned on the trust account is not sufficient to pay our taxes.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expect our primary liquidity requirements during that period to include approximately $ for legal, accounting, due diligence, travel and other expenses in connection with any business combinations; $ for legal and accounting fees related to regulatory reporting requirements; $75,000 for Nasdaq continued listing fees; $ for independent director compensation; $ as a reserve for liquidation expenses and approximately $ for general working capital that will be used for miscellaneous expenses and reserves net of estimated interest income.</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2020. Only in the event that we are deemed to be a large accelerated filer or an accelerated filer, and no longer qualify as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Prior to the closing of this offering, we have not completed an assessment, nor have our auditors tested our systems, of internal controls. We expect to assess the internal controls of our target business or businesses prior to the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of the Sarbanes-Oxley Act. The independent auditors may identify additional issues concerning a target business’s internal controls while performing their audit of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net proceeds of this offering and the sale of the private placement warrants held in the trust account will be invested in U.S. government treasury bills with a maturity of 180 days or less or in money market funds investing solely in U.S. Treasuries and meeting certain conditions under Rule 2a-7 under the Investment Company Act. Due to the short-term nature of these investments, we believe there will be no associated material exposure to interest rate risk.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June 2019, our sponsor purchased 7,187,500 founder shares for an aggregate purchase price of $25,000, or $0.004 per share (assuming the over-allotment option is not exercised and the forfeiture by our sponsor of 937,500 founder shares). Our initial shareholders will collectively own 20% of our issued and outstanding shares after this offering (assuming our initial shareholders do not purchase any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sponsor has agreed to loan us up to $250,000 under an unsecured promissory note to be used for a portion of the expenses of this offering. As of June 11, 2019, we had borrowed $12,500 under the promissory note with our sponsor to be used for a portion of the expenses of this offering. These loans are non-interest bearing, unsecured and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w:t>
      </w:r>
    </w:p>
    <w:p>
      <w:pPr>
        <w:spacing w:after="0" w:line="124"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sponsor has committed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Our sponsor will be permitted to transfer the private placement warrants held by it to certain permitted transferees, including our officers and directors and other persons or entities affiliated with or related to them, but the transferees receiving such securities will be subject to the same agreements with respect to such securities as our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The private placement warrants may also be exercised by our sponsor or its permitted transferees for cash or on a cashless basis and our sponsor and its permitted transferees will also have certain registration rights related to the private placement warrants, as described below. Otherwise, the private placement warrants have terms and provisions that are identical to those of the warrants being sold as part of the units in this offering.</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a registration rights agreement that we will enter into with our initial shareholders on or prior to the closing of this offering, we may be required to register certain securities for sale under the Securities Act. These 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However, the registration rights agreement provides that we will not permit any registration statement filed under the Securities Act to become effective until the securities covered thereby are released from their lock-up restrictions, as described herein. We will bear the costs and expenses of filing any such registration statements. See “Principal Shareholders—Registration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As of June 11, 2019, we did not have any off-balance sheet arrangements as defined in Item 303(a)(4)(ii) of Regulation S-K and did not have any commitments or 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 of internal controls over financial reporting pursuant to Section 404 of the Sarbanes-Oxley Act; (2) provide all of the compensation disclosure that may be required of non-emerging growth public companies under the Dodd-Frank Wall Street Reform and Consumer Protection Act; (3) comply with any requirement that may be adopted by the PCAOB regarding mandatory audit firm rotation or a supplement to the auditor’s report providing additional information about the audit and the financial statements (auditor discussion and analysis); and (4) disclose certain executive compensation-related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PROPOSED BUSINESS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newly incorporated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prospectus as our initial business combination. To date, our efforts have been limited to organizational activities and activities related to this offering. We have not selected any business combination target and we have not, nor has anyone on our behalf, initiated any substantive discussions, directly or indirectly, with any business combination target.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sponsor is an affiliate of Silver Spike Capital. Silver Spike Capital is an asset management fund focused on the burgeoning cannabis and related health</w:t>
      </w:r>
    </w:p>
    <w:p>
      <w:pPr>
        <w:spacing w:after="0" w:line="46" w:lineRule="exact"/>
        <w:rPr>
          <w:sz w:val="20"/>
          <w:szCs w:val="20"/>
          <w:color w:val="auto"/>
        </w:rPr>
      </w:pPr>
    </w:p>
    <w:p>
      <w:pPr>
        <w:ind w:right="120" w:firstLine="8"/>
        <w:spacing w:after="0" w:line="277" w:lineRule="auto"/>
        <w:tabs>
          <w:tab w:leader="none" w:pos="18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wellness industries. Silver Spike was formed in 2019 with an executive team consisting of seasoned investment professionals, many of whom have extensive experience in emerging and frontier markets as well as cannabis industry investors and entrepreneurs with proven track records. With this team, Silver Spike is positioning to become the leading institutional-quality asset manager in this nascent, fragmented sector.</w:t>
      </w:r>
    </w:p>
    <w:p>
      <w:pPr>
        <w:spacing w:after="0" w:line="17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CBD businesses that are compliant with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19 countries have legalized medical use and nearly 40 countries have decriminalized recreational use. Over the next 24 months, we believe that legislative activity in certain jurisdictions will further broaden our opportunity set for eligible acquisitions.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order to succeed under the new legislative and regulatory frameworks, we believe that businesses will need strong management teams with deep operational expertise and financial acumen.</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19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16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Mr. Gordon is joined at Silver Spike by a number of investment professionals who have experience spanning cannabis, consumer products, medical and scientific research and investment management. See “Management” for additional information about our management team.</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 collective operating, technical, regulatory and legal expertise in cannabis to build a strong business with competitive advantages to emerge as a leading public company in the space.</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that will provide operating, technical, regulatory and legal expertise in cannabis to assist a target business access the public markets.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17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Our acquisition plan is to leverage our management team’s networks of potential transaction sources where we believe a combination of our management team’s industry relationships, knowledge and experience could effect a positive transformation or augmentation of existing businesses or assets. Over the course of their careers, the members of our management team have developed a broad network of contacts and corporate relationships that we</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completion of this offering, the members of our management team plan to communicate with their networks of relationships to articulate the parameters for our search for a target business and a potential business combination and begin the process of pursuing and reviewing potentially interesting leads.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184" w:lineRule="exact"/>
        <w:rPr>
          <w:sz w:val="20"/>
          <w:szCs w:val="20"/>
          <w:color w:val="auto"/>
        </w:rPr>
      </w:pPr>
    </w:p>
    <w:p>
      <w:pPr>
        <w:ind w:left="660" w:right="600" w:hanging="328"/>
        <w:spacing w:after="0" w:line="28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exhibit institutional-level operations and financial controls. </w:t>
      </w:r>
      <w:r>
        <w:rPr>
          <w:rFonts w:ascii="Arial" w:cs="Arial" w:eastAsia="Arial" w:hAnsi="Arial"/>
          <w:sz w:val="18"/>
          <w:szCs w:val="18"/>
          <w:color w:val="auto"/>
        </w:rPr>
        <w:t>We intend to seek a target in the cannabis space that not only has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position, but also has the underlying infrastructure and operations to build a public platform;</w:t>
      </w:r>
    </w:p>
    <w:p>
      <w:pPr>
        <w:spacing w:after="0" w:line="161" w:lineRule="exact"/>
        <w:rPr>
          <w:rFonts w:ascii="Arial" w:cs="Arial" w:eastAsia="Arial" w:hAnsi="Arial"/>
          <w:sz w:val="18"/>
          <w:szCs w:val="18"/>
          <w:color w:val="auto"/>
        </w:rPr>
      </w:pPr>
    </w:p>
    <w:p>
      <w:pPr>
        <w:ind w:left="660" w:right="260" w:hanging="328"/>
        <w:spacing w:after="0" w:line="28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have durable competitive advantages that are differentiated in the sector. </w:t>
      </w:r>
      <w:r>
        <w:rPr>
          <w:rFonts w:ascii="Arial" w:cs="Arial" w:eastAsia="Arial" w:hAnsi="Arial"/>
          <w:sz w:val="18"/>
          <w:szCs w:val="18"/>
          <w:color w:val="auto"/>
        </w:rPr>
        <w:t>We intend to acquire an asset that not only benefits from secular</w:t>
      </w:r>
      <w:r>
        <w:rPr>
          <w:rFonts w:ascii="Arial" w:cs="Arial" w:eastAsia="Arial" w:hAnsi="Arial"/>
          <w:sz w:val="18"/>
          <w:szCs w:val="18"/>
          <w:b w:val="1"/>
          <w:bCs w:val="1"/>
          <w:color w:val="auto"/>
        </w:rPr>
        <w:t xml:space="preserve"> </w:t>
      </w:r>
      <w:r>
        <w:rPr>
          <w:rFonts w:ascii="Arial" w:cs="Arial" w:eastAsia="Arial" w:hAnsi="Arial"/>
          <w:sz w:val="18"/>
          <w:szCs w:val="18"/>
          <w:color w:val="auto"/>
        </w:rPr>
        <w:t>tailwinds in the industry, but also exhibit hard-to-replicate competitive advantages amongst its peers;</w:t>
      </w:r>
    </w:p>
    <w:p>
      <w:pPr>
        <w:spacing w:after="0" w:line="161" w:lineRule="exact"/>
        <w:rPr>
          <w:rFonts w:ascii="Arial" w:cs="Arial" w:eastAsia="Arial" w:hAnsi="Arial"/>
          <w:sz w:val="18"/>
          <w:szCs w:val="18"/>
          <w:color w:val="auto"/>
        </w:rPr>
      </w:pPr>
    </w:p>
    <w:p>
      <w:pPr>
        <w:ind w:left="660" w:right="300" w:hanging="328"/>
        <w:spacing w:after="0" w:line="26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are fundamentally sound with consistent operational performance and free cash flow generation. </w:t>
      </w:r>
      <w:r>
        <w:rPr>
          <w:rFonts w:ascii="Arial" w:cs="Arial" w:eastAsia="Arial" w:hAnsi="Arial"/>
          <w:sz w:val="18"/>
          <w:szCs w:val="18"/>
          <w:color w:val="auto"/>
        </w:rPr>
        <w:t>We expect to target a business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historically exhibited profitability and strong cash flow generation. Our management team has a proven track record accelerating growth of companies with strong past performance;</w:t>
      </w:r>
    </w:p>
    <w:p>
      <w:pPr>
        <w:spacing w:after="0" w:line="175" w:lineRule="exact"/>
        <w:rPr>
          <w:rFonts w:ascii="Arial" w:cs="Arial" w:eastAsia="Arial" w:hAnsi="Arial"/>
          <w:sz w:val="18"/>
          <w:szCs w:val="18"/>
          <w:color w:val="auto"/>
        </w:rPr>
      </w:pPr>
    </w:p>
    <w:p>
      <w:pPr>
        <w:ind w:left="660" w:right="400" w:hanging="328"/>
        <w:spacing w:after="0" w:line="312"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are at an inflection point, such as requiring additional capital to achieve a growth strategy. </w:t>
      </w:r>
      <w:r>
        <w:rPr>
          <w:rFonts w:ascii="Arial" w:cs="Arial" w:eastAsia="Arial" w:hAnsi="Arial"/>
          <w:sz w:val="17"/>
          <w:szCs w:val="17"/>
          <w:color w:val="auto"/>
        </w:rPr>
        <w:t>We intend to look for targets that have clear</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opportunities for long-term sustainable growth, but which require our capital or expertise to achieve a growth strategy;</w:t>
      </w:r>
    </w:p>
    <w:p>
      <w:pPr>
        <w:spacing w:after="0" w:line="139" w:lineRule="exact"/>
        <w:rPr>
          <w:rFonts w:ascii="Arial" w:cs="Arial" w:eastAsia="Arial" w:hAnsi="Arial"/>
          <w:sz w:val="17"/>
          <w:szCs w:val="17"/>
          <w:color w:val="auto"/>
        </w:rPr>
      </w:pPr>
    </w:p>
    <w:p>
      <w:pPr>
        <w:ind w:left="660" w:right="40" w:hanging="328"/>
        <w:spacing w:after="0" w:line="261"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have the potential to further improve their performance under our ownership. </w:t>
      </w:r>
      <w:r>
        <w:rPr>
          <w:rFonts w:ascii="Arial" w:cs="Arial" w:eastAsia="Arial" w:hAnsi="Arial"/>
          <w:sz w:val="18"/>
          <w:szCs w:val="18"/>
          <w:color w:val="auto"/>
        </w:rPr>
        <w:t>We intend to seek targets where we believe we can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179" w:lineRule="exact"/>
        <w:rPr>
          <w:rFonts w:ascii="Arial" w:cs="Arial" w:eastAsia="Arial" w:hAnsi="Arial"/>
          <w:sz w:val="18"/>
          <w:szCs w:val="18"/>
          <w:color w:val="auto"/>
        </w:rPr>
      </w:pPr>
    </w:p>
    <w:p>
      <w:pPr>
        <w:ind w:left="660" w:right="520" w:hanging="328"/>
        <w:spacing w:after="0" w:line="34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may benefit from capital markets access. </w:t>
      </w:r>
      <w:r>
        <w:rPr>
          <w:rFonts w:ascii="Arial" w:cs="Arial" w:eastAsia="Arial" w:hAnsi="Arial"/>
          <w:sz w:val="16"/>
          <w:szCs w:val="16"/>
          <w:color w:val="auto"/>
        </w:rPr>
        <w:t>We intend to seek a target that may benefit from being, or has the potential to become, a public</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an increased public profile, enhanced corporate governance and increased access to a more diversified pool of capital; and</w:t>
      </w:r>
    </w:p>
    <w:p>
      <w:pPr>
        <w:spacing w:after="0" w:line="115" w:lineRule="exact"/>
        <w:rPr>
          <w:rFonts w:ascii="Arial" w:cs="Arial" w:eastAsia="Arial" w:hAnsi="Arial"/>
          <w:sz w:val="16"/>
          <w:szCs w:val="16"/>
          <w:color w:val="auto"/>
        </w:rPr>
      </w:pPr>
    </w:p>
    <w:p>
      <w:pPr>
        <w:ind w:left="660" w:right="860" w:hanging="328"/>
        <w:spacing w:after="0" w:line="28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exhibit unrecognized value and desirable returns on capital. </w:t>
      </w:r>
      <w:r>
        <w:rPr>
          <w:rFonts w:ascii="Arial" w:cs="Arial" w:eastAsia="Arial" w:hAnsi="Arial"/>
          <w:sz w:val="18"/>
          <w:szCs w:val="18"/>
          <w:color w:val="auto"/>
        </w:rPr>
        <w:t>We will look for targets that we believe have been undervalued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based on our analysis and due diligence review.</w:t>
      </w:r>
    </w:p>
    <w:p>
      <w:pPr>
        <w:spacing w:after="0" w:line="16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prospectus, would be in the form of proxy solicitation or tender offer materials that we would file with the SEC.</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6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a Cayman Islands exempted company incorporated on June 7, 2019. Our executive offices are located at 1114 6th Ave, 41st Floor New York, New York, 10036 and our telephone number is (212) 905-4923.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our structure will make us an attractive business combination partner to target businesses. As an existing public company, we offer target businesses an alternative to the traditional initial public offering through a merger, amalgamation, share exchange, asset acquisition, share purchase, reorganization or similar business combination. In this situation, the owners of the target business would exchange their shares or shares of stock in the target business for our shares or for a combination of our shares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incurred in marketing, road show and public reporting efforts that may not be present to the same extent in connection with a business combination with us.</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shareholders’ interests. It can offer further benefits by augmenting a company’s profile among potential new customers and vendors and aid in attracting talented employees.</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w:t>
      </w:r>
    </w:p>
    <w:p>
      <w:pPr>
        <w:ind w:right="140" w:firstLine="8"/>
        <w:spacing w:after="0" w:line="255"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With funds available for a business combination initially in the amount of $241,250,000 assuming no redemptions and after payment of $8,750,000 of deferred underwriting fees (or $277,437,500 assuming no redemptions and after payment of up to $10,062,500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sale of the private placement warrants,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case of an initial business combination funded with assets other than the trust account assets, our tender offer documents or proxy materials disclosing the business combination would disclose the terms of the financing and, only if required by law or we decide to do so for business or other reasons, we would seek shareholder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6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6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71" w:lineRule="exact"/>
        <w:rPr>
          <w:sz w:val="20"/>
          <w:szCs w:val="20"/>
          <w:color w:val="auto"/>
        </w:rPr>
      </w:pPr>
    </w:p>
    <w:p>
      <w:pPr>
        <w:ind w:left="660" w:right="4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7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Under Nasdaq’s listing rules, shareholder approval would be required for our initial business combination if, for example:</w:t>
      </w:r>
    </w:p>
    <w:p>
      <w:pPr>
        <w:spacing w:after="0" w:line="225" w:lineRule="exact"/>
        <w:rPr>
          <w:sz w:val="20"/>
          <w:szCs w:val="20"/>
          <w:color w:val="auto"/>
        </w:rPr>
      </w:pPr>
    </w:p>
    <w:p>
      <w:pPr>
        <w:ind w:left="660" w:right="1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shares or voting power of our ordinary shares then issued and outstanding (other than in a public offering);</w:t>
      </w:r>
    </w:p>
    <w:p>
      <w:pPr>
        <w:spacing w:after="0" w:line="170" w:lineRule="exact"/>
        <w:rPr>
          <w:rFonts w:ascii="Arial" w:cs="Arial" w:eastAsia="Arial" w:hAnsi="Arial"/>
          <w:sz w:val="18"/>
          <w:szCs w:val="18"/>
          <w:color w:val="auto"/>
        </w:rPr>
      </w:pPr>
    </w:p>
    <w:p>
      <w:pPr>
        <w:ind w:left="660" w:right="320" w:hanging="328"/>
        <w:spacing w:after="0" w:line="31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common shares or voting power of 5% or more; or</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Companies Law and Cayman Islands law do not currently require, and we are not aware of any other applicable law that will require, shareholder approval of our initial business combination.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the event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Subsequent to the consummation of this offering, we will adopt an insider trading policy which will require insiders to (1) refrain from purchasing securities during certain blackout periods and when they are in possession of any material non-public information and (2) to clear certain trades prior to execution. We cannot currently determine whether our insiders will make such purchases pursuant to a Rule 10b5-1 plan,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event that our sponsor, directors, officers, advisors or any of their affiliates purchase public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purpose of such purchases could be to (1) vote such shares in favor of the business combination and thereby increase the likelihood of obtaining shareholder approval of our initial business combination or (2)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sponsor, officers, directors, advisors and/or any of their affiliates anticipate that they may identify the shareholders with whom our sponsor, officers, directors, advisors or any of their affiliates may pursue privately negotiated purchases by either the shareholders contacting us directly or by our receipt of redemption requests submitted by shareholders following our mailing of proxy materials in connection with our initial business combination. To the extent that our sponsor, officers, directors, advisors or any of their affiliates enter into a private purchase, they would identify and contact only potential selling shareholders who have expressed their election to redeem their shares for a pro rata share of the trust account or vote against our initial business combination. Such persons would select the shareholders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shareholder would receive if it elected to redeem its shares in connection with our initial business combination. Our sponsor, officers, directors, advisors or any of their affiliates will purchase shares only if such purchases comply with Regulation M under the Exchange Act and the other federal securities laws.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Any purchases by our sponsor, officers, directors and/or any of their affiliates who are affiliated purchasers under Rule 10b-18 under the Exchange Act will be made only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affiliates will be restricted from making purchases of ordinary shares if such purchases would violate Section 9(a)(2) or Rule 10b-5 of the Exchange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Conducting Redemptions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1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25"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146" w:lineRule="exact"/>
        <w:rPr>
          <w:sz w:val="20"/>
          <w:szCs w:val="20"/>
          <w:color w:val="auto"/>
        </w:rPr>
      </w:pPr>
    </w:p>
    <w:p>
      <w:pPr>
        <w:ind w:left="660" w:right="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amended and restated memorandum and articles of association will provide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combination or redeem any shares in connection therewith, and all public shares submitted for redemption will be returned to the holders thereof.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18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19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24 months from the closing of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sponsor, officers and directors have agreed that we will have only 24 months from the closing of this offering to complete our initial business combination. If we are unable to complete our initial business combination within such 24-month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24 months from the closing of this offering. However, if our initial shareholders acquire public shares, they will be entitled to liquidating distributions from the trust account with respect to such public shares if we fail to complete our initial business combination within the allotted 24-month time frame.</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9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w:t>
      </w:r>
    </w:p>
    <w:p>
      <w:pPr>
        <w:spacing w:after="0" w:line="11" w:lineRule="exact"/>
        <w:rPr>
          <w:sz w:val="20"/>
          <w:szCs w:val="20"/>
          <w:color w:val="auto"/>
        </w:rPr>
      </w:pPr>
    </w:p>
    <w:p>
      <w:pPr>
        <w:ind w:firstLine="8"/>
        <w:spacing w:after="0" w:line="287" w:lineRule="auto"/>
        <w:tabs>
          <w:tab w:leader="none" w:pos="2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18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$1,000,000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we will be able to return $10.00 per share to our public shareholders. Additionally, if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amended and restated memorandum and articles of association will contain certain requirements and restrictions relating to this offering that will apply to us until the completion of our initial business combination. Our amended and restated memorandum and articles of association contains a provision which provides that, if we seek to amend our amended and restated memorandum and articles of association (A) to modify the substance or timing of our obligation to redeem 100% of our public shares if we do not complete our initial business combination within 24 months from the closing of this offering or</w:t>
      </w:r>
    </w:p>
    <w:p>
      <w:pPr>
        <w:spacing w:after="0" w:line="1" w:lineRule="exact"/>
        <w:rPr>
          <w:sz w:val="20"/>
          <w:szCs w:val="20"/>
          <w:color w:val="auto"/>
        </w:rPr>
      </w:pPr>
    </w:p>
    <w:p>
      <w:pPr>
        <w:jc w:val="both"/>
        <w:ind w:right="40" w:firstLine="8"/>
        <w:spacing w:after="0" w:line="255" w:lineRule="auto"/>
        <w:tabs>
          <w:tab w:leader="none" w:pos="2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any other provision relating to shareholders’ rights or pre-initial business combination activity, we will provide public shareholders with the opportunity to redeem their public shares in connection with any such amendment. Specifically, our amended and restated memorandum and articles of association will provide, among other things, that: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20" w:hanging="328"/>
        <w:spacing w:after="0" w:line="291"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prior to the completion of our initial business combination, we shall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p>
      <w:pPr>
        <w:spacing w:after="0" w:line="166" w:lineRule="exact"/>
        <w:rPr>
          <w:rFonts w:ascii="Arial" w:cs="Arial" w:eastAsia="Arial" w:hAnsi="Arial"/>
          <w:sz w:val="16"/>
          <w:szCs w:val="16"/>
          <w:color w:val="auto"/>
        </w:rPr>
      </w:pPr>
    </w:p>
    <w:p>
      <w:pPr>
        <w:ind w:left="660" w:right="4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after payment of the deferred underwriting commissions, of at least $5,000,001 upon completion of our initial business combination and, solely if we seek shareholder approval, a majority of the issued and outstanding ordinary shares voted are voted in favor of the business combination;</w:t>
      </w:r>
    </w:p>
    <w:p>
      <w:pPr>
        <w:spacing w:after="0" w:line="18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from the closing of this offering, then our existence will terminate and we will distribute all amounts in the trust account; and</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provisions cannot be amended without the approval of holders of at least two-thirds of our ordinary shares. In the event we seek shareholder approval in connection with our initial business combination, our amended and restated memorandum and articles of association will provide that we may consummate our initial business combination only if approved by a majority of the ordinary shares voted by our shareholders at a duly held shareholders meeting.</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our amended and restated memorandum and articles of association provides that, prior to our initial business combination, only holders of our founder shares will have the right to vote on the election of directors and that holders of a majority of our founder shares may remove a member of the board of directors for any reason. These provisions of our amended and restated memorandum and articles of association may only be amended by a special resolution passed by at least 90% of our ordinary shares voting in a general meeting.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240"/>
          </w:cols>
          <w:pgMar w:left="320" w:top="225" w:right="339" w:bottom="1440" w:gutter="0" w:footer="0" w:header="0"/>
        </w:sectPr>
      </w:pP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Arial" w:cs="Arial" w:eastAsia="Arial" w:hAnsi="Arial"/>
                <w:sz w:val="18"/>
                <w:szCs w:val="18"/>
                <w:b w:val="1"/>
                <w:bCs w:val="1"/>
                <w:color w:val="auto"/>
                <w:w w:val="92"/>
              </w:rPr>
              <w:t>Redemptions in Connection with</w:t>
            </w: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Other Permitted Purchases of</w:t>
            </w:r>
          </w:p>
        </w:tc>
      </w:tr>
      <w:tr>
        <w:trPr>
          <w:trHeight w:val="234"/>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our Initial Business Combination</w:t>
            </w:r>
          </w:p>
        </w:tc>
        <w:tc>
          <w:tcPr>
            <w:tcW w:w="8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 Shares by our Affiliates</w:t>
            </w:r>
          </w:p>
        </w:tc>
      </w:tr>
      <w:tr>
        <w:trPr>
          <w:trHeight w:val="276"/>
        </w:trPr>
        <w:tc>
          <w:tcPr>
            <w:tcW w:w="2640" w:type="dxa"/>
            <w:vAlign w:val="bottom"/>
          </w:tcPr>
          <w:p>
            <w:pPr>
              <w:spacing w:after="0"/>
              <w:rPr>
                <w:sz w:val="20"/>
                <w:szCs w:val="20"/>
                <w:color w:val="auto"/>
              </w:rPr>
            </w:pPr>
            <w:r>
              <w:rPr>
                <w:rFonts w:ascii="Arial" w:cs="Arial" w:eastAsia="Arial" w:hAnsi="Arial"/>
                <w:sz w:val="18"/>
                <w:szCs w:val="18"/>
                <w:b w:val="1"/>
                <w:bCs w:val="1"/>
                <w:color w:val="auto"/>
                <w:w w:val="96"/>
              </w:rPr>
              <w:t>Calculation of redemption price</w:t>
            </w: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w w:val="92"/>
              </w:rPr>
              <w:t>Redemptions at the time of our initial</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w w:val="98"/>
              </w:rPr>
              <w:t>If we seek shareholder approval of</w:t>
            </w:r>
          </w:p>
        </w:tc>
      </w:tr>
      <w:tr>
        <w:trPr>
          <w:trHeight w:val="216"/>
        </w:trPr>
        <w:tc>
          <w:tcPr>
            <w:tcW w:w="264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w w:val="94"/>
              </w:rPr>
              <w:t>business combination may be made</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w w:val="95"/>
              </w:rPr>
              <w:t>our initial business combination, our</w:t>
            </w:r>
          </w:p>
        </w:tc>
      </w:tr>
      <w:tr>
        <w:trPr>
          <w:trHeight w:val="216"/>
        </w:trPr>
        <w:tc>
          <w:tcPr>
            <w:tcW w:w="264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pursuant to a tender offer or in</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w w:val="94"/>
              </w:rPr>
              <w:t>sponsor, directors, officers, advisors</w:t>
            </w:r>
          </w:p>
        </w:tc>
      </w:tr>
      <w:tr>
        <w:trPr>
          <w:trHeight w:val="216"/>
        </w:trPr>
        <w:tc>
          <w:tcPr>
            <w:tcW w:w="264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w w:val="95"/>
              </w:rPr>
              <w:t>connection with a shareholder vote.</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or any of their affiliates may</w:t>
            </w:r>
          </w:p>
        </w:tc>
      </w:tr>
      <w:tr>
        <w:trPr>
          <w:trHeight w:val="216"/>
        </w:trPr>
        <w:tc>
          <w:tcPr>
            <w:tcW w:w="2640" w:type="dxa"/>
            <w:vAlign w:val="bottom"/>
          </w:tcPr>
          <w:p>
            <w:pPr>
              <w:spacing w:after="0"/>
              <w:rPr>
                <w:sz w:val="18"/>
                <w:szCs w:val="18"/>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The redemption price will be the</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purchase shares in privately</w:t>
            </w:r>
          </w:p>
        </w:tc>
      </w:tr>
      <w:tr>
        <w:trPr>
          <w:trHeight w:val="230"/>
        </w:trPr>
        <w:tc>
          <w:tcPr>
            <w:tcW w:w="2640" w:type="dxa"/>
            <w:vAlign w:val="bottom"/>
          </w:tcPr>
          <w:p>
            <w:pPr>
              <w:spacing w:after="0"/>
              <w:rPr>
                <w:sz w:val="20"/>
                <w:szCs w:val="20"/>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rPr>
              <w:t>same whether we</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negotiated transactions or</w:t>
            </w:r>
          </w:p>
        </w:tc>
      </w:tr>
      <w:tr>
        <w:trPr>
          <w:trHeight w:val="365"/>
        </w:trPr>
        <w:tc>
          <w:tcPr>
            <w:tcW w:w="2640" w:type="dxa"/>
            <w:vAlign w:val="bottom"/>
          </w:tcPr>
          <w:p>
            <w:pPr>
              <w:spacing w:after="0"/>
              <w:rPr>
                <w:sz w:val="24"/>
                <w:szCs w:val="24"/>
                <w:color w:val="auto"/>
              </w:rPr>
            </w:pPr>
          </w:p>
        </w:tc>
        <w:tc>
          <w:tcPr>
            <w:tcW w:w="5720" w:type="dxa"/>
            <w:vAlign w:val="bottom"/>
            <w:gridSpan w:val="4"/>
          </w:tcPr>
          <w:p>
            <w:pPr>
              <w:ind w:left="2860"/>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60"/>
        <w:spacing w:after="0" w:line="346" w:lineRule="auto"/>
        <w:rPr>
          <w:sz w:val="20"/>
          <w:szCs w:val="20"/>
          <w:color w:val="auto"/>
        </w:rPr>
      </w:pPr>
      <w:r>
        <w:rPr>
          <w:rFonts w:ascii="Arial" w:cs="Arial" w:eastAsia="Arial" w:hAnsi="Arial"/>
          <w:sz w:val="16"/>
          <w:szCs w:val="16"/>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1731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ind w:right="60"/>
        <w:spacing w:after="0" w:line="255" w:lineRule="auto"/>
        <w:rPr>
          <w:sz w:val="20"/>
          <w:szCs w:val="20"/>
          <w:color w:val="auto"/>
        </w:rPr>
      </w:pPr>
      <w:r>
        <w:rPr>
          <w:rFonts w:ascii="Arial" w:cs="Arial" w:eastAsia="Arial" w:hAnsi="Arial"/>
          <w:sz w:val="18"/>
          <w:szCs w:val="18"/>
          <w:color w:val="auto"/>
        </w:rPr>
        <w:t>If we are unable to complete our initial business combination within 24 months from the closing of this offering, we will redeem all public shares at a per-share price, payable in cash, equal to</w:t>
      </w:r>
    </w:p>
    <w:p>
      <w:pPr>
        <w:sectPr>
          <w:pgSz w:w="11900" w:h="16838" w:orient="portrait"/>
          <w:cols w:equalWidth="0" w:num="2">
            <w:col w:w="8400" w:space="80"/>
            <w:col w:w="2760"/>
          </w:cols>
          <w:pgMar w:left="320" w:top="225" w:right="339" w:bottom="1440" w:gutter="0" w:footer="0" w:header="0"/>
          <w:type w:val="continuous"/>
        </w:sectPr>
      </w:pPr>
    </w:p>
    <w:bookmarkStart w:id="98" w:name="page99"/>
    <w:bookmarkEnd w:id="9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9"/>
              </w:rPr>
              <w:t>Redemptions in Connection with our</w:t>
            </w: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Other Permitted Purchases of</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Redemptions if we fail to Complete</w:t>
            </w:r>
          </w:p>
        </w:tc>
      </w:tr>
      <w:tr>
        <w:trPr>
          <w:trHeight w:val="23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Initial Business Combination</w:t>
            </w:r>
          </w:p>
        </w:tc>
        <w:tc>
          <w:tcPr>
            <w:tcW w:w="8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Public Shares by our Affiliates</w:t>
            </w:r>
          </w:p>
        </w:tc>
        <w:tc>
          <w:tcPr>
            <w:tcW w:w="8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 Initial Business Combination</w:t>
            </w:r>
          </w:p>
        </w:tc>
      </w:tr>
    </w:tbl>
    <w:p>
      <w:pPr>
        <w:spacing w:after="0" w:line="67" w:lineRule="exact"/>
        <w:rPr>
          <w:sz w:val="20"/>
          <w:szCs w:val="20"/>
          <w:color w:val="auto"/>
        </w:rPr>
      </w:pPr>
    </w:p>
    <w:p>
      <w:pPr>
        <w:sectPr>
          <w:pgSz w:w="11900" w:h="16838" w:orient="portrait"/>
          <w:cols w:equalWidth="0" w:num="1">
            <w:col w:w="11200"/>
          </w:cols>
          <w:pgMar w:left="320" w:top="225" w:right="379" w:bottom="1440" w:gutter="0" w:footer="0" w:header="0"/>
        </w:sectPr>
      </w:pPr>
    </w:p>
    <w:tbl>
      <w:tblPr>
        <w:tblLayout w:type="fixed"/>
        <w:tblInd w:w="4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conduct redemptions pursuant to a</w:t>
            </w:r>
          </w:p>
        </w:tc>
        <w:tc>
          <w:tcPr>
            <w:tcW w:w="2760" w:type="dxa"/>
            <w:vAlign w:val="bottom"/>
          </w:tcPr>
          <w:p>
            <w:pPr>
              <w:ind w:left="60"/>
              <w:spacing w:after="0"/>
              <w:rPr>
                <w:sz w:val="20"/>
                <w:szCs w:val="20"/>
                <w:color w:val="auto"/>
              </w:rPr>
            </w:pPr>
            <w:r>
              <w:rPr>
                <w:rFonts w:ascii="Arial" w:cs="Arial" w:eastAsia="Arial" w:hAnsi="Arial"/>
                <w:sz w:val="18"/>
                <w:szCs w:val="18"/>
                <w:color w:val="auto"/>
                <w:w w:val="95"/>
              </w:rPr>
              <w:t>in the open market either prior to or</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tender offer or in connection with a</w:t>
            </w:r>
          </w:p>
        </w:tc>
        <w:tc>
          <w:tcPr>
            <w:tcW w:w="2760" w:type="dxa"/>
            <w:vAlign w:val="bottom"/>
          </w:tcPr>
          <w:p>
            <w:pPr>
              <w:ind w:left="60"/>
              <w:spacing w:after="0"/>
              <w:rPr>
                <w:sz w:val="20"/>
                <w:szCs w:val="20"/>
                <w:color w:val="auto"/>
              </w:rPr>
            </w:pPr>
            <w:r>
              <w:rPr>
                <w:rFonts w:ascii="Arial" w:cs="Arial" w:eastAsia="Arial" w:hAnsi="Arial"/>
                <w:sz w:val="18"/>
                <w:szCs w:val="18"/>
                <w:color w:val="auto"/>
              </w:rPr>
              <w:t>following the completion of our</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shareholder vote. In either case, our</w:t>
            </w:r>
          </w:p>
        </w:tc>
        <w:tc>
          <w:tcPr>
            <w:tcW w:w="2760" w:type="dxa"/>
            <w:vAlign w:val="bottom"/>
          </w:tcPr>
          <w:p>
            <w:pPr>
              <w:ind w:left="60"/>
              <w:spacing w:after="0"/>
              <w:rPr>
                <w:sz w:val="20"/>
                <w:szCs w:val="20"/>
                <w:color w:val="auto"/>
              </w:rPr>
            </w:pPr>
            <w:r>
              <w:rPr>
                <w:rFonts w:ascii="Arial" w:cs="Arial" w:eastAsia="Arial" w:hAnsi="Arial"/>
                <w:sz w:val="18"/>
                <w:szCs w:val="18"/>
                <w:color w:val="auto"/>
                <w:w w:val="99"/>
              </w:rPr>
              <w:t>initial business combination. Such</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7"/>
              </w:rPr>
              <w:t>public shareholders may redeem their</w:t>
            </w:r>
          </w:p>
        </w:tc>
        <w:tc>
          <w:tcPr>
            <w:tcW w:w="2760" w:type="dxa"/>
            <w:vAlign w:val="bottom"/>
          </w:tcPr>
          <w:p>
            <w:pPr>
              <w:ind w:left="60"/>
              <w:spacing w:after="0"/>
              <w:rPr>
                <w:sz w:val="20"/>
                <w:szCs w:val="20"/>
                <w:color w:val="auto"/>
              </w:rPr>
            </w:pPr>
            <w:r>
              <w:rPr>
                <w:rFonts w:ascii="Arial" w:cs="Arial" w:eastAsia="Arial" w:hAnsi="Arial"/>
                <w:sz w:val="18"/>
                <w:szCs w:val="18"/>
                <w:color w:val="auto"/>
                <w:w w:val="95"/>
              </w:rPr>
              <w:t>purchases will be prohibited except</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public shares for cash equal to the</w:t>
            </w:r>
          </w:p>
        </w:tc>
        <w:tc>
          <w:tcPr>
            <w:tcW w:w="2760" w:type="dxa"/>
            <w:vAlign w:val="bottom"/>
          </w:tcPr>
          <w:p>
            <w:pPr>
              <w:ind w:left="60"/>
              <w:spacing w:after="0"/>
              <w:rPr>
                <w:sz w:val="20"/>
                <w:szCs w:val="20"/>
                <w:color w:val="auto"/>
              </w:rPr>
            </w:pPr>
            <w:r>
              <w:rPr>
                <w:rFonts w:ascii="Arial" w:cs="Arial" w:eastAsia="Arial" w:hAnsi="Arial"/>
                <w:sz w:val="18"/>
                <w:szCs w:val="18"/>
                <w:color w:val="auto"/>
                <w:w w:val="88"/>
              </w:rPr>
              <w:t>to the extent they are able to be made</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0"/>
              </w:rPr>
              <w:t>aggregate amount then on deposit in the</w:t>
            </w:r>
          </w:p>
        </w:tc>
        <w:tc>
          <w:tcPr>
            <w:tcW w:w="2760" w:type="dxa"/>
            <w:vAlign w:val="bottom"/>
          </w:tcPr>
          <w:p>
            <w:pPr>
              <w:ind w:left="60"/>
              <w:spacing w:after="0"/>
              <w:rPr>
                <w:sz w:val="20"/>
                <w:szCs w:val="20"/>
                <w:color w:val="auto"/>
              </w:rPr>
            </w:pPr>
            <w:r>
              <w:rPr>
                <w:rFonts w:ascii="Arial" w:cs="Arial" w:eastAsia="Arial" w:hAnsi="Arial"/>
                <w:sz w:val="18"/>
                <w:szCs w:val="18"/>
                <w:color w:val="auto"/>
              </w:rPr>
              <w:t>in compliance with Rule 10b-18,</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8"/>
              </w:rPr>
              <w:t>trust account as of two business days</w:t>
            </w:r>
          </w:p>
        </w:tc>
        <w:tc>
          <w:tcPr>
            <w:tcW w:w="2760" w:type="dxa"/>
            <w:vAlign w:val="bottom"/>
          </w:tcPr>
          <w:p>
            <w:pPr>
              <w:ind w:left="60"/>
              <w:spacing w:after="0"/>
              <w:rPr>
                <w:sz w:val="20"/>
                <w:szCs w:val="20"/>
                <w:color w:val="auto"/>
              </w:rPr>
            </w:pPr>
            <w:r>
              <w:rPr>
                <w:rFonts w:ascii="Arial" w:cs="Arial" w:eastAsia="Arial" w:hAnsi="Arial"/>
                <w:sz w:val="18"/>
                <w:szCs w:val="18"/>
                <w:color w:val="auto"/>
                <w:w w:val="97"/>
              </w:rPr>
              <w:t>which is a safe harbor from liability</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6"/>
              </w:rPr>
              <w:t>prior to the consummation of the initial</w:t>
            </w:r>
          </w:p>
        </w:tc>
        <w:tc>
          <w:tcPr>
            <w:tcW w:w="2760" w:type="dxa"/>
            <w:vAlign w:val="bottom"/>
          </w:tcPr>
          <w:p>
            <w:pPr>
              <w:ind w:left="60"/>
              <w:spacing w:after="0"/>
              <w:rPr>
                <w:sz w:val="20"/>
                <w:szCs w:val="20"/>
                <w:color w:val="auto"/>
              </w:rPr>
            </w:pPr>
            <w:r>
              <w:rPr>
                <w:rFonts w:ascii="Arial" w:cs="Arial" w:eastAsia="Arial" w:hAnsi="Arial"/>
                <w:sz w:val="18"/>
                <w:szCs w:val="18"/>
                <w:color w:val="auto"/>
                <w:w w:val="95"/>
              </w:rPr>
              <w:t>for manipulation under Section 9(a)</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5"/>
              </w:rPr>
              <w:t>business combination (which is initially</w:t>
            </w:r>
          </w:p>
        </w:tc>
        <w:tc>
          <w:tcPr>
            <w:tcW w:w="2760" w:type="dxa"/>
            <w:vAlign w:val="bottom"/>
          </w:tcPr>
          <w:p>
            <w:pPr>
              <w:ind w:left="60"/>
              <w:spacing w:after="0"/>
              <w:rPr>
                <w:sz w:val="20"/>
                <w:szCs w:val="20"/>
                <w:color w:val="auto"/>
              </w:rPr>
            </w:pPr>
            <w:r>
              <w:rPr>
                <w:rFonts w:ascii="Arial" w:cs="Arial" w:eastAsia="Arial" w:hAnsi="Arial"/>
                <w:sz w:val="18"/>
                <w:szCs w:val="18"/>
                <w:color w:val="auto"/>
                <w:w w:val="93"/>
              </w:rPr>
              <w:t>(2) and Rule 10b-5 of the Exchange</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anticipated to be $10.00 per share),</w:t>
            </w:r>
          </w:p>
        </w:tc>
        <w:tc>
          <w:tcPr>
            <w:tcW w:w="2760" w:type="dxa"/>
            <w:vAlign w:val="bottom"/>
          </w:tcPr>
          <w:p>
            <w:pPr>
              <w:ind w:left="60"/>
              <w:spacing w:after="0"/>
              <w:rPr>
                <w:sz w:val="20"/>
                <w:szCs w:val="20"/>
                <w:color w:val="auto"/>
              </w:rPr>
            </w:pPr>
            <w:r>
              <w:rPr>
                <w:rFonts w:ascii="Arial" w:cs="Arial" w:eastAsia="Arial" w:hAnsi="Arial"/>
                <w:sz w:val="18"/>
                <w:szCs w:val="18"/>
                <w:color w:val="auto"/>
              </w:rPr>
              <w:t>Act. None of the funds in the trust</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8"/>
              </w:rPr>
              <w:t>including interest (which interest shall</w:t>
            </w:r>
          </w:p>
        </w:tc>
        <w:tc>
          <w:tcPr>
            <w:tcW w:w="2760" w:type="dxa"/>
            <w:vAlign w:val="bottom"/>
          </w:tcPr>
          <w:p>
            <w:pPr>
              <w:ind w:left="60"/>
              <w:spacing w:after="0"/>
              <w:rPr>
                <w:sz w:val="20"/>
                <w:szCs w:val="20"/>
                <w:color w:val="auto"/>
              </w:rPr>
            </w:pPr>
            <w:r>
              <w:rPr>
                <w:rFonts w:ascii="Arial" w:cs="Arial" w:eastAsia="Arial" w:hAnsi="Arial"/>
                <w:sz w:val="18"/>
                <w:szCs w:val="18"/>
                <w:color w:val="auto"/>
              </w:rPr>
              <w:t>account will be used to purchase</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3"/>
              </w:rPr>
              <w:t>be net of taxes payable), divided by the</w:t>
            </w:r>
          </w:p>
        </w:tc>
        <w:tc>
          <w:tcPr>
            <w:tcW w:w="2760" w:type="dxa"/>
            <w:vAlign w:val="bottom"/>
          </w:tcPr>
          <w:p>
            <w:pPr>
              <w:ind w:left="60"/>
              <w:spacing w:after="0"/>
              <w:rPr>
                <w:sz w:val="20"/>
                <w:szCs w:val="20"/>
                <w:color w:val="auto"/>
              </w:rPr>
            </w:pPr>
            <w:r>
              <w:rPr>
                <w:rFonts w:ascii="Arial" w:cs="Arial" w:eastAsia="Arial" w:hAnsi="Arial"/>
                <w:sz w:val="18"/>
                <w:szCs w:val="18"/>
                <w:color w:val="auto"/>
              </w:rPr>
              <w:t>shares in such transactions.</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4"/>
              </w:rPr>
              <w:t>number of then issued and outstanding</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8"/>
              </w:rPr>
              <w:t>public shares, subject to the limitation</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3"/>
              </w:rPr>
              <w:t>that no redemptions will take place if all</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3"/>
              </w:rPr>
              <w:t>of the redemptions would cause our net</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tangible assets, after payment of the</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6"/>
              </w:rPr>
              <w:t>deferred underwriting commissions, to</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be less than $5,000,001 upon</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completion of our initial business</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combination and any limitations</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(including, but not limited to, cash</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6"/>
              </w:rPr>
              <w:t>requirements) agreed to in connection</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with the negotiation of terms of a</w:t>
            </w:r>
          </w:p>
        </w:tc>
        <w:tc>
          <w:tcPr>
            <w:tcW w:w="276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proposed business combination.</w:t>
            </w:r>
          </w:p>
        </w:tc>
        <w:tc>
          <w:tcPr>
            <w:tcW w:w="2760" w:type="dxa"/>
            <w:vAlign w:val="bottom"/>
          </w:tcPr>
          <w:p>
            <w:pPr>
              <w:spacing w:after="0"/>
              <w:rPr>
                <w:sz w:val="20"/>
                <w:szCs w:val="20"/>
                <w:color w:val="auto"/>
              </w:rPr>
            </w:pPr>
          </w:p>
        </w:tc>
      </w:tr>
      <w:tr>
        <w:trPr>
          <w:trHeight w:val="279"/>
        </w:trPr>
        <w:tc>
          <w:tcPr>
            <w:tcW w:w="2100" w:type="dxa"/>
            <w:vAlign w:val="bottom"/>
          </w:tcPr>
          <w:p>
            <w:pPr>
              <w:spacing w:after="0"/>
              <w:rPr>
                <w:sz w:val="20"/>
                <w:szCs w:val="20"/>
                <w:color w:val="auto"/>
              </w:rPr>
            </w:pPr>
            <w:r>
              <w:rPr>
                <w:rFonts w:ascii="Arial" w:cs="Arial" w:eastAsia="Arial" w:hAnsi="Arial"/>
                <w:sz w:val="18"/>
                <w:szCs w:val="18"/>
                <w:b w:val="1"/>
                <w:bCs w:val="1"/>
                <w:color w:val="auto"/>
              </w:rPr>
              <w:t>Impact to remaining</w:t>
            </w:r>
          </w:p>
        </w:tc>
        <w:tc>
          <w:tcPr>
            <w:tcW w:w="3460" w:type="dxa"/>
            <w:vAlign w:val="bottom"/>
          </w:tcPr>
          <w:p>
            <w:pPr>
              <w:ind w:left="500"/>
              <w:spacing w:after="0"/>
              <w:rPr>
                <w:sz w:val="20"/>
                <w:szCs w:val="20"/>
                <w:color w:val="auto"/>
              </w:rPr>
            </w:pPr>
            <w:r>
              <w:rPr>
                <w:rFonts w:ascii="Arial" w:cs="Arial" w:eastAsia="Arial" w:hAnsi="Arial"/>
                <w:sz w:val="18"/>
                <w:szCs w:val="18"/>
                <w:color w:val="auto"/>
                <w:w w:val="93"/>
              </w:rPr>
              <w:t>The redemptions in connection with our</w:t>
            </w:r>
          </w:p>
        </w:tc>
        <w:tc>
          <w:tcPr>
            <w:tcW w:w="2760" w:type="dxa"/>
            <w:vAlign w:val="bottom"/>
          </w:tcPr>
          <w:p>
            <w:pPr>
              <w:ind w:left="60"/>
              <w:spacing w:after="0"/>
              <w:rPr>
                <w:sz w:val="20"/>
                <w:szCs w:val="20"/>
                <w:color w:val="auto"/>
              </w:rPr>
            </w:pPr>
            <w:r>
              <w:rPr>
                <w:rFonts w:ascii="Arial" w:cs="Arial" w:eastAsia="Arial" w:hAnsi="Arial"/>
                <w:sz w:val="18"/>
                <w:szCs w:val="18"/>
                <w:color w:val="auto"/>
                <w:w w:val="92"/>
              </w:rPr>
              <w:t>If the permitted purchases described</w:t>
            </w: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3460" w:type="dxa"/>
            <w:vAlign w:val="bottom"/>
          </w:tcPr>
          <w:p>
            <w:pPr>
              <w:ind w:left="500"/>
              <w:spacing w:after="0"/>
              <w:rPr>
                <w:sz w:val="20"/>
                <w:szCs w:val="20"/>
                <w:color w:val="auto"/>
              </w:rPr>
            </w:pPr>
            <w:r>
              <w:rPr>
                <w:rFonts w:ascii="Arial" w:cs="Arial" w:eastAsia="Arial" w:hAnsi="Arial"/>
                <w:sz w:val="18"/>
                <w:szCs w:val="18"/>
                <w:color w:val="auto"/>
                <w:w w:val="95"/>
              </w:rPr>
              <w:t>initial business combination will reduce</w:t>
            </w:r>
          </w:p>
        </w:tc>
        <w:tc>
          <w:tcPr>
            <w:tcW w:w="2760" w:type="dxa"/>
            <w:vAlign w:val="bottom"/>
          </w:tcPr>
          <w:p>
            <w:pPr>
              <w:ind w:left="60"/>
              <w:spacing w:after="0"/>
              <w:rPr>
                <w:sz w:val="20"/>
                <w:szCs w:val="20"/>
                <w:color w:val="auto"/>
              </w:rPr>
            </w:pPr>
            <w:r>
              <w:rPr>
                <w:rFonts w:ascii="Arial" w:cs="Arial" w:eastAsia="Arial" w:hAnsi="Arial"/>
                <w:sz w:val="18"/>
                <w:szCs w:val="18"/>
                <w:color w:val="auto"/>
              </w:rPr>
              <w:t>above are made, there will be no</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the book value per share for our</w:t>
            </w:r>
          </w:p>
        </w:tc>
        <w:tc>
          <w:tcPr>
            <w:tcW w:w="2760" w:type="dxa"/>
            <w:vAlign w:val="bottom"/>
          </w:tcPr>
          <w:p>
            <w:pPr>
              <w:ind w:left="60"/>
              <w:spacing w:after="0"/>
              <w:rPr>
                <w:sz w:val="20"/>
                <w:szCs w:val="20"/>
                <w:color w:val="auto"/>
              </w:rPr>
            </w:pPr>
            <w:r>
              <w:rPr>
                <w:rFonts w:ascii="Arial" w:cs="Arial" w:eastAsia="Arial" w:hAnsi="Arial"/>
                <w:sz w:val="18"/>
                <w:szCs w:val="18"/>
                <w:color w:val="auto"/>
                <w:w w:val="90"/>
              </w:rPr>
              <w:t>impact to our remaining shareholders</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7"/>
              </w:rPr>
              <w:t>remaining shareholders, who will bear</w:t>
            </w:r>
          </w:p>
        </w:tc>
        <w:tc>
          <w:tcPr>
            <w:tcW w:w="2760" w:type="dxa"/>
            <w:vAlign w:val="bottom"/>
          </w:tcPr>
          <w:p>
            <w:pPr>
              <w:ind w:left="60"/>
              <w:spacing w:after="0"/>
              <w:rPr>
                <w:sz w:val="20"/>
                <w:szCs w:val="20"/>
                <w:color w:val="auto"/>
              </w:rPr>
            </w:pPr>
            <w:r>
              <w:rPr>
                <w:rFonts w:ascii="Arial" w:cs="Arial" w:eastAsia="Arial" w:hAnsi="Arial"/>
                <w:sz w:val="18"/>
                <w:szCs w:val="18"/>
                <w:color w:val="auto"/>
                <w:w w:val="88"/>
              </w:rPr>
              <w:t>because the purchase price would not</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4"/>
              </w:rPr>
              <w:t>the burden of the deferred underwriting</w:t>
            </w:r>
          </w:p>
        </w:tc>
        <w:tc>
          <w:tcPr>
            <w:tcW w:w="2760" w:type="dxa"/>
            <w:vAlign w:val="bottom"/>
          </w:tcPr>
          <w:p>
            <w:pPr>
              <w:ind w:left="60"/>
              <w:spacing w:after="0"/>
              <w:rPr>
                <w:sz w:val="20"/>
                <w:szCs w:val="20"/>
                <w:color w:val="auto"/>
              </w:rPr>
            </w:pPr>
            <w:r>
              <w:rPr>
                <w:rFonts w:ascii="Arial" w:cs="Arial" w:eastAsia="Arial" w:hAnsi="Arial"/>
                <w:sz w:val="18"/>
                <w:szCs w:val="18"/>
                <w:color w:val="auto"/>
              </w:rPr>
              <w:t>be paid by us.</w:t>
            </w: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5"/>
              </w:rPr>
              <w:t>commissions and interest withdrawn in</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0"/>
              </w:rPr>
              <w:t>order to pay taxes (to the extent not paid</w:t>
            </w:r>
          </w:p>
        </w:tc>
        <w:tc>
          <w:tcPr>
            <w:tcW w:w="276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w w:val="91"/>
              </w:rPr>
              <w:t>from amounts accrued as interest on the</w:t>
            </w:r>
          </w:p>
        </w:tc>
        <w:tc>
          <w:tcPr>
            <w:tcW w:w="276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p>
        </w:tc>
        <w:tc>
          <w:tcPr>
            <w:tcW w:w="3460" w:type="dxa"/>
            <w:vAlign w:val="bottom"/>
          </w:tcPr>
          <w:p>
            <w:pPr>
              <w:ind w:left="500"/>
              <w:spacing w:after="0"/>
              <w:rPr>
                <w:sz w:val="20"/>
                <w:szCs w:val="20"/>
                <w:color w:val="auto"/>
              </w:rPr>
            </w:pPr>
            <w:r>
              <w:rPr>
                <w:rFonts w:ascii="Arial" w:cs="Arial" w:eastAsia="Arial" w:hAnsi="Arial"/>
                <w:sz w:val="18"/>
                <w:szCs w:val="18"/>
                <w:color w:val="auto"/>
              </w:rPr>
              <w:t>funds held in the trust account).</w:t>
            </w:r>
          </w:p>
        </w:tc>
        <w:tc>
          <w:tcPr>
            <w:tcW w:w="2760" w:type="dxa"/>
            <w:vAlign w:val="bottom"/>
          </w:tcPr>
          <w:p>
            <w:pPr>
              <w:spacing w:after="0"/>
              <w:rPr>
                <w:sz w:val="20"/>
                <w:szCs w:val="20"/>
                <w:color w:val="auto"/>
              </w:rPr>
            </w:pPr>
          </w:p>
        </w:tc>
      </w:tr>
      <w:tr>
        <w:trPr>
          <w:trHeight w:val="365"/>
        </w:trPr>
        <w:tc>
          <w:tcPr>
            <w:tcW w:w="2100" w:type="dxa"/>
            <w:vAlign w:val="bottom"/>
          </w:tcPr>
          <w:p>
            <w:pPr>
              <w:spacing w:after="0"/>
              <w:rPr>
                <w:sz w:val="24"/>
                <w:szCs w:val="24"/>
                <w:color w:val="auto"/>
              </w:rPr>
            </w:pPr>
          </w:p>
        </w:tc>
        <w:tc>
          <w:tcPr>
            <w:tcW w:w="6220" w:type="dxa"/>
            <w:vAlign w:val="bottom"/>
            <w:gridSpan w:val="2"/>
          </w:tcPr>
          <w:p>
            <w:pPr>
              <w:ind w:left="3400"/>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Arial" w:cs="Arial" w:eastAsia="Arial" w:hAnsi="Arial"/>
          <w:sz w:val="16"/>
          <w:szCs w:val="16"/>
          <w:color w:val="auto"/>
        </w:rPr>
        <w:t>the aggregate amount then on deposit in the trust account (which is initially anticipated to be $10.00 per share), including interest (less up to $100,000 of interest to pay dissolution expenses and which interest shall be net of taxes payable), divided by the number of then issued and outstanding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shareholders, who will be our only remaining shareholders after such redemptions.</w:t>
      </w:r>
    </w:p>
    <w:p>
      <w:pPr>
        <w:sectPr>
          <w:pgSz w:w="11900" w:h="16838" w:orient="portrait"/>
          <w:cols w:equalWidth="0" w:num="2">
            <w:col w:w="8360" w:space="120"/>
            <w:col w:w="2720"/>
          </w:cols>
          <w:pgMar w:left="320" w:top="225" w:right="379" w:bottom="1440" w:gutter="0" w:footer="0" w:header="0"/>
          <w:type w:val="continuous"/>
        </w:sectPr>
      </w:pPr>
    </w:p>
    <w:bookmarkStart w:id="99" w:name="page100"/>
    <w:bookmarkEnd w:id="9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Terms of Our Offering</w:t>
            </w:r>
          </w:p>
        </w:tc>
        <w:tc>
          <w:tcPr>
            <w:tcW w:w="80" w:type="dxa"/>
            <w:vAlign w:val="bottom"/>
          </w:tcPr>
          <w:p>
            <w:pPr>
              <w:spacing w:after="0"/>
              <w:rPr>
                <w:sz w:val="20"/>
                <w:szCs w:val="20"/>
                <w:color w:val="auto"/>
              </w:rPr>
            </w:pPr>
          </w:p>
        </w:tc>
        <w:tc>
          <w:tcPr>
            <w:tcW w:w="36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Terms Under a Rule 419 Offering</w:t>
            </w:r>
          </w:p>
        </w:tc>
      </w:tr>
      <w:tr>
        <w:trPr>
          <w:trHeight w:val="276"/>
        </w:trPr>
        <w:tc>
          <w:tcPr>
            <w:tcW w:w="3820" w:type="dxa"/>
            <w:vAlign w:val="bottom"/>
          </w:tcPr>
          <w:p>
            <w:pPr>
              <w:spacing w:after="0"/>
              <w:rPr>
                <w:sz w:val="20"/>
                <w:szCs w:val="20"/>
                <w:color w:val="auto"/>
              </w:rPr>
            </w:pPr>
            <w:r>
              <w:rPr>
                <w:rFonts w:ascii="Arial" w:cs="Arial" w:eastAsia="Arial" w:hAnsi="Arial"/>
                <w:sz w:val="18"/>
                <w:szCs w:val="18"/>
                <w:b w:val="1"/>
                <w:bCs w:val="1"/>
                <w:color w:val="auto"/>
              </w:rPr>
              <w:t>Escrow of offering proceeds</w:t>
            </w:r>
          </w:p>
        </w:tc>
        <w:tc>
          <w:tcPr>
            <w:tcW w:w="3640" w:type="dxa"/>
            <w:vAlign w:val="bottom"/>
            <w:gridSpan w:val="2"/>
          </w:tcPr>
          <w:p>
            <w:pPr>
              <w:spacing w:after="0"/>
              <w:rPr>
                <w:sz w:val="20"/>
                <w:szCs w:val="20"/>
                <w:color w:val="auto"/>
              </w:rPr>
            </w:pPr>
            <w:r>
              <w:rPr>
                <w:rFonts w:ascii="Arial" w:cs="Arial" w:eastAsia="Arial" w:hAnsi="Arial"/>
                <w:sz w:val="18"/>
                <w:szCs w:val="18"/>
                <w:color w:val="auto"/>
                <w:w w:val="93"/>
              </w:rPr>
              <w:t>$250,000,000 of the net proceeds of this offering</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Approximately $212,625,000 of the offering</w:t>
            </w:r>
          </w:p>
        </w:tc>
      </w:tr>
      <w:tr>
        <w:trPr>
          <w:trHeight w:val="216"/>
        </w:trPr>
        <w:tc>
          <w:tcPr>
            <w:tcW w:w="38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w w:val="90"/>
              </w:rPr>
              <w:t>and the sale of the private placement warrants will</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w w:val="91"/>
              </w:rPr>
              <w:t>proceeds, representing the gross proceeds of this</w:t>
            </w:r>
          </w:p>
        </w:tc>
      </w:tr>
      <w:tr>
        <w:trPr>
          <w:trHeight w:val="216"/>
        </w:trPr>
        <w:tc>
          <w:tcPr>
            <w:tcW w:w="38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w w:val="93"/>
              </w:rPr>
              <w:t>be deposited into a U.S.-based trust account at ,</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offering less allowable underwriting</w:t>
            </w:r>
          </w:p>
        </w:tc>
      </w:tr>
      <w:tr>
        <w:trPr>
          <w:trHeight w:val="216"/>
        </w:trPr>
        <w:tc>
          <w:tcPr>
            <w:tcW w:w="38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with</w:t>
            </w:r>
          </w:p>
        </w:tc>
        <w:tc>
          <w:tcPr>
            <w:tcW w:w="3000" w:type="dxa"/>
            <w:vAlign w:val="bottom"/>
          </w:tcPr>
          <w:p>
            <w:pPr>
              <w:ind w:left="320"/>
              <w:spacing w:after="0"/>
              <w:rPr>
                <w:sz w:val="20"/>
                <w:szCs w:val="20"/>
                <w:color w:val="auto"/>
              </w:rPr>
            </w:pPr>
            <w:r>
              <w:rPr>
                <w:rFonts w:ascii="Arial" w:cs="Arial" w:eastAsia="Arial" w:hAnsi="Arial"/>
                <w:sz w:val="18"/>
                <w:szCs w:val="18"/>
                <w:color w:val="auto"/>
              </w:rPr>
              <w:t>acting as trustee</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w w:val="90"/>
              </w:rPr>
              <w:t>commissions, expenses and company deductions</w:t>
            </w:r>
          </w:p>
        </w:tc>
      </w:tr>
      <w:tr>
        <w:trPr>
          <w:trHeight w:val="216"/>
        </w:trPr>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under Rule 419, would be required to be</w:t>
            </w:r>
          </w:p>
        </w:tc>
      </w:tr>
      <w:tr>
        <w:trPr>
          <w:trHeight w:val="216"/>
        </w:trPr>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w w:val="94"/>
              </w:rPr>
              <w:t>deposited into either an escrow account with an</w:t>
            </w:r>
          </w:p>
        </w:tc>
      </w:tr>
      <w:tr>
        <w:trPr>
          <w:trHeight w:val="230"/>
        </w:trPr>
        <w:tc>
          <w:tcPr>
            <w:tcW w:w="3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insured depositary institution or in a separate</w:t>
            </w:r>
          </w:p>
        </w:tc>
      </w:tr>
    </w:tbl>
    <w:p>
      <w:pPr>
        <w:ind w:left="7580"/>
        <w:spacing w:after="0"/>
        <w:rPr>
          <w:sz w:val="20"/>
          <w:szCs w:val="20"/>
          <w:color w:val="auto"/>
        </w:rPr>
      </w:pPr>
      <w:r>
        <w:rPr>
          <w:rFonts w:ascii="Arial" w:cs="Arial" w:eastAsia="Arial" w:hAnsi="Arial"/>
          <w:sz w:val="17"/>
          <w:szCs w:val="17"/>
          <w:color w:val="auto"/>
        </w:rPr>
        <w:t>bank account established by a broker-dealer in</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which the broker-dealer acts as trustee for persons</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having the beneficial interests in the account.</w:t>
      </w:r>
    </w:p>
    <w:p>
      <w:pPr>
        <w:sectPr>
          <w:pgSz w:w="11900" w:h="16838" w:orient="portrait"/>
          <w:cols w:equalWidth="0" w:num="1">
            <w:col w:w="11200"/>
          </w:cols>
          <w:pgMar w:left="320" w:top="225" w:right="379" w:bottom="1440" w:gutter="0" w:footer="0" w:header="0"/>
        </w:sectPr>
      </w:pPr>
    </w:p>
    <w:p>
      <w:pPr>
        <w:spacing w:after="0" w:line="72"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$250,000,000 of the net offering proceeds and the</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sale of the private placement warrants held in</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trust will be invested only in U.S. government</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treasury bills with a maturity of 180 days or less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or in money market funds investing solely in U.S.</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Treasuries and meeting certain conditions under</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Rule 2a-7 under the Investment Company Act.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54" w:lineRule="exact"/>
        <w:rPr>
          <w:sz w:val="20"/>
          <w:szCs w:val="20"/>
          <w:color w:val="auto"/>
        </w:rPr>
      </w:pPr>
    </w:p>
    <w:p>
      <w:pPr>
        <w:sectPr>
          <w:pgSz w:w="11900" w:h="16838" w:orient="portrait"/>
          <w:cols w:equalWidth="0" w:num="2">
            <w:col w:w="7460" w:space="120"/>
            <w:col w:w="3620"/>
          </w:cols>
          <w:pgMar w:left="320" w:top="225" w:right="37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Limitation on fair value or net assets of target business</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Interest on proceeds from the trust account to be paid to shareholders is reduced by (1) any taxes paid or payable and (2)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Notwithstanding the foregoing, if we are not then listed on Nasdaq for</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1628" w:lineRule="exact"/>
        <w:rPr>
          <w:sz w:val="20"/>
          <w:szCs w:val="20"/>
          <w:color w:val="auto"/>
        </w:rPr>
      </w:pPr>
    </w:p>
    <w:p>
      <w:pPr>
        <w:sectPr>
          <w:pgSz w:w="11900" w:h="16838" w:orient="portrait"/>
          <w:cols w:equalWidth="0" w:num="3">
            <w:col w:w="3560" w:space="300"/>
            <w:col w:w="3600" w:space="120"/>
            <w:col w:w="3620"/>
          </w:cols>
          <w:pgMar w:left="320" w:top="225" w:right="3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00" w:name="page101"/>
    <w:bookmarkEnd w:id="10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right"/>
        <w:ind w:right="50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17145</wp:posOffset>
            </wp:positionV>
            <wp:extent cx="46545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p>
      <w:pPr>
        <w:spacing w:after="0" w:line="108"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whatever reason, we would no longer be required</w:t>
      </w:r>
    </w:p>
    <w:p>
      <w:pPr>
        <w:spacing w:after="0" w:line="46"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to meet the foregoing 80% fair market value test.</w:t>
      </w:r>
    </w:p>
    <w:p>
      <w:pPr>
        <w:spacing w:after="0" w:line="95"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will begin trading on or promptly after</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the date of this prospectus. The Class A ordinary</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shares and warrants constituting the units will</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begin separate trading on the 52nd day following</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the date of this prospectus unless Credit Suisse</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Securities (USA) LLC informs us of its decision</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to allow earlier separate trading, subject to our</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having filed the Current Report on Form 8-K</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5"/>
          <w:szCs w:val="15"/>
          <w:color w:val="auto"/>
        </w:rPr>
        <w:t>described below and having issued a press release</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announcing when such separate trading will</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begin. We will file the Current Report on Form 8-</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K promptly after the closing of this offering. If</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the underwriters’ over-allotment option is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exercised following the initial filing of such</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Current Report on Form 8-K, a second or</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amended Current Report on Form 8-K will be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filed to provide updated financial information to</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reflect the exercise of the underwriters’ over-</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allotment option</w:t>
      </w:r>
    </w:p>
    <w:p>
      <w:pPr>
        <w:spacing w:after="0" w:line="72"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later of</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30 days after the completion of our initial</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business combination or 12 months from the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closing of this offering.</w:t>
      </w:r>
    </w:p>
    <w:p>
      <w:pPr>
        <w:spacing w:after="0" w:line="288"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 shareholders with the</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opportunity to redeem their public shares for cash</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equal to their pro rata share of the aggregate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amount then on deposit in the trust account as of</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two business days prior to the completion of our</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initial business combination, including interest,</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which interest shall be net of taxes payable, upon</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the completion of our initial business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combination, subject to the limitations described</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herein. We may not be required by applicable law</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or stock exchange rules to hold a shareholder</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vote. If we are not required by applicable law or</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stock exchange rules and do not otherwise decide</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to hold a shareholder vote, we will, pursuant to</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our amended and restated memorandum and</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articles of association, conduct the redemptions</w:t>
      </w:r>
    </w:p>
    <w:p>
      <w:pPr>
        <w:spacing w:after="0" w:line="1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No trading of the units or the underlying Class A ordinary shares and warrants would be permitted until the completion of a business combination.</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w:t>
      </w:r>
    </w:p>
    <w:p>
      <w:pPr>
        <w:sectPr>
          <w:pgSz w:w="11900" w:h="16838" w:orient="portrait"/>
          <w:cols w:equalWidth="0" w:num="2">
            <w:col w:w="7480" w:space="100"/>
            <w:col w:w="3600"/>
          </w:cols>
          <w:pgMar w:left="320" w:top="225" w:right="399" w:bottom="1440" w:gutter="0" w:footer="0" w:header="0"/>
          <w:type w:val="continuous"/>
        </w:sectPr>
      </w:pPr>
    </w:p>
    <w:bookmarkStart w:id="101" w:name="page102"/>
    <w:bookmarkEnd w:id="10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right"/>
        <w:ind w:right="42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17145</wp:posOffset>
            </wp:positionV>
            <wp:extent cx="46545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p>
      <w:pPr>
        <w:spacing w:after="0" w:line="108"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pursuant to the tender offer rules of the SEC and</w:t>
      </w:r>
    </w:p>
    <w:p>
      <w:pPr>
        <w:spacing w:after="0" w:line="46"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file tender offer documents with the SEC which</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will contain substantially the same financial and</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other information about the initial business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combination and the redemption rights as is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required under the SEC’s proxy rules. If, however,</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we hold a shareholder vote, we will, like many</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blank check companies, offer to redeem shares in</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conjunction with a proxy solicitation pursuant to</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the proxy rules and not pursuant to the tender</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offer rules. Pursuant to the tender offer rules, the</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tender offer period will be not less than 20</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business days and, in the case of a shareholder</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vote, a final proxy statement would be mailed to</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public shareholders at least 10 days prior to the</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shareholder vote. However, we expect that a draft</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proxy statement would be made available to such</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shareholders well in advance of such time,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providing additional notice of redemption if we</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conduct redemptions in conjunction with a proxy</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solicitation. If we seek shareholder approval, we</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will complete our initial business combination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only if we receive an ordinary resolution under</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Cayman Islands law, which requires the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affirmative vote of a majority of the shareholders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who attend and vote at a general meeting of the</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company. Additionally, each public shareholder</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may elect to redeem its public shares without</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voting and, if they do vote, irrespective of</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whether they vote for or against the proposed</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business combination.</w:t>
      </w:r>
    </w:p>
    <w:p>
      <w:pPr>
        <w:spacing w:after="0" w:line="72"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are unable to complete an initial business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combination within 24 months from the closing of</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this offering, we will (1) cease all operations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except for the purpose of winding up, (2) as</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promptly as reasonably possible but not more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than 10 business days thereafter, redeem 100% of</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the public shares, at a per-share price, payable in</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cash, equal to the aggregate amount then on</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deposit in the trust account, including interest</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(less up to $100,000 of interest to pay dissolution</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expenses and which</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number of investors elect to remain investors, all funds on deposit in the escrow account must be returned to 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500" w:space="80"/>
            <w:col w:w="3520"/>
          </w:cols>
          <w:pgMar w:left="320" w:top="225" w:right="479" w:bottom="1440" w:gutter="0" w:footer="0" w:header="0"/>
          <w:type w:val="continuous"/>
        </w:sectPr>
      </w:pPr>
    </w:p>
    <w:bookmarkStart w:id="102" w:name="page103"/>
    <w:bookmarkEnd w:id="10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right"/>
        <w:ind w:right="50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17145</wp:posOffset>
            </wp:positionV>
            <wp:extent cx="46545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0"/>
        <w:spacing w:after="0" w:line="314" w:lineRule="auto"/>
        <w:rPr>
          <w:sz w:val="20"/>
          <w:szCs w:val="20"/>
          <w:color w:val="auto"/>
        </w:rPr>
      </w:pPr>
      <w:r>
        <w:rPr>
          <w:rFonts w:ascii="Arial" w:cs="Arial" w:eastAsia="Arial" w:hAnsi="Arial"/>
          <w:sz w:val="16"/>
          <w:szCs w:val="16"/>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5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taxes, if any, the funds held in the trust account will not be released from the trust account until the earliest to occur of: (1) the completion of our initial business combination; (2) the redemption of any public shares properly submitted in connection with a shareholder vote to amend our amended and restated memorandum and articles of association</w:t>
      </w:r>
    </w:p>
    <w:p>
      <w:pPr>
        <w:spacing w:after="0" w:line="5" w:lineRule="exact"/>
        <w:rPr>
          <w:sz w:val="20"/>
          <w:szCs w:val="20"/>
          <w:color w:val="auto"/>
        </w:rPr>
      </w:pPr>
    </w:p>
    <w:p>
      <w:pPr>
        <w:ind w:firstLine="9"/>
        <w:spacing w:after="0" w:line="267" w:lineRule="auto"/>
        <w:tabs>
          <w:tab w:leader="none" w:pos="2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(3) the redemption of our public shares if we are unable to complete our initial business combination within 24 months from the closing of this offering, subject to applicable law.</w:t>
      </w:r>
    </w:p>
    <w:p>
      <w:pPr>
        <w:spacing w:after="0" w:line="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Most blank check companies provide no restrictions on the ability of shareholders to redeem shares based on the number of shares held by such shareholders in connection with an initial business combination.</w:t>
      </w:r>
    </w:p>
    <w:p>
      <w:pPr>
        <w:spacing w:after="0" w:line="540" w:lineRule="exact"/>
        <w:rPr>
          <w:sz w:val="20"/>
          <w:szCs w:val="20"/>
          <w:color w:val="auto"/>
        </w:rPr>
      </w:pPr>
    </w:p>
    <w:p>
      <w:pPr>
        <w:sectPr>
          <w:pgSz w:w="11900" w:h="16838" w:orient="portrait"/>
          <w:cols w:equalWidth="0" w:num="3">
            <w:col w:w="3760" w:space="100"/>
            <w:col w:w="3640" w:space="80"/>
            <w:col w:w="3600"/>
          </w:cols>
          <w:pgMar w:left="320" w:top="225" w:right="39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103" w:name="page104"/>
    <w:bookmarkEnd w:id="10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right"/>
        <w:ind w:right="38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17145</wp:posOffset>
            </wp:positionV>
            <wp:extent cx="46545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affiliate of such shareholder or any other person with whom such shareholder is acting in concert or as a “group” (as defined under Section 13 of the Exchange Act), will be restricted from redeeming its shares with respect Excess Shares (more than an aggregate of 15% of the shares sold in this offering), without our prior consent. Our public shareholders’ inability to redeem Excess Shares will reduce their influence over our ability to complete our initial business combination and they could suffer a material loss on their investment in us if they sell Excess Shares in open market transactions</w:t>
      </w:r>
    </w:p>
    <w:p>
      <w:pPr>
        <w:spacing w:after="0" w:line="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business combination and check a box on the proxy card indicating such holders were seeking to exercise their redemption rights. After the business combination was approved, the company would contact such shareholders to arrange for them to deliver their certificate to verify ownership.</w:t>
      </w:r>
    </w:p>
    <w:p>
      <w:pPr>
        <w:spacing w:after="0" w:line="3554" w:lineRule="exact"/>
        <w:rPr>
          <w:sz w:val="20"/>
          <w:szCs w:val="20"/>
          <w:color w:val="auto"/>
        </w:rPr>
      </w:pPr>
    </w:p>
    <w:p>
      <w:pPr>
        <w:sectPr>
          <w:pgSz w:w="11900" w:h="16838" w:orient="portrait"/>
          <w:cols w:equalWidth="0" w:num="3">
            <w:col w:w="3760" w:space="100"/>
            <w:col w:w="3620" w:space="100"/>
            <w:col w:w="3480"/>
          </w:cols>
          <w:pgMar w:left="320" w:top="225" w:right="51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225" w:right="519" w:bottom="1440" w:gutter="0" w:footer="0" w:header="0"/>
          <w:type w:val="continuous"/>
        </w:sectPr>
      </w:pPr>
    </w:p>
    <w:bookmarkStart w:id="104" w:name="page105"/>
    <w:bookmarkEnd w:id="10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1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currently maintain our executive offices at 1114 6th Ave, 41st Floor New York, New York, 10036. We consider our current office space adequate for our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currently have four executive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auditors.</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will provide shareholders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U.S. GAAP or IFRS, depending on the circumstances and the historical financial statements may be required to be audited in accordance with PCAOB standards.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 While this may limit the pool of potential business combination candidates, we do not believe that this limitation will be material.</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2020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forms a part,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prospectus.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80" w:type="dxa"/>
            <w:vAlign w:val="bottom"/>
            <w:gridSpan w:val="4"/>
          </w:tcPr>
          <w:p>
            <w:pPr>
              <w:ind w:left="280"/>
              <w:spacing w:after="0"/>
              <w:rPr>
                <w:sz w:val="20"/>
                <w:szCs w:val="20"/>
                <w:color w:val="auto"/>
              </w:rPr>
            </w:pPr>
            <w:r>
              <w:rPr>
                <w:rFonts w:ascii="Arial" w:cs="Arial" w:eastAsia="Arial" w:hAnsi="Arial"/>
                <w:sz w:val="18"/>
                <w:szCs w:val="18"/>
                <w:b w:val="1"/>
                <w:bCs w:val="1"/>
                <w:color w:val="auto"/>
              </w:rPr>
              <w:t>MANAGEMENT</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Directors, Director Nominees and Executive Officers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4540" w:type="dxa"/>
            <w:vAlign w:val="bottom"/>
          </w:tcPr>
          <w:p>
            <w:pPr>
              <w:ind w:left="206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80" w:type="dxa"/>
            <w:vAlign w:val="bottom"/>
          </w:tcPr>
          <w:p>
            <w:pPr>
              <w:spacing w:after="0"/>
              <w:rPr>
                <w:sz w:val="24"/>
                <w:szCs w:val="24"/>
                <w:color w:val="auto"/>
              </w:rPr>
            </w:pPr>
          </w:p>
        </w:tc>
        <w:tc>
          <w:tcPr>
            <w:tcW w:w="5460" w:type="dxa"/>
            <w:vAlign w:val="bottom"/>
            <w:gridSpan w:val="2"/>
          </w:tcPr>
          <w:p>
            <w:pPr>
              <w:ind w:left="2540"/>
              <w:spacing w:after="0"/>
              <w:rPr>
                <w:sz w:val="20"/>
                <w:szCs w:val="20"/>
                <w:color w:val="auto"/>
              </w:rPr>
            </w:pPr>
            <w:r>
              <w:rPr>
                <w:rFonts w:ascii="Arial" w:cs="Arial" w:eastAsia="Arial" w:hAnsi="Arial"/>
                <w:sz w:val="18"/>
                <w:szCs w:val="18"/>
                <w:b w:val="1"/>
                <w:bCs w:val="1"/>
                <w:color w:val="auto"/>
              </w:rPr>
              <w:t>Title</w:t>
            </w:r>
          </w:p>
        </w:tc>
      </w:tr>
      <w:tr>
        <w:trPr>
          <w:trHeight w:val="34"/>
        </w:trPr>
        <w:tc>
          <w:tcPr>
            <w:tcW w:w="40" w:type="dxa"/>
            <w:vAlign w:val="bottom"/>
          </w:tcPr>
          <w:p>
            <w:pPr>
              <w:spacing w:after="0"/>
              <w:rPr>
                <w:sz w:val="2"/>
                <w:szCs w:val="2"/>
                <w:color w:val="auto"/>
              </w:rPr>
            </w:pPr>
          </w:p>
        </w:tc>
        <w:tc>
          <w:tcPr>
            <w:tcW w:w="4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45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Scott Gordon</w:t>
            </w:r>
          </w:p>
        </w:tc>
        <w:tc>
          <w:tcPr>
            <w:tcW w:w="1120" w:type="dxa"/>
            <w:vAlign w:val="bottom"/>
            <w:tcBorders>
              <w:bottom w:val="single" w:sz="8" w:color="D5EAEA"/>
            </w:tcBorders>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D5EAEA"/>
            </w:tcBorders>
            <w:shd w:val="clear" w:color="auto" w:fill="D5EAEA"/>
          </w:tcPr>
          <w:p>
            <w:pPr>
              <w:spacing w:after="0"/>
              <w:rPr>
                <w:sz w:val="24"/>
                <w:szCs w:val="24"/>
                <w:color w:val="auto"/>
              </w:rPr>
            </w:pPr>
          </w:p>
        </w:tc>
        <w:tc>
          <w:tcPr>
            <w:tcW w:w="54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Chief Executive Officer and Chairman</w:t>
            </w: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William Healy</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56</w:t>
            </w:r>
          </w:p>
        </w:tc>
        <w:tc>
          <w:tcPr>
            <w:tcW w:w="80" w:type="dxa"/>
            <w:vAlign w:val="bottom"/>
          </w:tcPr>
          <w:p>
            <w:pPr>
              <w:spacing w:after="0"/>
              <w:rPr>
                <w:sz w:val="22"/>
                <w:szCs w:val="22"/>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41"/>
        </w:trPr>
        <w:tc>
          <w:tcPr>
            <w:tcW w:w="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7"/>
        </w:trPr>
        <w:tc>
          <w:tcPr>
            <w:tcW w:w="4580" w:type="dxa"/>
            <w:vAlign w:val="bottom"/>
            <w:tcBorders>
              <w:bottom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color w:val="auto"/>
              </w:rPr>
              <w:t>Greg Gentile</w:t>
            </w:r>
          </w:p>
        </w:tc>
        <w:tc>
          <w:tcPr>
            <w:tcW w:w="1120" w:type="dxa"/>
            <w:vAlign w:val="bottom"/>
            <w:tcBorders>
              <w:bottom w:val="single" w:sz="8" w:color="D5EAEA"/>
            </w:tcBorders>
            <w:gridSpan w:val="2"/>
            <w:shd w:val="clear" w:color="auto" w:fill="D5EAEA"/>
          </w:tcPr>
          <w:p>
            <w:pPr>
              <w:jc w:val="center"/>
              <w:ind w:left="10"/>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D5EAEA"/>
            </w:tcBorders>
            <w:shd w:val="clear" w:color="auto" w:fill="D5EAEA"/>
          </w:tcPr>
          <w:p>
            <w:pPr>
              <w:spacing w:after="0"/>
              <w:rPr>
                <w:sz w:val="24"/>
                <w:szCs w:val="24"/>
                <w:color w:val="auto"/>
              </w:rPr>
            </w:pPr>
          </w:p>
        </w:tc>
        <w:tc>
          <w:tcPr>
            <w:tcW w:w="54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Chief Financial Officer</w:t>
            </w: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Mohammed Grimeh</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52</w:t>
            </w:r>
          </w:p>
        </w:tc>
        <w:tc>
          <w:tcPr>
            <w:tcW w:w="80" w:type="dxa"/>
            <w:vAlign w:val="bottom"/>
          </w:tcPr>
          <w:p>
            <w:pPr>
              <w:spacing w:after="0"/>
              <w:rPr>
                <w:sz w:val="22"/>
                <w:szCs w:val="22"/>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41"/>
        </w:trPr>
        <w:tc>
          <w:tcPr>
            <w:tcW w:w="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7"/>
        </w:trPr>
        <w:tc>
          <w:tcPr>
            <w:tcW w:w="40" w:type="dxa"/>
            <w:vAlign w:val="bottom"/>
            <w:tcBorders>
              <w:bottom w:val="single" w:sz="8" w:color="D5EAEA"/>
            </w:tcBorders>
            <w:shd w:val="clear" w:color="auto" w:fill="D5EAEA"/>
          </w:tcPr>
          <w:p>
            <w:pPr>
              <w:spacing w:after="0"/>
              <w:rPr>
                <w:sz w:val="24"/>
                <w:szCs w:val="24"/>
                <w:color w:val="auto"/>
              </w:rPr>
            </w:pPr>
          </w:p>
        </w:tc>
        <w:tc>
          <w:tcPr>
            <w:tcW w:w="4540" w:type="dxa"/>
            <w:vAlign w:val="bottom"/>
            <w:tcBorders>
              <w:bottom w:val="single" w:sz="8" w:color="D5EAEA"/>
            </w:tcBorders>
            <w:shd w:val="clear" w:color="auto" w:fill="D5EAEA"/>
          </w:tcPr>
          <w:p>
            <w:pPr>
              <w:spacing w:after="0"/>
              <w:rPr>
                <w:sz w:val="24"/>
                <w:szCs w:val="24"/>
                <w:color w:val="auto"/>
              </w:rPr>
            </w:pPr>
          </w:p>
        </w:tc>
        <w:tc>
          <w:tcPr>
            <w:tcW w:w="80" w:type="dxa"/>
            <w:vAlign w:val="bottom"/>
            <w:tcBorders>
              <w:bottom w:val="single" w:sz="8" w:color="D5EAEA"/>
            </w:tcBorders>
            <w:shd w:val="clear" w:color="auto" w:fill="D5EAEA"/>
          </w:tcPr>
          <w:p>
            <w:pPr>
              <w:spacing w:after="0"/>
              <w:rPr>
                <w:sz w:val="24"/>
                <w:szCs w:val="24"/>
                <w:color w:val="auto"/>
              </w:rPr>
            </w:pPr>
          </w:p>
        </w:tc>
        <w:tc>
          <w:tcPr>
            <w:tcW w:w="1040" w:type="dxa"/>
            <w:vAlign w:val="bottom"/>
            <w:tcBorders>
              <w:bottom w:val="single" w:sz="8" w:color="D5EAEA"/>
            </w:tcBorders>
            <w:shd w:val="clear" w:color="auto" w:fill="D5EAEA"/>
          </w:tcPr>
          <w:p>
            <w:pPr>
              <w:spacing w:after="0"/>
              <w:rPr>
                <w:sz w:val="24"/>
                <w:szCs w:val="24"/>
                <w:color w:val="auto"/>
              </w:rPr>
            </w:pPr>
          </w:p>
        </w:tc>
        <w:tc>
          <w:tcPr>
            <w:tcW w:w="80" w:type="dxa"/>
            <w:vAlign w:val="bottom"/>
            <w:tcBorders>
              <w:bottom w:val="single" w:sz="8" w:color="D5EAEA"/>
            </w:tcBorders>
            <w:shd w:val="clear" w:color="auto" w:fill="D5EAEA"/>
          </w:tcPr>
          <w:p>
            <w:pPr>
              <w:spacing w:after="0"/>
              <w:rPr>
                <w:sz w:val="24"/>
                <w:szCs w:val="24"/>
                <w:color w:val="auto"/>
              </w:rPr>
            </w:pPr>
          </w:p>
        </w:tc>
        <w:tc>
          <w:tcPr>
            <w:tcW w:w="54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4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Director Nominee</w:t>
            </w:r>
          </w:p>
        </w:tc>
      </w:tr>
      <w:tr>
        <w:trPr>
          <w:trHeight w:val="40"/>
        </w:trPr>
        <w:tc>
          <w:tcPr>
            <w:tcW w:w="40" w:type="dxa"/>
            <w:vAlign w:val="bottom"/>
          </w:tcPr>
          <w:p>
            <w:pPr>
              <w:spacing w:after="0"/>
              <w:rPr>
                <w:sz w:val="3"/>
                <w:szCs w:val="3"/>
                <w:color w:val="auto"/>
              </w:rPr>
            </w:pPr>
          </w:p>
        </w:tc>
        <w:tc>
          <w:tcPr>
            <w:tcW w:w="4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7"/>
        </w:trPr>
        <w:tc>
          <w:tcPr>
            <w:tcW w:w="40" w:type="dxa"/>
            <w:vAlign w:val="bottom"/>
            <w:shd w:val="clear" w:color="auto" w:fill="D5EAEA"/>
          </w:tcPr>
          <w:p>
            <w:pPr>
              <w:spacing w:after="0"/>
              <w:rPr>
                <w:sz w:val="22"/>
                <w:szCs w:val="22"/>
                <w:color w:val="auto"/>
              </w:rPr>
            </w:pPr>
          </w:p>
        </w:tc>
        <w:tc>
          <w:tcPr>
            <w:tcW w:w="454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1040" w:type="dxa"/>
            <w:vAlign w:val="bottom"/>
            <w:shd w:val="clear" w:color="auto" w:fill="D5EAEA"/>
          </w:tcPr>
          <w:p>
            <w:pPr>
              <w:spacing w:after="0"/>
              <w:rPr>
                <w:sz w:val="22"/>
                <w:szCs w:val="22"/>
                <w:color w:val="auto"/>
              </w:rPr>
            </w:pPr>
          </w:p>
        </w:tc>
        <w:tc>
          <w:tcPr>
            <w:tcW w:w="80" w:type="dxa"/>
            <w:vAlign w:val="bottom"/>
            <w:shd w:val="clear" w:color="auto" w:fill="D5EAEA"/>
          </w:tcPr>
          <w:p>
            <w:pPr>
              <w:spacing w:after="0"/>
              <w:rPr>
                <w:sz w:val="22"/>
                <w:szCs w:val="22"/>
                <w:color w:val="auto"/>
              </w:rPr>
            </w:pPr>
          </w:p>
        </w:tc>
        <w:tc>
          <w:tcPr>
            <w:tcW w:w="54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Director Nominee</w:t>
            </w:r>
          </w:p>
        </w:tc>
      </w:tr>
      <w:tr>
        <w:trPr>
          <w:trHeight w:val="41"/>
        </w:trPr>
        <w:tc>
          <w:tcPr>
            <w:tcW w:w="40" w:type="dxa"/>
            <w:vAlign w:val="bottom"/>
            <w:shd w:val="clear" w:color="auto" w:fill="D5EAEA"/>
          </w:tcPr>
          <w:p>
            <w:pPr>
              <w:spacing w:after="0"/>
              <w:rPr>
                <w:sz w:val="3"/>
                <w:szCs w:val="3"/>
                <w:color w:val="auto"/>
              </w:rPr>
            </w:pPr>
          </w:p>
        </w:tc>
        <w:tc>
          <w:tcPr>
            <w:tcW w:w="4540" w:type="dxa"/>
            <w:vAlign w:val="bottom"/>
            <w:shd w:val="clear" w:color="auto" w:fill="D5EAEA"/>
          </w:tcPr>
          <w:p>
            <w:pPr>
              <w:spacing w:after="0"/>
              <w:rPr>
                <w:sz w:val="3"/>
                <w:szCs w:val="3"/>
                <w:color w:val="auto"/>
              </w:rPr>
            </w:pPr>
          </w:p>
        </w:tc>
        <w:tc>
          <w:tcPr>
            <w:tcW w:w="80" w:type="dxa"/>
            <w:vAlign w:val="bottom"/>
            <w:shd w:val="clear" w:color="auto" w:fill="D5EAEA"/>
          </w:tcPr>
          <w:p>
            <w:pPr>
              <w:spacing w:after="0"/>
              <w:rPr>
                <w:sz w:val="3"/>
                <w:szCs w:val="3"/>
                <w:color w:val="auto"/>
              </w:rPr>
            </w:pPr>
          </w:p>
        </w:tc>
        <w:tc>
          <w:tcPr>
            <w:tcW w:w="1040" w:type="dxa"/>
            <w:vAlign w:val="bottom"/>
            <w:shd w:val="clear" w:color="auto" w:fill="D5EAEA"/>
          </w:tcPr>
          <w:p>
            <w:pPr>
              <w:spacing w:after="0"/>
              <w:rPr>
                <w:sz w:val="3"/>
                <w:szCs w:val="3"/>
                <w:color w:val="auto"/>
              </w:rPr>
            </w:pPr>
          </w:p>
        </w:tc>
        <w:tc>
          <w:tcPr>
            <w:tcW w:w="80" w:type="dxa"/>
            <w:vAlign w:val="bottom"/>
            <w:shd w:val="clear" w:color="auto" w:fill="D5EAEA"/>
          </w:tcPr>
          <w:p>
            <w:pPr>
              <w:spacing w:after="0"/>
              <w:rPr>
                <w:sz w:val="3"/>
                <w:szCs w:val="3"/>
                <w:color w:val="auto"/>
              </w:rPr>
            </w:pPr>
          </w:p>
        </w:tc>
        <w:tc>
          <w:tcPr>
            <w:tcW w:w="5420" w:type="dxa"/>
            <w:vAlign w:val="bottom"/>
            <w:shd w:val="clear" w:color="auto" w:fill="D5EAEA"/>
          </w:tcPr>
          <w:p>
            <w:pPr>
              <w:spacing w:after="0"/>
              <w:rPr>
                <w:sz w:val="3"/>
                <w:szCs w:val="3"/>
                <w:color w:val="auto"/>
              </w:rPr>
            </w:pPr>
          </w:p>
        </w:tc>
        <w:tc>
          <w:tcPr>
            <w:tcW w:w="40" w:type="dxa"/>
            <w:vAlign w:val="bottom"/>
            <w:shd w:val="clear" w:color="auto" w:fill="D5EAEA"/>
          </w:tcPr>
          <w:p>
            <w:pPr>
              <w:spacing w:after="0"/>
              <w:rPr>
                <w:sz w:val="3"/>
                <w:szCs w:val="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director nominees and executive officers are as follows: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Scott Gordon </w:t>
      </w:r>
      <w:r>
        <w:rPr>
          <w:rFonts w:ascii="Arial" w:cs="Arial" w:eastAsia="Arial" w:hAnsi="Arial"/>
          <w:sz w:val="16"/>
          <w:szCs w:val="16"/>
          <w:color w:val="auto"/>
        </w:rPr>
        <w:t>has been the Chairman of our board of directors and has served as our Chief Executive Officer since our inception. Since 2016, Mr. Gordon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16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i w:val="1"/>
          <w:iCs w:val="1"/>
          <w:color w:val="auto"/>
        </w:rPr>
        <w:t xml:space="preserve">William Healy </w:t>
      </w:r>
      <w:r>
        <w:rPr>
          <w:rFonts w:ascii="Arial" w:cs="Arial" w:eastAsia="Arial" w:hAnsi="Arial"/>
          <w:sz w:val="16"/>
          <w:szCs w:val="16"/>
          <w:color w:val="auto"/>
        </w:rPr>
        <w:t>has been a member of our board of directors and has served as our President since our inception. Since 1986, Mr. Healy has advised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16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i w:val="1"/>
          <w:iCs w:val="1"/>
          <w:color w:val="auto"/>
        </w:rPr>
        <w:t xml:space="preserve">Gregory M. Gentile </w:t>
      </w:r>
      <w:r>
        <w:rPr>
          <w:rFonts w:ascii="Arial" w:cs="Arial" w:eastAsia="Arial" w:hAnsi="Arial"/>
          <w:sz w:val="16"/>
          <w:szCs w:val="16"/>
          <w:color w:val="auto"/>
        </w:rPr>
        <w:t>has served as our Chief Financial Officer since our inception. From 2010 to 2018, Mr. Gentile was Chief Executive Officer of GMG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spacing w:after="0" w:line="15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Mohammed Grimeh </w:t>
      </w:r>
      <w:r>
        <w:rPr>
          <w:rFonts w:ascii="Arial" w:cs="Arial" w:eastAsia="Arial" w:hAnsi="Arial"/>
          <w:sz w:val="17"/>
          <w:szCs w:val="17"/>
          <w:color w:val="auto"/>
        </w:rPr>
        <w:t>has served as our Chief Operating Officer since our inception. From 2016 to 2018, Mr. Grimeh was deputy Global Head Fixed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at Millennium Management, a global Alternative Asset Manager based in New York. From 2009 to 2016, Mr. Grimeh was Managing Director and head of Global Markets for Standard Chartered Bank, Americas. From 1998 to 2008, Mr. Grimeh was at Lehman Brothers where he held various roles including managing director and global head Emerging Markets. Prior to that, he was aa Managing Director at 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Barings from 1993 to 1998. He started his career at Societe Generale, a French Bank in 1990 and moved in 1992 to London to join Westpac banking Corporation. Mr. Grimeh graduated from Ecole Centrale in Paris in 1990.</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addition to our directors, director nominees and executive officers, the following individuals will be advising us in making our initial business combination: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Rob Josephson </w:t>
      </w:r>
      <w:r>
        <w:rPr>
          <w:rFonts w:ascii="Arial" w:cs="Arial" w:eastAsia="Arial" w:hAnsi="Arial"/>
          <w:sz w:val="18"/>
          <w:szCs w:val="18"/>
          <w:color w:val="auto"/>
        </w:rPr>
        <w:t>has served as an investment consultant since our inception. From October 2017 to present Mr. Josephson has acted as CEO of Seed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merchant bank. From January 2014 to October 2017 Mr. Josephson acted as financial consultant to various companies in the Cannabis industry including, Cronos Group, WeedMd, Lord Jones, Lune Rouge, and DNA Genetics. Mr. Josephson holds a Bachelor of Arts degree from the University of Western Ontario, where he graduated in 1985.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Terms of Office and Election of Officers and Directors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effectiveness of the registration statement of which this prospectus forms a part, we expect that our board of directors will consist of five members. Our board of directors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responsibilities of a director. Our board of directors has determined that , and are “independent directors” as defined in the Nasdaq listing standards and applicable SEC rules. Our independent directors will have regularly scheduled meetings at which only independent directors are present.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None of our officers or directors have received any cash compensation for services rendered to us.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officers after the completion of our initial business combination will be determined by a compensation committee constituted solely by independent directors.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Pursuant to Nasdaq listing rules we will establish three standing committees - an audit committee in compliance with Section 3(a)(58)(A) of the Exchange Act, a compensation committee and a nominating committee, each comprised of independent directors. Under Nasdaq listing rule 5615(b)(1), a company listing in connection with its initial public offering is permitted to phase in its compliance with the independent committee requirements. We do not intend to rely on the phase-in schedules set forth in Nasdaq listing rule 5615(b)(1).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Upon the effectiveness of the registration statement of which this prospectus forms a part, we will establish an audit committee of the board of directors.</w:t>
      </w:r>
    </w:p>
    <w:p>
      <w:pPr>
        <w:spacing w:after="0" w:line="46" w:lineRule="exact"/>
        <w:rPr>
          <w:sz w:val="20"/>
          <w:szCs w:val="20"/>
          <w:color w:val="auto"/>
        </w:rPr>
      </w:pPr>
    </w:p>
    <w:p>
      <w:pPr>
        <w:spacing w:after="0"/>
        <w:tabs>
          <w:tab w:leader="none" w:pos="3420" w:val="left"/>
          <w:tab w:leader="none" w:pos="3780" w:val="left"/>
        </w:tabs>
        <w:rPr>
          <w:sz w:val="20"/>
          <w:szCs w:val="20"/>
          <w:color w:val="auto"/>
        </w:rPr>
      </w:pPr>
      <w:r>
        <w:rPr>
          <w:rFonts w:ascii="Arial" w:cs="Arial" w:eastAsia="Arial" w:hAnsi="Arial"/>
          <w:sz w:val="17"/>
          <w:szCs w:val="17"/>
          <w:color w:val="auto"/>
        </w:rPr>
        <w:t>The members of our audit committee will be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will serve as chairman of the audit committee.</w:t>
      </w:r>
    </w:p>
    <w:p>
      <w:pPr>
        <w:sectPr>
          <w:pgSz w:w="11900" w:h="16838" w:orient="portrait"/>
          <w:cols w:equalWidth="0" w:num="1">
            <w:col w:w="11220"/>
          </w:cols>
          <w:pgMar w:left="320" w:top="225" w:right="359" w:bottom="1440" w:gutter="0" w:footer="0" w:header="0"/>
        </w:sectPr>
      </w:pP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member of the audit committee is financially literate and our board of directors has determined that expert” as defined in applicable SEC rules and has accounting or related financial management expertise.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qualifies as an “audit committee financial</w:t>
      </w:r>
    </w:p>
    <w:p>
      <w:pPr>
        <w:spacing w:after="0" w:line="464" w:lineRule="exact"/>
        <w:rPr>
          <w:sz w:val="20"/>
          <w:szCs w:val="20"/>
          <w:color w:val="auto"/>
        </w:rPr>
      </w:pPr>
    </w:p>
    <w:p>
      <w:pPr>
        <w:sectPr>
          <w:pgSz w:w="11900" w:h="16838" w:orient="portrait"/>
          <w:cols w:equalWidth="0" w:num="2">
            <w:col w:w="7580" w:space="300"/>
            <w:col w:w="3340"/>
          </w:cols>
          <w:pgMar w:left="320" w:top="2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We will adopt an audit committee charter, which will detail the purpose and principal functions of the audit committee, including:</w:t>
      </w:r>
    </w:p>
    <w:p>
      <w:pPr>
        <w:spacing w:after="0" w:line="225" w:lineRule="exact"/>
        <w:rPr>
          <w:sz w:val="20"/>
          <w:szCs w:val="20"/>
          <w:color w:val="auto"/>
        </w:rPr>
      </w:pPr>
    </w:p>
    <w:p>
      <w:pPr>
        <w:ind w:left="660" w:right="580" w:hanging="328"/>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6"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10" w:name="page111"/>
    <w:bookmarkEnd w:id="1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2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The members of our Compensation Committee will be . will serve as chairman of the compensation committee. We will adopt a compensation committee charter, which will detail the purpose and responsibility of the compensation committee, including:</w:t>
      </w:r>
    </w:p>
    <w:p>
      <w:pPr>
        <w:spacing w:after="0" w:line="184" w:lineRule="exact"/>
        <w:rPr>
          <w:sz w:val="20"/>
          <w:szCs w:val="20"/>
          <w:color w:val="auto"/>
        </w:rPr>
      </w:pPr>
    </w:p>
    <w:p>
      <w:pPr>
        <w:ind w:left="660" w:hanging="328"/>
        <w:spacing w:after="0" w:line="26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committee of the board of directors. The members of our nominating committee will be . will serve as chair of the nominating committee. We will adopt a nominating committee charter, which will detail the purpose and responsibilities of the nominating committee, including:</w:t>
      </w:r>
    </w:p>
    <w:p>
      <w:pPr>
        <w:spacing w:after="0" w:line="184" w:lineRule="exact"/>
        <w:rPr>
          <w:sz w:val="20"/>
          <w:szCs w:val="20"/>
          <w:color w:val="auto"/>
        </w:rPr>
      </w:pPr>
    </w:p>
    <w:p>
      <w:pPr>
        <w:jc w:val="both"/>
        <w:ind w:left="660" w:right="4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charter will also provide that the nominating committee may, in their sole discretion, retain or obtain the advice of, and terminate, any search firm to be used to identify director candidates, and will be directly responsible for approving the search firm’s fees and other retention terms.</w:t>
      </w:r>
    </w:p>
    <w:p>
      <w:pPr>
        <w:spacing w:after="0" w:line="14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None of our officers currently serves, and in the past year has not served, as a member of the board of directors or compensation committee of any entity that has one or more officers serving on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Prior to the effectiveness of the registration statement of which this prospectus is a part, we will have adopted a code of ethics applicable to our directors, officers and employees (our “Code of Ethics”). Our Code of Ethics will be available on our website upon the completion of this offering. Our Code of Ethics is a “code of ethics,” as defined in Item 406(b) of Regulation S-K. We will make any legally required disclosures regarding amendments to, or waivers of, provisions of our Code of Ethics on our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exercise authority for the purpose for which it is conferred;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4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Potential investors should also be aware of the following potential conflicts of interest:</w:t>
      </w:r>
    </w:p>
    <w:p>
      <w:pPr>
        <w:spacing w:after="0" w:line="225" w:lineRule="exact"/>
        <w:rPr>
          <w:sz w:val="20"/>
          <w:szCs w:val="20"/>
          <w:color w:val="auto"/>
        </w:rPr>
      </w:pPr>
    </w:p>
    <w:p>
      <w:pPr>
        <w:ind w:left="660" w:right="68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70"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 For a complete description of our management’s other affiliations, see “—Directors, Director Nominees and Executive Officers.”</w:t>
      </w:r>
    </w:p>
    <w:p>
      <w:pPr>
        <w:spacing w:after="0" w:line="186" w:lineRule="exact"/>
        <w:rPr>
          <w:rFonts w:ascii="Arial" w:cs="Arial" w:eastAsia="Arial" w:hAnsi="Arial"/>
          <w:sz w:val="18"/>
          <w:szCs w:val="18"/>
          <w:color w:val="auto"/>
        </w:rPr>
      </w:pPr>
    </w:p>
    <w:p>
      <w:pPr>
        <w:ind w:left="660" w:hanging="328"/>
        <w:spacing w:after="0" w:line="28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within 24 months after the closing of this offering. However, if our initial shareholders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this offering, our officers and directors may have a conflict of interest in determining whether a particular target business is an appropriate business with which to effectuate our initial business combination.</w:t>
      </w:r>
    </w:p>
    <w:p>
      <w:pPr>
        <w:spacing w:after="0" w:line="168" w:lineRule="exact"/>
        <w:rPr>
          <w:rFonts w:ascii="Arial" w:cs="Arial" w:eastAsia="Arial" w:hAnsi="Arial"/>
          <w:sz w:val="16"/>
          <w:szCs w:val="16"/>
          <w:color w:val="auto"/>
        </w:rPr>
      </w:pPr>
    </w:p>
    <w:p>
      <w:pPr>
        <w:jc w:val="both"/>
        <w:ind w:left="660" w:right="340" w:hanging="328"/>
        <w:spacing w:after="0" w:line="286"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65" w:lineRule="exact"/>
        <w:rPr>
          <w:rFonts w:ascii="Arial" w:cs="Arial" w:eastAsia="Arial" w:hAnsi="Arial"/>
          <w:sz w:val="17"/>
          <w:szCs w:val="17"/>
          <w:color w:val="auto"/>
        </w:rPr>
      </w:pPr>
    </w:p>
    <w:p>
      <w:pPr>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Accordingly, as a result of multiple business affiliations, our officers and directors have similar legal obligations relating to presenting business opportunities meeting the above-listed criteria to multiple entities. Below is a table summarizing the entities to which our officers, directors and director nominees currently have fiduciary duties or contractual obligations: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20" w:type="dxa"/>
            <w:vAlign w:val="bottom"/>
          </w:tcPr>
          <w:p>
            <w:pPr>
              <w:ind w:left="800"/>
              <w:spacing w:after="0"/>
              <w:rPr>
                <w:sz w:val="20"/>
                <w:szCs w:val="20"/>
                <w:color w:val="auto"/>
              </w:rPr>
            </w:pPr>
            <w:r>
              <w:rPr>
                <w:rFonts w:ascii="Arial" w:cs="Arial" w:eastAsia="Arial" w:hAnsi="Arial"/>
                <w:sz w:val="18"/>
                <w:szCs w:val="18"/>
                <w:b w:val="1"/>
                <w:bCs w:val="1"/>
                <w:color w:val="auto"/>
              </w:rPr>
              <w:t>Individual</w:t>
            </w:r>
          </w:p>
        </w:tc>
        <w:tc>
          <w:tcPr>
            <w:tcW w:w="80" w:type="dxa"/>
            <w:vAlign w:val="bottom"/>
          </w:tcPr>
          <w:p>
            <w:pPr>
              <w:spacing w:after="0"/>
              <w:rPr>
                <w:sz w:val="20"/>
                <w:szCs w:val="20"/>
                <w:color w:val="auto"/>
              </w:rPr>
            </w:pPr>
          </w:p>
        </w:tc>
        <w:tc>
          <w:tcPr>
            <w:tcW w:w="3040" w:type="dxa"/>
            <w:vAlign w:val="bottom"/>
          </w:tcPr>
          <w:p>
            <w:pPr>
              <w:ind w:left="1280"/>
              <w:spacing w:after="0"/>
              <w:rPr>
                <w:sz w:val="20"/>
                <w:szCs w:val="20"/>
                <w:color w:val="auto"/>
              </w:rPr>
            </w:pPr>
            <w:r>
              <w:rPr>
                <w:rFonts w:ascii="Arial" w:cs="Arial" w:eastAsia="Arial" w:hAnsi="Arial"/>
                <w:sz w:val="18"/>
                <w:szCs w:val="18"/>
                <w:b w:val="1"/>
                <w:bCs w:val="1"/>
                <w:color w:val="auto"/>
              </w:rPr>
              <w:t>Entity</w:t>
            </w:r>
          </w:p>
        </w:tc>
        <w:tc>
          <w:tcPr>
            <w:tcW w:w="80" w:type="dxa"/>
            <w:vAlign w:val="bottom"/>
          </w:tcPr>
          <w:p>
            <w:pPr>
              <w:spacing w:after="0"/>
              <w:rPr>
                <w:sz w:val="20"/>
                <w:szCs w:val="20"/>
                <w:color w:val="auto"/>
              </w:rPr>
            </w:pPr>
          </w:p>
        </w:tc>
        <w:tc>
          <w:tcPr>
            <w:tcW w:w="2740" w:type="dxa"/>
            <w:vAlign w:val="bottom"/>
          </w:tcPr>
          <w:p>
            <w:pPr>
              <w:ind w:left="720"/>
              <w:spacing w:after="0"/>
              <w:rPr>
                <w:sz w:val="20"/>
                <w:szCs w:val="20"/>
                <w:color w:val="auto"/>
              </w:rPr>
            </w:pPr>
            <w:r>
              <w:rPr>
                <w:rFonts w:ascii="Arial" w:cs="Arial" w:eastAsia="Arial" w:hAnsi="Arial"/>
                <w:sz w:val="18"/>
                <w:szCs w:val="18"/>
                <w:b w:val="1"/>
                <w:bCs w:val="1"/>
                <w:color w:val="auto"/>
              </w:rPr>
              <w:t>Entity’s Business</w:t>
            </w:r>
          </w:p>
        </w:tc>
        <w:tc>
          <w:tcPr>
            <w:tcW w:w="200" w:type="dxa"/>
            <w:vAlign w:val="bottom"/>
          </w:tcPr>
          <w:p>
            <w:pPr>
              <w:spacing w:after="0"/>
              <w:rPr>
                <w:sz w:val="20"/>
                <w:szCs w:val="20"/>
                <w:color w:val="auto"/>
              </w:rPr>
            </w:pPr>
          </w:p>
        </w:tc>
        <w:tc>
          <w:tcPr>
            <w:tcW w:w="2640" w:type="dxa"/>
            <w:vAlign w:val="bottom"/>
            <w:gridSpan w:val="2"/>
          </w:tcPr>
          <w:p>
            <w:pPr>
              <w:ind w:left="900"/>
              <w:spacing w:after="0"/>
              <w:rPr>
                <w:sz w:val="20"/>
                <w:szCs w:val="20"/>
                <w:color w:val="auto"/>
              </w:rPr>
            </w:pPr>
            <w:r>
              <w:rPr>
                <w:rFonts w:ascii="Arial" w:cs="Arial" w:eastAsia="Arial" w:hAnsi="Arial"/>
                <w:sz w:val="18"/>
                <w:szCs w:val="18"/>
                <w:b w:val="1"/>
                <w:bCs w:val="1"/>
                <w:color w:val="auto"/>
              </w:rPr>
              <w:t>Affiliation</w:t>
            </w:r>
          </w:p>
        </w:tc>
      </w:tr>
      <w:tr>
        <w:trPr>
          <w:trHeight w:val="34"/>
        </w:trPr>
        <w:tc>
          <w:tcPr>
            <w:tcW w:w="40" w:type="dxa"/>
            <w:vAlign w:val="bottom"/>
          </w:tcPr>
          <w:p>
            <w:pPr>
              <w:spacing w:after="0"/>
              <w:rPr>
                <w:sz w:val="2"/>
                <w:szCs w:val="2"/>
                <w:color w:val="auto"/>
              </w:rPr>
            </w:pPr>
          </w:p>
        </w:tc>
        <w:tc>
          <w:tcPr>
            <w:tcW w:w="2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2"/>
        </w:trPr>
        <w:tc>
          <w:tcPr>
            <w:tcW w:w="246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Scott Gordon</w:t>
            </w:r>
          </w:p>
        </w:tc>
        <w:tc>
          <w:tcPr>
            <w:tcW w:w="31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Egg Rock Holdings (including</w:t>
            </w:r>
          </w:p>
        </w:tc>
        <w:tc>
          <w:tcPr>
            <w:tcW w:w="28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7"/>
              </w:rPr>
              <w:t>Cannabis products, manufacturing,</w:t>
            </w:r>
          </w:p>
        </w:tc>
        <w:tc>
          <w:tcPr>
            <w:tcW w:w="200" w:type="dxa"/>
            <w:vAlign w:val="bottom"/>
            <w:shd w:val="clear" w:color="auto" w:fill="D5EAEA"/>
          </w:tcPr>
          <w:p>
            <w:pPr>
              <w:spacing w:after="0"/>
              <w:rPr>
                <w:sz w:val="21"/>
                <w:szCs w:val="21"/>
                <w:color w:val="auto"/>
              </w:rPr>
            </w:pPr>
          </w:p>
        </w:tc>
        <w:tc>
          <w:tcPr>
            <w:tcW w:w="26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Co-founder and Chairman</w:t>
            </w:r>
          </w:p>
        </w:tc>
      </w:tr>
      <w:tr>
        <w:trPr>
          <w:trHeight w:val="216"/>
        </w:trPr>
        <w:tc>
          <w:tcPr>
            <w:tcW w:w="40" w:type="dxa"/>
            <w:vAlign w:val="bottom"/>
            <w:shd w:val="clear" w:color="auto" w:fill="D5EAEA"/>
          </w:tcPr>
          <w:p>
            <w:pPr>
              <w:spacing w:after="0"/>
              <w:rPr>
                <w:sz w:val="18"/>
                <w:szCs w:val="18"/>
                <w:color w:val="auto"/>
              </w:rPr>
            </w:pPr>
          </w:p>
        </w:tc>
        <w:tc>
          <w:tcPr>
            <w:tcW w:w="2420" w:type="dxa"/>
            <w:vAlign w:val="bottom"/>
            <w:shd w:val="clear" w:color="auto" w:fill="D5EAEA"/>
          </w:tcPr>
          <w:p>
            <w:pPr>
              <w:spacing w:after="0"/>
              <w:rPr>
                <w:sz w:val="18"/>
                <w:szCs w:val="18"/>
                <w:color w:val="auto"/>
              </w:rPr>
            </w:pPr>
          </w:p>
        </w:tc>
        <w:tc>
          <w:tcPr>
            <w:tcW w:w="31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0"/>
              </w:rPr>
              <w:t>subsidiaries operating the Papa &amp; Barkley</w:t>
            </w:r>
          </w:p>
        </w:tc>
        <w:tc>
          <w:tcPr>
            <w:tcW w:w="28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processing, and logistics; hemp-</w:t>
            </w:r>
          </w:p>
        </w:tc>
        <w:tc>
          <w:tcPr>
            <w:tcW w:w="200" w:type="dxa"/>
            <w:vAlign w:val="bottom"/>
            <w:shd w:val="clear" w:color="auto" w:fill="D5EAEA"/>
          </w:tcPr>
          <w:p>
            <w:pPr>
              <w:spacing w:after="0"/>
              <w:rPr>
                <w:sz w:val="18"/>
                <w:szCs w:val="18"/>
                <w:color w:val="auto"/>
              </w:rPr>
            </w:pPr>
          </w:p>
        </w:tc>
        <w:tc>
          <w:tcPr>
            <w:tcW w:w="260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20" w:type="dxa"/>
            <w:vAlign w:val="bottom"/>
            <w:tcBorders>
              <w:bottom w:val="single" w:sz="8" w:color="D5EAEA"/>
            </w:tcBorders>
            <w:shd w:val="clear" w:color="auto" w:fill="D5EAEA"/>
          </w:tcPr>
          <w:p>
            <w:pPr>
              <w:spacing w:after="0"/>
              <w:rPr>
                <w:sz w:val="21"/>
                <w:szCs w:val="21"/>
                <w:color w:val="auto"/>
              </w:rPr>
            </w:pPr>
          </w:p>
        </w:tc>
        <w:tc>
          <w:tcPr>
            <w:tcW w:w="312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business line)</w:t>
            </w:r>
          </w:p>
        </w:tc>
        <w:tc>
          <w:tcPr>
            <w:tcW w:w="282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derived CBD</w:t>
            </w:r>
          </w:p>
        </w:tc>
        <w:tc>
          <w:tcPr>
            <w:tcW w:w="200" w:type="dxa"/>
            <w:vAlign w:val="bottom"/>
            <w:tcBorders>
              <w:bottom w:val="single" w:sz="8" w:color="D5EAEA"/>
            </w:tcBorders>
            <w:shd w:val="clear" w:color="auto" w:fill="D5EAEA"/>
          </w:tcPr>
          <w:p>
            <w:pPr>
              <w:spacing w:after="0"/>
              <w:rPr>
                <w:sz w:val="21"/>
                <w:szCs w:val="21"/>
                <w:color w:val="auto"/>
              </w:rPr>
            </w:pPr>
          </w:p>
        </w:tc>
        <w:tc>
          <w:tcPr>
            <w:tcW w:w="260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42"/>
        </w:trPr>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120" w:type="dxa"/>
            <w:vAlign w:val="bottom"/>
            <w:gridSpan w:val="2"/>
          </w:tcPr>
          <w:p>
            <w:pPr>
              <w:ind w:left="80"/>
              <w:spacing w:after="0"/>
              <w:rPr>
                <w:sz w:val="20"/>
                <w:szCs w:val="20"/>
                <w:color w:val="auto"/>
              </w:rPr>
            </w:pPr>
            <w:r>
              <w:rPr>
                <w:rFonts w:ascii="Arial" w:cs="Arial" w:eastAsia="Arial" w:hAnsi="Arial"/>
                <w:sz w:val="18"/>
                <w:szCs w:val="18"/>
                <w:color w:val="auto"/>
              </w:rPr>
              <w:t>Silver Spike Capital</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w w:val="94"/>
              </w:rPr>
              <w:t>Asset management fund focused on</w:t>
            </w:r>
          </w:p>
        </w:tc>
        <w:tc>
          <w:tcPr>
            <w:tcW w:w="20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Manager, CEO</w:t>
            </w:r>
          </w:p>
        </w:tc>
      </w:tr>
      <w:tr>
        <w:trPr>
          <w:trHeight w:val="216"/>
        </w:trPr>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cannabis and related health &amp;</w:t>
            </w: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wellness industries</w:t>
            </w: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
        </w:trPr>
        <w:tc>
          <w:tcPr>
            <w:tcW w:w="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2"/>
        </w:trPr>
        <w:tc>
          <w:tcPr>
            <w:tcW w:w="246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William Healy</w:t>
            </w:r>
          </w:p>
        </w:tc>
        <w:tc>
          <w:tcPr>
            <w:tcW w:w="31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Silver Spike Capital</w:t>
            </w:r>
          </w:p>
        </w:tc>
        <w:tc>
          <w:tcPr>
            <w:tcW w:w="28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4"/>
              </w:rPr>
              <w:t>Asset management fund focused on</w:t>
            </w:r>
          </w:p>
        </w:tc>
        <w:tc>
          <w:tcPr>
            <w:tcW w:w="200" w:type="dxa"/>
            <w:vAlign w:val="bottom"/>
            <w:shd w:val="clear" w:color="auto" w:fill="D5EAEA"/>
          </w:tcPr>
          <w:p>
            <w:pPr>
              <w:spacing w:after="0"/>
              <w:rPr>
                <w:sz w:val="21"/>
                <w:szCs w:val="21"/>
                <w:color w:val="auto"/>
              </w:rPr>
            </w:pPr>
          </w:p>
        </w:tc>
        <w:tc>
          <w:tcPr>
            <w:tcW w:w="26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Manager</w:t>
            </w:r>
          </w:p>
        </w:tc>
      </w:tr>
      <w:tr>
        <w:trPr>
          <w:trHeight w:val="216"/>
        </w:trPr>
        <w:tc>
          <w:tcPr>
            <w:tcW w:w="40" w:type="dxa"/>
            <w:vAlign w:val="bottom"/>
            <w:shd w:val="clear" w:color="auto" w:fill="D5EAEA"/>
          </w:tcPr>
          <w:p>
            <w:pPr>
              <w:spacing w:after="0"/>
              <w:rPr>
                <w:sz w:val="18"/>
                <w:szCs w:val="18"/>
                <w:color w:val="auto"/>
              </w:rPr>
            </w:pPr>
          </w:p>
        </w:tc>
        <w:tc>
          <w:tcPr>
            <w:tcW w:w="24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040" w:type="dxa"/>
            <w:vAlign w:val="bottom"/>
            <w:shd w:val="clear" w:color="auto" w:fill="D5EAEA"/>
          </w:tcPr>
          <w:p>
            <w:pPr>
              <w:spacing w:after="0"/>
              <w:rPr>
                <w:sz w:val="18"/>
                <w:szCs w:val="18"/>
                <w:color w:val="auto"/>
              </w:rPr>
            </w:pPr>
          </w:p>
        </w:tc>
        <w:tc>
          <w:tcPr>
            <w:tcW w:w="28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cannabis and related health &amp;</w:t>
            </w:r>
          </w:p>
        </w:tc>
        <w:tc>
          <w:tcPr>
            <w:tcW w:w="200" w:type="dxa"/>
            <w:vAlign w:val="bottom"/>
            <w:shd w:val="clear" w:color="auto" w:fill="D5EAEA"/>
          </w:tcPr>
          <w:p>
            <w:pPr>
              <w:spacing w:after="0"/>
              <w:rPr>
                <w:sz w:val="18"/>
                <w:szCs w:val="18"/>
                <w:color w:val="auto"/>
              </w:rPr>
            </w:pPr>
          </w:p>
        </w:tc>
        <w:tc>
          <w:tcPr>
            <w:tcW w:w="260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20" w:type="dxa"/>
            <w:vAlign w:val="bottom"/>
            <w:tcBorders>
              <w:bottom w:val="single" w:sz="8" w:color="D5EAEA"/>
            </w:tcBorders>
            <w:shd w:val="clear" w:color="auto" w:fill="D5EAEA"/>
          </w:tcPr>
          <w:p>
            <w:pPr>
              <w:spacing w:after="0"/>
              <w:rPr>
                <w:sz w:val="21"/>
                <w:szCs w:val="21"/>
                <w:color w:val="auto"/>
              </w:rPr>
            </w:pPr>
          </w:p>
        </w:tc>
        <w:tc>
          <w:tcPr>
            <w:tcW w:w="80" w:type="dxa"/>
            <w:vAlign w:val="bottom"/>
            <w:tcBorders>
              <w:bottom w:val="single" w:sz="8" w:color="D5EAEA"/>
            </w:tcBorders>
            <w:shd w:val="clear" w:color="auto" w:fill="D5EAEA"/>
          </w:tcPr>
          <w:p>
            <w:pPr>
              <w:spacing w:after="0"/>
              <w:rPr>
                <w:sz w:val="21"/>
                <w:szCs w:val="21"/>
                <w:color w:val="auto"/>
              </w:rPr>
            </w:pPr>
          </w:p>
        </w:tc>
        <w:tc>
          <w:tcPr>
            <w:tcW w:w="3040" w:type="dxa"/>
            <w:vAlign w:val="bottom"/>
            <w:tcBorders>
              <w:bottom w:val="single" w:sz="8" w:color="D5EAEA"/>
            </w:tcBorders>
            <w:shd w:val="clear" w:color="auto" w:fill="D5EAEA"/>
          </w:tcPr>
          <w:p>
            <w:pPr>
              <w:spacing w:after="0"/>
              <w:rPr>
                <w:sz w:val="21"/>
                <w:szCs w:val="21"/>
                <w:color w:val="auto"/>
              </w:rPr>
            </w:pPr>
          </w:p>
        </w:tc>
        <w:tc>
          <w:tcPr>
            <w:tcW w:w="282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wellness industries</w:t>
            </w:r>
          </w:p>
        </w:tc>
        <w:tc>
          <w:tcPr>
            <w:tcW w:w="200" w:type="dxa"/>
            <w:vAlign w:val="bottom"/>
            <w:tcBorders>
              <w:bottom w:val="single" w:sz="8" w:color="D5EAEA"/>
            </w:tcBorders>
            <w:shd w:val="clear" w:color="auto" w:fill="D5EAEA"/>
          </w:tcPr>
          <w:p>
            <w:pPr>
              <w:spacing w:after="0"/>
              <w:rPr>
                <w:sz w:val="21"/>
                <w:szCs w:val="21"/>
                <w:color w:val="auto"/>
              </w:rPr>
            </w:pPr>
          </w:p>
        </w:tc>
        <w:tc>
          <w:tcPr>
            <w:tcW w:w="260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42"/>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Greg Gentile</w:t>
            </w:r>
          </w:p>
        </w:tc>
        <w:tc>
          <w:tcPr>
            <w:tcW w:w="3120" w:type="dxa"/>
            <w:vAlign w:val="bottom"/>
            <w:gridSpan w:val="2"/>
          </w:tcPr>
          <w:p>
            <w:pPr>
              <w:ind w:left="80"/>
              <w:spacing w:after="0"/>
              <w:rPr>
                <w:sz w:val="20"/>
                <w:szCs w:val="20"/>
                <w:color w:val="auto"/>
              </w:rPr>
            </w:pPr>
            <w:r>
              <w:rPr>
                <w:rFonts w:ascii="Arial" w:cs="Arial" w:eastAsia="Arial" w:hAnsi="Arial"/>
                <w:sz w:val="18"/>
                <w:szCs w:val="18"/>
                <w:color w:val="auto"/>
              </w:rPr>
              <w:t>Silver Spike Capital</w:t>
            </w:r>
          </w:p>
        </w:tc>
        <w:tc>
          <w:tcPr>
            <w:tcW w:w="2820" w:type="dxa"/>
            <w:vAlign w:val="bottom"/>
            <w:gridSpan w:val="2"/>
          </w:tcPr>
          <w:p>
            <w:pPr>
              <w:ind w:left="80"/>
              <w:spacing w:after="0"/>
              <w:rPr>
                <w:sz w:val="20"/>
                <w:szCs w:val="20"/>
                <w:color w:val="auto"/>
              </w:rPr>
            </w:pPr>
            <w:r>
              <w:rPr>
                <w:rFonts w:ascii="Arial" w:cs="Arial" w:eastAsia="Arial" w:hAnsi="Arial"/>
                <w:sz w:val="18"/>
                <w:szCs w:val="18"/>
                <w:color w:val="auto"/>
                <w:w w:val="94"/>
              </w:rPr>
              <w:t>Asset management fund focused on</w:t>
            </w:r>
          </w:p>
        </w:tc>
        <w:tc>
          <w:tcPr>
            <w:tcW w:w="200" w:type="dxa"/>
            <w:vAlign w:val="bottom"/>
          </w:tcPr>
          <w:p>
            <w:pPr>
              <w:spacing w:after="0"/>
              <w:rPr>
                <w:sz w:val="21"/>
                <w:szCs w:val="21"/>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Manager, CFO</w:t>
            </w:r>
          </w:p>
        </w:tc>
      </w:tr>
      <w:tr>
        <w:trPr>
          <w:trHeight w:val="216"/>
        </w:trPr>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cannabis and related health &amp;</w:t>
            </w: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20" w:type="dxa"/>
            <w:vAlign w:val="bottom"/>
            <w:gridSpan w:val="2"/>
          </w:tcPr>
          <w:p>
            <w:pPr>
              <w:ind w:left="80"/>
              <w:spacing w:after="0"/>
              <w:rPr>
                <w:sz w:val="20"/>
                <w:szCs w:val="20"/>
                <w:color w:val="auto"/>
              </w:rPr>
            </w:pPr>
            <w:r>
              <w:rPr>
                <w:rFonts w:ascii="Arial" w:cs="Arial" w:eastAsia="Arial" w:hAnsi="Arial"/>
                <w:sz w:val="18"/>
                <w:szCs w:val="18"/>
                <w:color w:val="auto"/>
              </w:rPr>
              <w:t>wellness industries</w:t>
            </w: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
        </w:trPr>
        <w:tc>
          <w:tcPr>
            <w:tcW w:w="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42"/>
        </w:trPr>
        <w:tc>
          <w:tcPr>
            <w:tcW w:w="246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Mohammed Grimeh</w:t>
            </w:r>
          </w:p>
        </w:tc>
        <w:tc>
          <w:tcPr>
            <w:tcW w:w="31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Silver Spike Capital</w:t>
            </w:r>
          </w:p>
        </w:tc>
        <w:tc>
          <w:tcPr>
            <w:tcW w:w="28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w w:val="94"/>
              </w:rPr>
              <w:t>Asset management fund focused on</w:t>
            </w:r>
          </w:p>
        </w:tc>
        <w:tc>
          <w:tcPr>
            <w:tcW w:w="200" w:type="dxa"/>
            <w:vAlign w:val="bottom"/>
            <w:shd w:val="clear" w:color="auto" w:fill="D5EAEA"/>
          </w:tcPr>
          <w:p>
            <w:pPr>
              <w:spacing w:after="0"/>
              <w:rPr>
                <w:sz w:val="21"/>
                <w:szCs w:val="21"/>
                <w:color w:val="auto"/>
              </w:rPr>
            </w:pPr>
          </w:p>
        </w:tc>
        <w:tc>
          <w:tcPr>
            <w:tcW w:w="26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Manager, COO</w:t>
            </w:r>
          </w:p>
        </w:tc>
      </w:tr>
      <w:tr>
        <w:trPr>
          <w:trHeight w:val="216"/>
        </w:trPr>
        <w:tc>
          <w:tcPr>
            <w:tcW w:w="40" w:type="dxa"/>
            <w:vAlign w:val="bottom"/>
            <w:shd w:val="clear" w:color="auto" w:fill="D5EAEA"/>
          </w:tcPr>
          <w:p>
            <w:pPr>
              <w:spacing w:after="0"/>
              <w:rPr>
                <w:sz w:val="18"/>
                <w:szCs w:val="18"/>
                <w:color w:val="auto"/>
              </w:rPr>
            </w:pPr>
          </w:p>
        </w:tc>
        <w:tc>
          <w:tcPr>
            <w:tcW w:w="24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3040" w:type="dxa"/>
            <w:vAlign w:val="bottom"/>
            <w:shd w:val="clear" w:color="auto" w:fill="D5EAEA"/>
          </w:tcPr>
          <w:p>
            <w:pPr>
              <w:spacing w:after="0"/>
              <w:rPr>
                <w:sz w:val="18"/>
                <w:szCs w:val="18"/>
                <w:color w:val="auto"/>
              </w:rPr>
            </w:pPr>
          </w:p>
        </w:tc>
        <w:tc>
          <w:tcPr>
            <w:tcW w:w="2820" w:type="dxa"/>
            <w:vAlign w:val="bottom"/>
            <w:gridSpan w:val="2"/>
            <w:shd w:val="clear" w:color="auto" w:fill="D5EAEA"/>
          </w:tcPr>
          <w:p>
            <w:pPr>
              <w:ind w:left="80"/>
              <w:spacing w:after="0"/>
              <w:rPr>
                <w:sz w:val="20"/>
                <w:szCs w:val="20"/>
                <w:color w:val="auto"/>
              </w:rPr>
            </w:pPr>
            <w:r>
              <w:rPr>
                <w:rFonts w:ascii="Arial" w:cs="Arial" w:eastAsia="Arial" w:hAnsi="Arial"/>
                <w:sz w:val="18"/>
                <w:szCs w:val="18"/>
                <w:color w:val="auto"/>
              </w:rPr>
              <w:t>cannabis and related health &amp;</w:t>
            </w:r>
          </w:p>
        </w:tc>
        <w:tc>
          <w:tcPr>
            <w:tcW w:w="200" w:type="dxa"/>
            <w:vAlign w:val="bottom"/>
            <w:shd w:val="clear" w:color="auto" w:fill="D5EAEA"/>
          </w:tcPr>
          <w:p>
            <w:pPr>
              <w:spacing w:after="0"/>
              <w:rPr>
                <w:sz w:val="18"/>
                <w:szCs w:val="18"/>
                <w:color w:val="auto"/>
              </w:rPr>
            </w:pPr>
          </w:p>
        </w:tc>
        <w:tc>
          <w:tcPr>
            <w:tcW w:w="2600" w:type="dxa"/>
            <w:vAlign w:val="bottom"/>
            <w:shd w:val="clear" w:color="auto" w:fill="D5EAEA"/>
          </w:tcPr>
          <w:p>
            <w:pPr>
              <w:spacing w:after="0"/>
              <w:rPr>
                <w:sz w:val="18"/>
                <w:szCs w:val="18"/>
                <w:color w:val="auto"/>
              </w:rPr>
            </w:pPr>
          </w:p>
        </w:tc>
        <w:tc>
          <w:tcPr>
            <w:tcW w:w="40" w:type="dxa"/>
            <w:vAlign w:val="bottom"/>
            <w:shd w:val="clear" w:color="auto" w:fill="D5EAEA"/>
          </w:tcPr>
          <w:p>
            <w:pPr>
              <w:spacing w:after="0"/>
              <w:rPr>
                <w:sz w:val="18"/>
                <w:szCs w:val="18"/>
                <w:color w:val="auto"/>
              </w:rPr>
            </w:pPr>
          </w:p>
        </w:tc>
      </w:tr>
      <w:tr>
        <w:trPr>
          <w:trHeight w:val="251"/>
        </w:trPr>
        <w:tc>
          <w:tcPr>
            <w:tcW w:w="40" w:type="dxa"/>
            <w:vAlign w:val="bottom"/>
            <w:tcBorders>
              <w:bottom w:val="single" w:sz="8" w:color="D5EAEA"/>
            </w:tcBorders>
            <w:shd w:val="clear" w:color="auto" w:fill="D5EAEA"/>
          </w:tcPr>
          <w:p>
            <w:pPr>
              <w:spacing w:after="0"/>
              <w:rPr>
                <w:sz w:val="21"/>
                <w:szCs w:val="21"/>
                <w:color w:val="auto"/>
              </w:rPr>
            </w:pPr>
          </w:p>
        </w:tc>
        <w:tc>
          <w:tcPr>
            <w:tcW w:w="2420" w:type="dxa"/>
            <w:vAlign w:val="bottom"/>
            <w:tcBorders>
              <w:bottom w:val="single" w:sz="8" w:color="D5EAEA"/>
            </w:tcBorders>
            <w:shd w:val="clear" w:color="auto" w:fill="D5EAEA"/>
          </w:tcPr>
          <w:p>
            <w:pPr>
              <w:spacing w:after="0"/>
              <w:rPr>
                <w:sz w:val="21"/>
                <w:szCs w:val="21"/>
                <w:color w:val="auto"/>
              </w:rPr>
            </w:pPr>
          </w:p>
        </w:tc>
        <w:tc>
          <w:tcPr>
            <w:tcW w:w="80" w:type="dxa"/>
            <w:vAlign w:val="bottom"/>
            <w:tcBorders>
              <w:bottom w:val="single" w:sz="8" w:color="D5EAEA"/>
            </w:tcBorders>
            <w:shd w:val="clear" w:color="auto" w:fill="D5EAEA"/>
          </w:tcPr>
          <w:p>
            <w:pPr>
              <w:spacing w:after="0"/>
              <w:rPr>
                <w:sz w:val="21"/>
                <w:szCs w:val="21"/>
                <w:color w:val="auto"/>
              </w:rPr>
            </w:pPr>
          </w:p>
        </w:tc>
        <w:tc>
          <w:tcPr>
            <w:tcW w:w="3040" w:type="dxa"/>
            <w:vAlign w:val="bottom"/>
            <w:tcBorders>
              <w:bottom w:val="single" w:sz="8" w:color="D5EAEA"/>
            </w:tcBorders>
            <w:shd w:val="clear" w:color="auto" w:fill="D5EAEA"/>
          </w:tcPr>
          <w:p>
            <w:pPr>
              <w:spacing w:after="0"/>
              <w:rPr>
                <w:sz w:val="21"/>
                <w:szCs w:val="21"/>
                <w:color w:val="auto"/>
              </w:rPr>
            </w:pPr>
          </w:p>
        </w:tc>
        <w:tc>
          <w:tcPr>
            <w:tcW w:w="2820" w:type="dxa"/>
            <w:vAlign w:val="bottom"/>
            <w:tcBorders>
              <w:bottom w:val="single" w:sz="8" w:color="D5EAEA"/>
            </w:tcBorders>
            <w:gridSpan w:val="2"/>
            <w:shd w:val="clear" w:color="auto" w:fill="D5EAEA"/>
          </w:tcPr>
          <w:p>
            <w:pPr>
              <w:ind w:left="80"/>
              <w:spacing w:after="0"/>
              <w:rPr>
                <w:sz w:val="20"/>
                <w:szCs w:val="20"/>
                <w:color w:val="auto"/>
              </w:rPr>
            </w:pPr>
            <w:r>
              <w:rPr>
                <w:rFonts w:ascii="Arial" w:cs="Arial" w:eastAsia="Arial" w:hAnsi="Arial"/>
                <w:sz w:val="18"/>
                <w:szCs w:val="18"/>
                <w:color w:val="auto"/>
              </w:rPr>
              <w:t>wellness industries</w:t>
            </w:r>
          </w:p>
        </w:tc>
        <w:tc>
          <w:tcPr>
            <w:tcW w:w="200" w:type="dxa"/>
            <w:vAlign w:val="bottom"/>
            <w:tcBorders>
              <w:bottom w:val="single" w:sz="8" w:color="D5EAEA"/>
            </w:tcBorders>
            <w:shd w:val="clear" w:color="auto" w:fill="D5EAEA"/>
          </w:tcPr>
          <w:p>
            <w:pPr>
              <w:spacing w:after="0"/>
              <w:rPr>
                <w:sz w:val="21"/>
                <w:szCs w:val="21"/>
                <w:color w:val="auto"/>
              </w:rPr>
            </w:pPr>
          </w:p>
        </w:tc>
        <w:tc>
          <w:tcPr>
            <w:tcW w:w="2600" w:type="dxa"/>
            <w:vAlign w:val="bottom"/>
            <w:tcBorders>
              <w:bottom w:val="single" w:sz="8" w:color="D5EAEA"/>
            </w:tcBorders>
            <w:shd w:val="clear" w:color="auto" w:fill="D5EAEA"/>
          </w:tcPr>
          <w:p>
            <w:pPr>
              <w:spacing w:after="0"/>
              <w:rPr>
                <w:sz w:val="21"/>
                <w:szCs w:val="21"/>
                <w:color w:val="auto"/>
              </w:rPr>
            </w:pPr>
          </w:p>
        </w:tc>
        <w:tc>
          <w:tcPr>
            <w:tcW w:w="40" w:type="dxa"/>
            <w:vAlign w:val="bottom"/>
            <w:tcBorders>
              <w:bottom w:val="single" w:sz="8" w:color="D5EAEA"/>
            </w:tcBorders>
            <w:shd w:val="clear" w:color="auto" w:fill="D5EAEA"/>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40" w:type="dxa"/>
            <w:vAlign w:val="bottom"/>
            <w:shd w:val="clear" w:color="auto" w:fill="D5EAEA"/>
          </w:tcPr>
          <w:p>
            <w:pPr>
              <w:spacing w:after="0"/>
              <w:rPr>
                <w:sz w:val="24"/>
                <w:szCs w:val="24"/>
                <w:color w:val="auto"/>
              </w:rPr>
            </w:pPr>
          </w:p>
        </w:tc>
        <w:tc>
          <w:tcPr>
            <w:tcW w:w="2420" w:type="dxa"/>
            <w:vAlign w:val="bottom"/>
            <w:shd w:val="clear" w:color="auto" w:fill="D5EAEA"/>
          </w:tcPr>
          <w:p>
            <w:pPr>
              <w:spacing w:after="0"/>
              <w:rPr>
                <w:sz w:val="24"/>
                <w:szCs w:val="24"/>
                <w:color w:val="auto"/>
              </w:rPr>
            </w:pPr>
          </w:p>
        </w:tc>
        <w:tc>
          <w:tcPr>
            <w:tcW w:w="80" w:type="dxa"/>
            <w:vAlign w:val="bottom"/>
            <w:shd w:val="clear" w:color="auto" w:fill="D5EAEA"/>
          </w:tcPr>
          <w:p>
            <w:pPr>
              <w:spacing w:after="0"/>
              <w:rPr>
                <w:sz w:val="24"/>
                <w:szCs w:val="24"/>
                <w:color w:val="auto"/>
              </w:rPr>
            </w:pPr>
          </w:p>
        </w:tc>
        <w:tc>
          <w:tcPr>
            <w:tcW w:w="3040" w:type="dxa"/>
            <w:vAlign w:val="bottom"/>
            <w:shd w:val="clear" w:color="auto" w:fill="D5EAEA"/>
          </w:tcPr>
          <w:p>
            <w:pPr>
              <w:spacing w:after="0"/>
              <w:rPr>
                <w:sz w:val="24"/>
                <w:szCs w:val="24"/>
                <w:color w:val="auto"/>
              </w:rPr>
            </w:pPr>
          </w:p>
        </w:tc>
        <w:tc>
          <w:tcPr>
            <w:tcW w:w="80" w:type="dxa"/>
            <w:vAlign w:val="bottom"/>
            <w:shd w:val="clear" w:color="auto" w:fill="D5EAEA"/>
          </w:tcPr>
          <w:p>
            <w:pPr>
              <w:spacing w:after="0"/>
              <w:rPr>
                <w:sz w:val="24"/>
                <w:szCs w:val="24"/>
                <w:color w:val="auto"/>
              </w:rPr>
            </w:pPr>
          </w:p>
        </w:tc>
        <w:tc>
          <w:tcPr>
            <w:tcW w:w="2740" w:type="dxa"/>
            <w:vAlign w:val="bottom"/>
            <w:shd w:val="clear" w:color="auto" w:fill="D5EAEA"/>
          </w:tcPr>
          <w:p>
            <w:pPr>
              <w:spacing w:after="0"/>
              <w:rPr>
                <w:sz w:val="24"/>
                <w:szCs w:val="24"/>
                <w:color w:val="auto"/>
              </w:rPr>
            </w:pPr>
          </w:p>
        </w:tc>
        <w:tc>
          <w:tcPr>
            <w:tcW w:w="200" w:type="dxa"/>
            <w:vAlign w:val="bottom"/>
            <w:shd w:val="clear" w:color="auto" w:fill="D5EAEA"/>
          </w:tcPr>
          <w:p>
            <w:pPr>
              <w:spacing w:after="0"/>
              <w:rPr>
                <w:sz w:val="24"/>
                <w:szCs w:val="24"/>
                <w:color w:val="auto"/>
              </w:rPr>
            </w:pPr>
          </w:p>
        </w:tc>
        <w:tc>
          <w:tcPr>
            <w:tcW w:w="2600" w:type="dxa"/>
            <w:vAlign w:val="bottom"/>
            <w:shd w:val="clear" w:color="auto" w:fill="D5EAEA"/>
          </w:tcPr>
          <w:p>
            <w:pPr>
              <w:spacing w:after="0"/>
              <w:rPr>
                <w:sz w:val="24"/>
                <w:szCs w:val="24"/>
                <w:color w:val="auto"/>
              </w:rPr>
            </w:pPr>
          </w:p>
        </w:tc>
        <w:tc>
          <w:tcPr>
            <w:tcW w:w="40" w:type="dxa"/>
            <w:vAlign w:val="bottom"/>
            <w:shd w:val="clear" w:color="auto" w:fill="D5EAEA"/>
          </w:tcPr>
          <w:p>
            <w:pPr>
              <w:spacing w:after="0"/>
              <w:rPr>
                <w:sz w:val="24"/>
                <w:szCs w:val="24"/>
                <w:color w:val="auto"/>
              </w:rPr>
            </w:pPr>
          </w:p>
        </w:tc>
      </w:tr>
    </w:tbl>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165"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initial shareholders have agreed, pursuant to the terms of a letter agreement entered into with us, to vote their founder shares (and their permitted transferees will agree)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12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our officers, directors and director nominees as a group.</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the date of this prospectus.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post-offering ownership percentage column below assumes that the underwriters do not exercise their over-allotment option, that our sponsor forfeits 937,500 founder shares and that there are 31,250,000 ordinary shares issued and outstanding after this offering.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Approximate Percentage of Issued and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3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Outstanding Ordinary Shares</w:t>
            </w:r>
          </w:p>
        </w:tc>
        <w:tc>
          <w:tcPr>
            <w:tcW w:w="0" w:type="dxa"/>
            <w:vAlign w:val="bottom"/>
          </w:tcPr>
          <w:p>
            <w:pPr>
              <w:spacing w:after="0"/>
              <w:rPr>
                <w:sz w:val="1"/>
                <w:szCs w:val="1"/>
                <w:color w:val="auto"/>
              </w:rPr>
            </w:pPr>
          </w:p>
        </w:tc>
      </w:tr>
      <w:tr>
        <w:trPr>
          <w:trHeight w:val="178"/>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Class A Shares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Beneficially</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gridSpan w:val="2"/>
          </w:tcPr>
          <w:p>
            <w:pPr>
              <w:ind w:left="1420"/>
              <w:spacing w:after="0"/>
              <w:rPr>
                <w:sz w:val="20"/>
                <w:szCs w:val="20"/>
                <w:color w:val="auto"/>
              </w:rPr>
            </w:pPr>
            <w:r>
              <w:rPr>
                <w:rFonts w:ascii="Arial" w:cs="Arial" w:eastAsia="Arial" w:hAnsi="Arial"/>
                <w:sz w:val="18"/>
                <w:szCs w:val="18"/>
                <w:b w:val="1"/>
                <w:bCs w:val="1"/>
                <w:color w:val="auto"/>
              </w:rPr>
              <w:t>Name and Address of Beneficial Owner(1)</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Owned(2)</w:t>
            </w:r>
          </w:p>
        </w:tc>
        <w:tc>
          <w:tcPr>
            <w:tcW w:w="1700" w:type="dxa"/>
            <w:vAlign w:val="bottom"/>
            <w:gridSpan w:val="2"/>
          </w:tcPr>
          <w:p>
            <w:pPr>
              <w:ind w:left="180"/>
              <w:spacing w:after="0"/>
              <w:rPr>
                <w:sz w:val="20"/>
                <w:szCs w:val="20"/>
                <w:color w:val="auto"/>
              </w:rPr>
            </w:pPr>
            <w:r>
              <w:rPr>
                <w:rFonts w:ascii="Arial" w:cs="Arial" w:eastAsia="Arial" w:hAnsi="Arial"/>
                <w:sz w:val="18"/>
                <w:szCs w:val="18"/>
                <w:b w:val="1"/>
                <w:bCs w:val="1"/>
                <w:color w:val="auto"/>
              </w:rPr>
              <w:t>Before Offering</w:t>
            </w: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Silver Spike Sponsor, LLC</w:t>
            </w:r>
          </w:p>
        </w:tc>
        <w:tc>
          <w:tcPr>
            <w:tcW w:w="100" w:type="dxa"/>
            <w:vAlign w:val="bottom"/>
            <w:tcBorders>
              <w:top w:val="single" w:sz="8" w:color="D5EAEA"/>
            </w:tcBorders>
            <w:shd w:val="clear" w:color="auto" w:fill="D5EAEA"/>
          </w:tcPr>
          <w:p>
            <w:pPr>
              <w:spacing w:after="0"/>
              <w:rPr>
                <w:sz w:val="18"/>
                <w:szCs w:val="18"/>
                <w:color w:val="auto"/>
              </w:rPr>
            </w:pPr>
          </w:p>
        </w:tc>
        <w:tc>
          <w:tcPr>
            <w:tcW w:w="16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7,187,500(3)</w:t>
            </w:r>
          </w:p>
        </w:tc>
        <w:tc>
          <w:tcPr>
            <w:tcW w:w="120" w:type="dxa"/>
            <w:vAlign w:val="bottom"/>
            <w:tcBorders>
              <w:top w:val="single" w:sz="8" w:color="D5EAEA"/>
            </w:tcBorders>
            <w:shd w:val="clear" w:color="auto" w:fill="D5EAEA"/>
          </w:tcPr>
          <w:p>
            <w:pPr>
              <w:spacing w:after="0"/>
              <w:rPr>
                <w:sz w:val="18"/>
                <w:szCs w:val="18"/>
                <w:color w:val="auto"/>
              </w:rPr>
            </w:pPr>
          </w:p>
        </w:tc>
        <w:tc>
          <w:tcPr>
            <w:tcW w:w="15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D5EAEA"/>
            </w:tcBorders>
            <w:shd w:val="clear" w:color="auto" w:fill="D5EAEA"/>
          </w:tcPr>
          <w:p>
            <w:pPr>
              <w:spacing w:after="0"/>
              <w:rPr>
                <w:sz w:val="18"/>
                <w:szCs w:val="18"/>
                <w:color w:val="auto"/>
              </w:rPr>
            </w:pPr>
          </w:p>
        </w:tc>
        <w:tc>
          <w:tcPr>
            <w:tcW w:w="16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1660" w:type="dxa"/>
            <w:vAlign w:val="bottom"/>
          </w:tcPr>
          <w:p>
            <w:pPr>
              <w:jc w:val="right"/>
              <w:spacing w:after="0"/>
              <w:rPr>
                <w:sz w:val="20"/>
                <w:szCs w:val="20"/>
                <w:color w:val="auto"/>
              </w:rPr>
            </w:pPr>
            <w:r>
              <w:rPr>
                <w:rFonts w:ascii="Arial" w:cs="Arial" w:eastAsia="Arial" w:hAnsi="Arial"/>
                <w:sz w:val="18"/>
                <w:szCs w:val="18"/>
                <w:color w:val="auto"/>
              </w:rPr>
              <w:t>7,187,500(3)</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William Healy</w:t>
            </w:r>
          </w:p>
        </w:tc>
        <w:tc>
          <w:tcPr>
            <w:tcW w:w="166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5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Greg Gentile</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Mohammed Grimeh</w:t>
            </w:r>
          </w:p>
        </w:tc>
        <w:tc>
          <w:tcPr>
            <w:tcW w:w="1660" w:type="dxa"/>
            <w:vAlign w:val="bottom"/>
            <w:shd w:val="clear" w:color="auto" w:fill="D5EAEA"/>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5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6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6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6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6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All directors, director nominees and officers as a group (  individuals)</w:t>
            </w:r>
          </w:p>
        </w:tc>
        <w:tc>
          <w:tcPr>
            <w:tcW w:w="2280" w:type="dxa"/>
            <w:vAlign w:val="bottom"/>
          </w:tcPr>
          <w:p>
            <w:pPr>
              <w:jc w:val="right"/>
              <w:ind w:right="590"/>
              <w:spacing w:after="0"/>
              <w:rPr>
                <w:sz w:val="20"/>
                <w:szCs w:val="20"/>
                <w:color w:val="auto"/>
              </w:rPr>
            </w:pPr>
            <w:r>
              <w:rPr>
                <w:rFonts w:ascii="Arial" w:cs="Arial" w:eastAsia="Arial" w:hAnsi="Arial"/>
                <w:sz w:val="18"/>
                <w:szCs w:val="18"/>
                <w:color w:val="auto"/>
              </w:rPr>
              <w:t>7,187,500</w:t>
            </w:r>
          </w:p>
        </w:tc>
        <w:tc>
          <w:tcPr>
            <w:tcW w:w="1860" w:type="dxa"/>
            <w:vAlign w:val="bottom"/>
          </w:tcPr>
          <w:p>
            <w:pPr>
              <w:jc w:val="right"/>
              <w:ind w:right="530"/>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423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340" w:right="8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1114 6th Ave, 41st Floor, New York, New York, 10036, United States of America.</w:t>
      </w:r>
    </w:p>
    <w:p>
      <w:pPr>
        <w:spacing w:after="0" w:line="170"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on the first business day following our initial business combination on a one-for-one basis, subject to adjustment as described below adjacent to the caption “Description of Securities—Founder Shares.”</w:t>
      </w:r>
    </w:p>
    <w:p>
      <w:pPr>
        <w:spacing w:after="0" w:line="184" w:lineRule="exact"/>
        <w:rPr>
          <w:sz w:val="20"/>
          <w:szCs w:val="20"/>
          <w:color w:val="auto"/>
        </w:rPr>
      </w:pPr>
    </w:p>
    <w:p>
      <w:pPr>
        <w:spacing w:after="0"/>
        <w:tabs>
          <w:tab w:leader="none" w:pos="9580" w:val="left"/>
          <w:tab w:leader="none" w:pos="10040" w:val="left"/>
          <w:tab w:leader="none" w:pos="10500" w:val="left"/>
        </w:tabs>
        <w:rPr>
          <w:sz w:val="20"/>
          <w:szCs w:val="20"/>
          <w:color w:val="auto"/>
        </w:rPr>
      </w:pPr>
      <w:r>
        <w:rPr>
          <w:rFonts w:ascii="Arial" w:cs="Arial" w:eastAsia="Arial" w:hAnsi="Arial"/>
          <w:sz w:val="17"/>
          <w:szCs w:val="17"/>
          <w:color w:val="auto"/>
        </w:rPr>
        <w:t>(3) Represents founder shares held by our sponsor. Scott Gordon, Mohammed Grimeh, William Healy and Gregory Gentile hold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and</w:t>
      </w:r>
    </w:p>
    <w:p>
      <w:pPr>
        <w:spacing w:after="0" w:line="23" w:lineRule="exact"/>
        <w:rPr>
          <w:sz w:val="20"/>
          <w:szCs w:val="20"/>
          <w:color w:val="auto"/>
        </w:rPr>
      </w:pPr>
    </w:p>
    <w:p>
      <w:pPr>
        <w:ind w:left="340" w:firstLine="217"/>
        <w:spacing w:after="0" w:line="255"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 the equity interests in Silver Spike Sponsor, LLC. Scott Gordon is a manager of our sponsor. Accordingly, all of the shares held by our sponsor may be deemed to be beneficially held by Scott Gordon. Scott Gordon disclaims beneficial ownership of the ordinary shares held by our sponsor except to the extent of his pecuniary interest therein.</w:t>
      </w:r>
    </w:p>
    <w:p>
      <w:pPr>
        <w:spacing w:after="0" w:line="1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Immediately after this offering, our initial shareholders will beneficially own 20.0% of the then issued and outstanding ordinary shares (assuming our initial shareholders do not purchase any other units in this offering). Prior to our initial business combination, only holders of our founder shares will have the right to vote on the election of</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directors, and holders of a majority of our founder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sponsor has committed, pursuant to a written agreement, to purchase an aggregate of 7,000,000 (or 7,750,000 if the underwriters’ over-allotment option is exercised in full) private placement warrants at a price of $1.00 per warrant ($7,000,000 in the aggregate or $7,750,000 in the aggregate if the underwriters’ over-allotment option is exercised in full) in a private placement that will occur simultaneously with the closing of this offering. Each private placement warrant entitles the holder to purchase one Class A ordinary share at a price of $11.50 per share, subject to adjustment as provided herein. The purchase price of the private placement warrants will be added to the proceeds from this offering to be held in the trust account. If we do not complete our initial business combination within 24 months from the closing of this offering,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17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Our sponsor and our officers and directors are deemed to be our “promoters” as such term is defined under the federal securities laws. See “Certain Relationships and Related Party Transactions” for additional information regarding our relationships with our promoters.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shares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June 2019, our sponsor purchased 7,187,500 founder shares for an aggregate purchase price of $25,000, or $0.004 per share (assuming the over-allotment option is not exercised and the forfeiture by our sponsor of 937,500 founder shares). Our initial shareholders will collectively own 20% of our issued and outstanding shares after this offering (assuming our initial shareholders do not purchase any other units in this offering). 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sponsor has committed, pursuant to a written agreement, to purchase an aggregate of 7,000,000 (or 7,750,000 if the underwriters’ over-allotment option is exercised in full) private placement warrants for a purchase price of $1.00 per warrant in a private placement that will occur simultaneously with the closing of this offering.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more fully discussed in “Management—Conflicts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sponsor has agreed to loan us up to $250,000 under an unsecured promissory note to be used for a portion of the expenses of this offering. As of June 11, 2019, we had borrowed $12,500 under the promissory note with our sponsor to be used for a portion of the expenses of this offering. These loans are non-interest bearing, unsecured and are due at the earlier of January 31, 2020 or the closing of this offering. These loans will be repaid upon completion of this offering out of the $1,000,000 of offering proceeds that has been allocated for the payment of offering expenses (other than underwriting commissions) not held in the trust account. The value of our sponsor’s interest in this loan transaction corresponds to the principal amount outstanding under any such loan.</w:t>
      </w:r>
    </w:p>
    <w:p>
      <w:pPr>
        <w:spacing w:after="0" w:line="19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7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“Principal Shareholders—Registration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the consummation of this offering, we will adopt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Our audit committee will review on a quarterly basis all payments that were made to our sponsor, officers or directors, or our or any of their affiliates.</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spacing w:after="0" w:line="14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this offering and the sale of the private placement warrants held in the trust account prior to the completion of our initial business combination:</w:t>
      </w:r>
    </w:p>
    <w:p>
      <w:pPr>
        <w:spacing w:after="0" w:line="187" w:lineRule="exact"/>
        <w:rPr>
          <w:sz w:val="20"/>
          <w:szCs w:val="20"/>
          <w:color w:val="auto"/>
        </w:rPr>
      </w:pPr>
    </w:p>
    <w:p>
      <w:pPr>
        <w:ind w:left="660" w:right="68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Repayment of an aggregate of up to $250,000 in loans that may be made to us by our sponsor to cover offering-related and organizational expenses (as of June 11, 2019, we had borrowed $12,500 from our sponsor);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36"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above payments may be funded using the net proceeds of this offering and the sale of the private placement warrants not held in the trust account or, upon completion of the initial business combination, from any amounts remaining from the proceeds of the trust account released to us in connection therewith.</w:t>
      </w: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a Cayman Islands exempted company (company number 352066) and our affairs will be governed by our amended and restated memorandum and articles of association, the Companies Law and common law of the Cayman Islands. Pursuant to our amended and restated memorandum and articles of association which will be adopted upon the consummation of this offering, we will be authorized to issue ordinary shares, including 200,000,000 Class A ordinary shares, $0.0001 par value each, and 20,000,000 Class B ordinary shares, par value $0.0001 per share, as well as 1,000,000 undesignated preferred shares, $0.0001 par value each. The following description summarizes the material terms of our shares as set out more particularly in our amended and restated memorandum and articles of association. Because it is only a summary, it may not contain all the information that is important to you.</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Each unit has an offering price of $10.00 and consists of one Class A ordinary share and one-half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Class A ordinary shares and warrants constituting the units will begin separate trading on the 52nd day following the date of this prospectus unless Credit Suisse Securities (USA) LLC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 event will the Class A ordinary shares and warrants be traded separately until we have filed with the SEC a Current Report on Form 8-K which includes an audited balance sheet of the Company reflecting our receipt of the gross proceeds at the closing of this offering. We will file the Current Report on Form 8-K promptly after the closing of this offering which will include this audited balance sheet.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Prior to the date of this prospectus, there were 7,187,500 Class B ordinary shares issued and outstanding, all of which were held of record by our sponsor, so that our sponsor will own 20% of our issued and outstanding shares after this offering (assuming our initial shareholder does not purchase any units in this offering). Our sponsor will forfeit up to 937,500 Class B ordinary shares depending on the extent to which the underwriter’s over-allotment is not exercised. Upon the closing of this offering, 31,250,000 ordinary shares will be issued and outstanding (assuming no exercise of the underwriter’s over-allotment option and forfeiture of 937,500 Class B ordinary shares by our sponsor) including:</w:t>
      </w:r>
    </w:p>
    <w:p>
      <w:pPr>
        <w:spacing w:after="0" w:line="17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25,000,000 Class A ordinary shares underlying the units being offered in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6,250,000 Class B ordinary shares held by our initial shareholders.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increase or decrease the size of this offering, we will effect a capitalization or share repurchase or redemption or other appropriate mechanism, as applicable, with respect to our founder shares immediately prior to the consummation of this offering in such amount as to maintain the number of founder shares at 20% of our issued and outstanding ordinary shares upon the consummation of this offering.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Class A ordinary shareholders and Class B ordinary shareholders of record are entitled to one vote for each share held on all matters to be voted on by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Unless specified in the Companies Law, our amended and restated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amended and restated memorandum and articles of association; such actions include amending our amended and restated memorandum and articles of association and approving a statutory merger or consolidation with another company. Directors are elected for a term of two years. There is no cumulative voting with respect to the election of directors, with the result that the holders of more than 50% of the founder shares voted for the election of directors can elect all of the directors prior to our initial business combination. Our shareholders are entitled to receive ratable dividends when, as and if declared by the board of directors out of funds legally available therefor.</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Because our amended and restated memorandum and articles of association will authorize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187"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Additionally, each public shareholder may elect to redeem its public shares without voting and, if they do vote, irrespective of whether they vote for or against the proposed business combination.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 or we decide to obtain shareholder approval for business or other reasons, we will, like many blank check companies, offer to redeem shares in conjunction with a proxy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any of their affiliates in privately-negotiated transactions (as described in this prospectus), if any, could result in the approval of our initial business combination even if a majority of our public shareholders vote, or indicate their intention to vote, against such business combination. For purposes of seeking approval of an ordinary resolution, non-votes will have no effect on the approval of our initial business combination once a quorum is obtained. We intend to give not less than 10 days nor more than 60 days prior written notice of any such meeting, if required, at which a vote shall be taken to approve our initial business combination. These quorum and voting thresholds, and the voting agreements of our initial shareholders, may make it more likely that we will consummate our initial business combination.</w:t>
      </w:r>
    </w:p>
    <w:p>
      <w:pPr>
        <w:spacing w:after="0" w:line="1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ordinary shares sold in this offering,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the business combination. As a result, such shareholders will continue to hold that number of shares exceeding 15% and, in order to dispose such shares would be required to sell their shares in open market transactions, potentially at a loss.</w:t>
      </w:r>
    </w:p>
    <w:p>
      <w:pPr>
        <w:spacing w:after="0" w:line="1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seek shareholder approval in connection with our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this offering to be voted in favor of a transaction (assuming all issued and outstanding shares are voted and the over-allotment option is not exercised),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w:t>
      </w:r>
    </w:p>
    <w:p>
      <w:pPr>
        <w:spacing w:after="0" w:line="19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Pursuant to our amended and restated memorandum and articles of association, if we are unable to complete our initial business combination within 24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24 months from the closing of this offering. However, if our initial shareholders acquire public shares after this offering, they will be entitled to liquidating distributions from the trust account with respect to such public shares if we fail to complete our initial business combination within the prescribed time period.</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shareholders at such time will be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shareholders with the opportunity to</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founder shares are designated as Class B ordinary shares and are identical to the Class A ordinary shares included in the units being sold in this offering, and holders of founder shares have the same shareholder rights as public shareholders,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as described in more detail below;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the prescribed time frame);</w:t>
      </w:r>
    </w:p>
    <w:p>
      <w:pPr>
        <w:spacing w:after="0" w:line="2" w:lineRule="exact"/>
        <w:rPr>
          <w:sz w:val="20"/>
          <w:szCs w:val="20"/>
          <w:color w:val="auto"/>
        </w:rPr>
      </w:pPr>
    </w:p>
    <w:p>
      <w:pPr>
        <w:ind w:right="100" w:firstLine="8"/>
        <w:spacing w:after="0" w:line="323" w:lineRule="auto"/>
        <w:tabs>
          <w:tab w:leader="none" w:pos="2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founder shares will automatically convert into our Class A ordinary shares as described below and (5) the founder shares are entitled to registration rights. In addition, our directors and officers have also entered into the letter agreement with respect to public shares acquired by them, if any.</w:t>
      </w:r>
    </w:p>
    <w:p>
      <w:pPr>
        <w:spacing w:after="0" w:line="1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this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this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Up to 937,500 founder shares will be forfeited for no consideration by our sponsor depending on the exercise of the over-allotment 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 Cayman Islands law, we must keep a register of members and there shall be entered therein: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0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names and addresses of the members and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this public offering, the register of members shall be immediately updated to reflect the issue of shares by us. Once our register of members has been updated,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amended and restated memorandum and articles of association will authorize 1,000,000 preferred shares and will provide that preferred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 No preferred shares are being issued or registered in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Shareholders’ Redeemable Warrants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Each whole warrant entitles the registered holder to purchase one Class A ordinary share at a price of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will not be obligated to deliver any Class A ordinary shares pursuant to the exercise of a warrant and will have no obligation to settle such warrant exercise unless a registration statement under the Securities Act covering the issuance of the Class A ordinary shares issuable upon exercise of the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warrants, unless the issuance of the shares upon such exercise is registered or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15 business days, after the closing of our initial business combination, we will use our reasonable best efforts to file with the SEC and have an effective registration statement covering the issuance, under the Securities Act,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thereto, until the expiration of the warrants in accordance with the provisions of the warrant agreement. Notwithstanding the above, if our Class A ordinary shares are,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warrants for redemption:</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warrant holders.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well as the $11.50 warrant exercise price after the redemption notice is issued.</w:t>
      </w:r>
    </w:p>
    <w:p>
      <w:pPr>
        <w:spacing w:after="0" w:line="17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w:t>
      </w:r>
    </w:p>
    <w:p>
      <w:pPr>
        <w:spacing w:after="0" w:line="2"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product of the number of Class A ordinary shares underlying the warrants, multiplied by the excess of the “fair market value” (defined below) over</w:t>
      </w:r>
    </w:p>
    <w:p>
      <w:pPr>
        <w:spacing w:after="0" w:line="341"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exercise price of the warrants by (y) the fair market value. The “fair market value” shall mean the average last reported sale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the number of issued and outstanding ordinary shares is increased by a capitalization or share dividend payable in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ordinary shares at a price less than the fair market value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ordinary share paid in such rights offering divided by (y) the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w:t>
      </w:r>
    </w:p>
    <w:p>
      <w:pPr>
        <w:ind w:firstLine="8"/>
        <w:spacing w:after="0" w:line="288" w:lineRule="auto"/>
        <w:tabs>
          <w:tab w:leader="none" w:pos="2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described above, (b) certain ordinary cash dividends,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(i) to modify the substance or timing of our obligation to redeem 100% of our public shares if we do not complete our initial business combination within 24 months from the closing of this offering or (ii) with respect to any other provision relating to shareholders’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the number of issued and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issued and outstanding Class A ordinary shares.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purchasable upon the exercise of the warrants immediately prior to such adjustment, and (y) the denominator of which will be the number of Class A ordinary shares so purchasable immediately thereafter.</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if (x) we issue additional Class A ordinary shares or equity-linked securities for capital raising purposes in connection with the closing of our initial business combination at a Newly Issued Price of less than $9.20 per Class A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38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warrants will be issued in registered form under a warrant agreement between ,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65% of the then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issued and outstanding public warrants to make any change that adversely affects the interests of the registered holders of public warrants.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 fractional warrants will be issued upon separation of the units and only whole warrants will trade.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private placement warrants (including the Class A ordinary shares issuable upon exercise of the private placement warrants) will not be transferable, assignable or salable until 30 days after the completion of our initial business combination (except, among other limited exceptions as described under “Principal Shareholders—Transfers of Founder Shares and Private Placement Warrants,” to our officers and directors and other persons or entities affiliated with our sponsor) and they will not be redeemable by us so long as they are held by our sponsor or its permitted transferees. Our sponsor, as well as its permitted transferees, have the option to exercise the private placement warrants on a cashless basis and will have certain registration rights related to such private placement warrants. Otherwise,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1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except if we increase the size of this offering, in which case we will effect a capitalization or other appropriate mechanism immediately prior to the consummation of this offering in such amount as to maintain the number of founder shares at 20% of our issued and outstanding ordinary shares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transfer agent for our ordinary shares and warrant agent for our warrants is . We have agreed to indemnify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Differences in Corporate Law</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Mergers and Similar Arrangements. </w:t>
      </w:r>
      <w:r>
        <w:rPr>
          <w:rFonts w:ascii="Arial" w:cs="Arial" w:eastAsia="Arial" w:hAnsi="Arial"/>
          <w:sz w:val="18"/>
          <w:szCs w:val="18"/>
          <w:color w:val="auto"/>
        </w:rPr>
        <w:t>In certain circumstances, the Companies Law allows for mergers or consolidations between two Cayman Islands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or between a Cayman Islands exempted company and a company incorporated in another jurisdiction (provided that is facilitated by the laws of that other jurisdiction).</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(at least a majority of 66 2/3%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and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and (3) that the foreign company will, upon the merger or consolidation becoming effective, cease to be incorporated, registered or exist under the laws of the relevant foreign jurisdiction.</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Companies Law provides for a right of dissenting shareholders to be paid a payment of the fair value of his or her shares upon their dissenting to the merger or consolidation in certain circumstances if they follow a prescribed</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procedure. In essence, where such rights apply,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or in the context of a parent and subsidiary merger.</w:t>
      </w:r>
    </w:p>
    <w:p>
      <w:pPr>
        <w:spacing w:after="0" w:line="16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185" w:lineRule="exact"/>
        <w:rPr>
          <w:sz w:val="20"/>
          <w:szCs w:val="20"/>
          <w:color w:val="auto"/>
        </w:rPr>
      </w:pPr>
    </w:p>
    <w:p>
      <w:pPr>
        <w:ind w:left="660" w:right="4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we have complied with the statutory provisions as to majority vote;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arrangement is such as a business-person would reasonably approve;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Squeeze-out Provisions</w:t>
      </w:r>
      <w:r>
        <w:rPr>
          <w:rFonts w:ascii="Arial" w:cs="Arial" w:eastAsia="Arial" w:hAnsi="Arial"/>
          <w:sz w:val="18"/>
          <w:szCs w:val="18"/>
          <w:color w:val="auto"/>
        </w:rPr>
        <w:t>. When a takeover offer is made and accepted by holders of 90% of the shares to whom the offer relates within four months,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offeror may, within a two-month period, require the holders of the remaining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12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Shareholders’ Suits</w:t>
      </w:r>
      <w:r>
        <w:rPr>
          <w:rFonts w:ascii="Arial" w:cs="Arial" w:eastAsia="Arial" w:hAnsi="Arial"/>
          <w:sz w:val="16"/>
          <w:szCs w:val="16"/>
          <w:color w:val="auto"/>
        </w:rPr>
        <w:t>. Our Cayman Islands counsel is not aware of any reported class action having been brought in a Cayman Islands court.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have been brought in the Cayman Islands courts, and the Cayman Islands courts have confirmed the availability of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16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that have actually been obtained;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shareholder may have a direct right of action against us where the individual rights of that shareholder have been infringed or are about to be infringed.</w:t>
      </w:r>
    </w:p>
    <w:p>
      <w:pPr>
        <w:spacing w:after="0" w:line="24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Enforcement of Civil Liabilitie</w:t>
      </w:r>
      <w:r>
        <w:rPr>
          <w:rFonts w:ascii="Arial" w:cs="Arial" w:eastAsia="Arial" w:hAnsi="Arial"/>
          <w:sz w:val="17"/>
          <w:szCs w:val="17"/>
          <w:color w:val="auto"/>
        </w:rPr>
        <w:t>s. The Cayman Islands has a different body of securities laws as compared to the United States and provides less protection</w:t>
      </w:r>
      <w:r>
        <w:rPr>
          <w:rFonts w:ascii="Arial" w:cs="Arial" w:eastAsia="Arial" w:hAnsi="Arial"/>
          <w:sz w:val="17"/>
          <w:szCs w:val="17"/>
          <w:i w:val="1"/>
          <w:iCs w:val="1"/>
          <w:color w:val="auto"/>
        </w:rPr>
        <w:t xml:space="preserve"> </w:t>
      </w:r>
      <w:r>
        <w:rPr>
          <w:rFonts w:ascii="Arial" w:cs="Arial" w:eastAsia="Arial" w:hAnsi="Arial"/>
          <w:sz w:val="17"/>
          <w:szCs w:val="17"/>
          <w:color w:val="auto"/>
        </w:rPr>
        <w:t>to investors. Additionally, Cayman Islands companies may not have standing to sue before the federal courts of the United States.</w:t>
      </w:r>
    </w:p>
    <w:p>
      <w:pPr>
        <w:spacing w:after="0" w:line="1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9"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Special Considerations for Exempted Companies</w:t>
      </w:r>
      <w:r>
        <w:rPr>
          <w:rFonts w:ascii="Arial" w:cs="Arial" w:eastAsia="Arial" w:hAnsi="Arial"/>
          <w:sz w:val="17"/>
          <w:szCs w:val="17"/>
          <w:color w:val="auto"/>
        </w:rPr>
        <w:t>. We are an exempted company with limited liability (meaning our public shareholders have no liability, as</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76" w:lineRule="exact"/>
        <w:rPr>
          <w:sz w:val="20"/>
          <w:szCs w:val="20"/>
          <w:color w:val="auto"/>
        </w:rPr>
      </w:pPr>
    </w:p>
    <w:p>
      <w:pPr>
        <w:ind w:left="660" w:right="10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Memorandum and Articles of Association</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amended and restated memorandum and articles of association will contain certain requirements and restrictions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initial shareholders, who collectively will beneficially own 20% of our ordinary shares upon the closing of this offering (assuming they do not purchase any units in this offering), may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187" w:lineRule="exact"/>
        <w:rPr>
          <w:sz w:val="20"/>
          <w:szCs w:val="20"/>
          <w:color w:val="auto"/>
        </w:rPr>
      </w:pPr>
    </w:p>
    <w:p>
      <w:pPr>
        <w:ind w:left="660" w:right="20" w:hanging="328"/>
        <w:spacing w:after="0" w:line="271"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178" w:lineRule="exact"/>
        <w:rPr>
          <w:rFonts w:ascii="Arial" w:cs="Arial" w:eastAsia="Arial" w:hAnsi="Arial"/>
          <w:sz w:val="17"/>
          <w:szCs w:val="17"/>
          <w:color w:val="auto"/>
        </w:rPr>
      </w:pPr>
    </w:p>
    <w:p>
      <w:pPr>
        <w:ind w:left="660" w:right="140" w:hanging="328"/>
        <w:spacing w:after="0" w:line="25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18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we enter into a business combination with a target business that is affiliated with our sponsor, our directors or our officers (which we currently do not intend to do), we, or a committee of independent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and disinterested directors, will obtain an opinion from an independent investment banking firm, or from an independent accounting firm, that such a business combination is fair to our company from a financial point of view;</w:t>
      </w:r>
    </w:p>
    <w:p>
      <w:pPr>
        <w:spacing w:after="0" w:line="170" w:lineRule="exact"/>
        <w:rPr>
          <w:sz w:val="20"/>
          <w:szCs w:val="20"/>
          <w:color w:val="auto"/>
        </w:rPr>
      </w:pPr>
    </w:p>
    <w:p>
      <w:pPr>
        <w:ind w:left="660" w:right="40" w:hanging="328"/>
        <w:spacing w:after="0" w:line="279"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171" w:lineRule="exact"/>
        <w:rPr>
          <w:rFonts w:ascii="Arial" w:cs="Arial" w:eastAsia="Arial" w:hAnsi="Arial"/>
          <w:sz w:val="17"/>
          <w:szCs w:val="17"/>
          <w:color w:val="auto"/>
        </w:rPr>
      </w:pPr>
    </w:p>
    <w:p>
      <w:pPr>
        <w:ind w:left="660" w:right="180" w:hanging="328"/>
        <w:spacing w:after="0" w:line="286"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 the event our units are listed on Nasdaq, our initial business combination must be with one or more operating businesses or assets with a fair market value equal to at least 80% of the assets held in the trust account (excluding the deferred underwriting commissions and taxes payable on the income earned on the trust account) at the time of the agreement to enter into the initial business combination;</w:t>
      </w:r>
    </w:p>
    <w:p>
      <w:pPr>
        <w:spacing w:after="0" w:line="165"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(x) in the event we enter into a business combination with a target business in the cannabis industry, we must determine that such target business is compliant with all applicable laws and regulations within the jurisdictions in which they are located or operate, and (y) we will not invest in, or consummate a business combination with, a target business that we determine has been operating, or whose business plan is to operate, in violation of U.S. federal laws, including the U.S. Controlled Substances Act;</w:t>
      </w:r>
    </w:p>
    <w:p>
      <w:pPr>
        <w:spacing w:after="0" w:line="186" w:lineRule="exact"/>
        <w:rPr>
          <w:rFonts w:ascii="Arial" w:cs="Arial" w:eastAsia="Arial" w:hAnsi="Arial"/>
          <w:sz w:val="18"/>
          <w:szCs w:val="18"/>
          <w:color w:val="auto"/>
        </w:rPr>
      </w:pPr>
    </w:p>
    <w:p>
      <w:pPr>
        <w:ind w:left="660" w:right="240" w:hanging="328"/>
        <w:spacing w:after="0" w:line="273"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redeem 100% of our public shares if we do not complete our initial business combination within 24 months from the closing of this offering or (B) 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and</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3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after payment of the deferred underwriting commissions, to be less than $5,000,001 upon completion of our initial business combination.</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Companies Law permits a company incorporated in the Cayman Islands to amend its memorandum and articles of association with the approval of the holders of at least two-thirds of such company’s issued and outstanding ordinary shares. A company’s articles of association may specify that the approval of a higher majority is required.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Laundering—Cayman Islands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the identity of their beneficial owners/controllers and source of funds. Where permitted, and subject to certain conditions, we may also delegate the maintenance of our anti-money laundering procedures (including the acquisition of due diligence information) to a suitable person.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reserve the right to request such information as is necessary to verify the identity of a subscriber. In some cases, the directors may be satisfied that no further information is required since an exemption applies under the Anti-</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Money Laundering Regulations (2018 Revision) of the Cayman Islands, as amended and revised from time to time (the “Regulations”). Depending on the circumstances of each application, a detailed verification of identity might not be required where:</w:t>
      </w:r>
    </w:p>
    <w:p>
      <w:pPr>
        <w:spacing w:after="0" w:line="170"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subscriber makes the payment for their investment from an account held in the subscriber’s name at a recognized financial institution;</w:t>
      </w:r>
    </w:p>
    <w:p>
      <w:pPr>
        <w:spacing w:after="0" w:line="236"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subscriber is regulated by a recognized regulatory authority and is based or incorporated in, or formed under the law of, a recognized jurisdiction; or</w:t>
      </w:r>
    </w:p>
    <w:p>
      <w:pPr>
        <w:spacing w:after="0" w:line="170" w:lineRule="exact"/>
        <w:rPr>
          <w:rFonts w:ascii="Arial" w:cs="Arial" w:eastAsia="Arial" w:hAnsi="Arial"/>
          <w:sz w:val="18"/>
          <w:szCs w:val="18"/>
          <w:color w:val="auto"/>
        </w:rPr>
      </w:pPr>
    </w:p>
    <w:p>
      <w:pPr>
        <w:ind w:left="340" w:right="140" w:hanging="332"/>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8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46"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We also reserve the right to refuse to make any payment to a shareholder if our directors or officers suspect or are advised that the payment to such shareholder may be non-compliant with applicable anti-money laundering or other laws or regulations, or if such refusal is considered necessary or appropriate to ensure our compliance with any such laws or regulations in any applicable jurisdiction.</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w:t>
      </w:r>
    </w:p>
    <w:p>
      <w:pPr>
        <w:spacing w:after="0" w:line="2" w:lineRule="exact"/>
        <w:rPr>
          <w:sz w:val="20"/>
          <w:szCs w:val="20"/>
          <w:color w:val="auto"/>
        </w:rPr>
      </w:pPr>
    </w:p>
    <w:p>
      <w:pPr>
        <w:ind w:right="120" w:firstLine="8"/>
        <w:spacing w:after="0" w:line="253" w:lineRule="auto"/>
        <w:tabs>
          <w:tab w:leader="none" w:pos="21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Immediately after this offering we will have 31,250,000 (or 35,937,500 if the underwriters’ over-allotment option is exercised in full) ordinary shares issued and outstanding. Of these shares, the 25,000,000 Class A ordinary shares (or 28,750,000 shares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6,250,000 (or 7,187,500 if the underwriters’ over-allotment option is exercised in full) founder shares and all 7,000,000 (or 7,750,000 if the underwriters’ over-allotment option is exercised in full) private placement warrants are restricted securities under Rule 144, in that they were issued in private transactions not involving a public offering, and are subject to transfer restrictions as set forth elsewhere in this prospectus.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Pursuant to Rule 144, a person who has beneficially owned restricted shares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4" w:lineRule="exact"/>
        <w:rPr>
          <w:sz w:val="20"/>
          <w:szCs w:val="20"/>
          <w:color w:val="auto"/>
        </w:rPr>
      </w:pPr>
    </w:p>
    <w:p>
      <w:pPr>
        <w:ind w:left="660" w:right="62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 of the total number of ordinary shares then issued and outstanding, which will equal 312,500 shares immediately after this offering (or 359,375 if the underwriters exercise their over-allotment option in full);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result, our initial shareholders will be able to sell their founder shares and our sponsor will be able to sell its private placement warrants, pursuant to Rule 144 without registration, one year after we have completed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this offering requiring us to register such securities for resale. The holders of these securities will be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intend to apply to list our units, Class A ordinary shares and warrants on Nasdaq under the symbols “ ,” “ ” and “ ,” respectively. We expect that our units will be listed on Nasdaq promptly on or after the effective date of the registration statement. Following the date the Class A ordinary shares and warrants are eligible to trade separately, we anticipate that the Class A ordinary shares and warrants will be listed separately and as a unit on Nasdaq. We cannot guarantee that our securities will be approved for listing on Nasdaq.</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CONSIDERATIONS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summary of certain Cayman Islands and U.S. federal income tax considerations relevant to an investment in our units, Class A ordinary shares and warrants is based upon laws and relevant interpretations thereof in effect as of the date of this prospectus, all of which are subject to change. This summary does not deal with all possible tax consequences relating to an investment in our ordinary shares and warrants, such as the tax consequences under state, local and other tax laws.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Prospective investors should consult their professional advisors on the possible tax consequences of buying, holding or selling any securities under the laws of their country of citizenship, residence or domicile.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Existing Cayman Islands Laws</w:t>
      </w:r>
    </w:p>
    <w:p>
      <w:pPr>
        <w:spacing w:after="0" w:line="22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 stamp duty is payable in respect of the issue of our securities or on an instrument of transfer in respect of our securities.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Tax Concessions Law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Revision)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Undertaking as to Tax Concessions</w:t>
      </w:r>
    </w:p>
    <w:p>
      <w:pPr>
        <w:spacing w:after="0" w:line="21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(2018 Revision), the Financial Secretary undertakes with Silver Spike Acquisition Corp. (“the Company”).</w:t>
      </w:r>
    </w:p>
    <w:p>
      <w:pPr>
        <w:spacing w:after="0" w:line="170" w:lineRule="exact"/>
        <w:rPr>
          <w:sz w:val="20"/>
          <w:szCs w:val="20"/>
          <w:color w:val="auto"/>
        </w:rPr>
      </w:pPr>
    </w:p>
    <w:p>
      <w:pPr>
        <w:ind w:left="340" w:right="26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no law which is hereafter enacted in the Cayman Islands imposing any tax to be levied on profits, income, gains or appreciations shall apply to the Company or its operations; and</w:t>
      </w:r>
    </w:p>
    <w:p>
      <w:pPr>
        <w:spacing w:after="0" w:line="170" w:lineRule="exact"/>
        <w:rPr>
          <w:rFonts w:ascii="Arial" w:cs="Arial" w:eastAsia="Arial" w:hAnsi="Arial"/>
          <w:sz w:val="18"/>
          <w:szCs w:val="18"/>
          <w:color w:val="auto"/>
        </w:rPr>
      </w:pPr>
    </w:p>
    <w:p>
      <w:pPr>
        <w:ind w:left="340" w:hanging="332"/>
        <w:spacing w:after="0" w:line="50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 2.1 on or in respect of the shares, debentures or other obligations of the Company;</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2.2 by way of the withholding in whole or part, of any relevant payment as defined in Section 6(3) of the Tax Concessions Law (2018 Revision).</w:t>
      </w:r>
    </w:p>
    <w:p>
      <w:pPr>
        <w:spacing w:after="0" w:line="236"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concessions shall be for a period of 30 years from the date hereof.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discussion summarizes certain United States federal income tax considerations generally applicable to the acquisition, ownership and disposition of our units (each consisting of one Class A ordinary share and one-half of one warrant) that are purchased in this offering by U.S. Holders (as defined below) and Non-U.S. Holders (as defined below). Because the components of a unit are generally separable at the option of the holder, the holder of a unit generally should be treated, for United States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discussion is limited to certain United States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United States federal income taxation that may be relevant to the acquisition, ownership and disposition of a unit by a prospective investor in light of its particular circumstances, including:</w:t>
      </w:r>
    </w:p>
    <w:p>
      <w:pPr>
        <w:spacing w:after="0" w:line="19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sponsor;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persons that actually or constructively own five percent or more of our voting shares or ten percent or more of the total value of our shares;</w:t>
      </w:r>
    </w:p>
    <w:p>
      <w:pPr>
        <w:spacing w:after="0" w:line="236"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United States federal income tax consequences different from those discussed below. Furthermore, this discussion does not address any aspect of United States federal non-income tax laws, such as gift, estate or Medicare contribution tax laws, or state, local or non-U.S. tax laws.</w:t>
      </w:r>
    </w:p>
    <w:p>
      <w:pPr>
        <w:spacing w:after="0" w:line="146"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sought, and will not seek, a ruling from the IRS as to any United States federal income tax consequence described herein. The IRS may disagree with the discussion herein, and its determination may be upheld by a court. Moreover, there can be no assurance that future legislation, regulations, administrative rulings or court decisions will not change the accuracy of the statements in this discussion.</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used herein, the term “U.S. Holder” means a beneficial owner of units, Class A ordinary shares or warrants who or that is for United States federal income tax purposes: (i) an individual citizen or resident of the United States, (ii) a corporation (or other entity treated as a corporation for United States federal income tax purposes) that is created or organized (or treated as created or organized) in or under the laws of the United States, any state thereof or the District of Columbia, (iii) an estate the income of which is subject to United States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for United States federal income tax purposes) is the beneficial owner of our securities, the United States federal income tax treatment of a partner in the partnership generally will depend on the status of the partner and the activities of the partnership. Partnerships holding our securities and partners in such partnerships are urged to consult their own tax advisors.</w:t>
      </w:r>
    </w:p>
    <w:p>
      <w:pPr>
        <w:spacing w:after="0" w:line="15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STATE, LOCAL, AND NON-U.S. TAX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statutory, administrative or judicial authority directly addresses the treatment of a unit or instruments similar to a unit for United States federal income tax purposes, and therefore, that treatment is not entirely clear. The acquisition of a unit should be treated for United States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tax purposes. For United States federal income tax purposes, each holder of a unit must allocate the purchase price paid by such holder for such unit between the one Class A ordinary share and the one-half of one warrant based on the relative fair market value of each at the time of issuance. The price allocated to each Class A ordinary share and one-half of one warrant should be the shareholder’s tax basis in such share or warrant. Any disposition of a unit should be treated for United States federal income tax purposes as a disposition of the Class A ordinary share and one-half of one warrant comprising the unit, and the amount realized on the disposition should be allocated between the Class A ordinary share and warrant based on their respective relative fair market values. The separation of the Class A ordinary share and the one-half of one warrant constituting a unit should not be a taxable event for United States federal income tax purposes.</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advisors regarding the tax consequences of an investment in a unit (including alternative characterizations of a unit). The balance of this discussion assumes that the characterization of the units described above is respected for United States federal income tax purposes.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Subject to the passive foreign investment company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United States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spacing w:after="0" w:line="17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With respect to non-corporate U.S. Holders, under tax laws currently in effect, dividends generally will be taxed at the lower applicable long-term capital gains rate (see “Gain or Loss on Sale, Taxable Exchange or Other Taxable Disposition of Class A Ordinary Shares and Warrants” below) only if our Class A ordinary shares are readily tradable on an established securities market in the United States and certain other requirements are met, including that we are not classified as a PFIC during the taxable year in which the dividend is paid or the preceding taxable year. U.S. Holders should consult their tax advisors regarding the availability of such lower rate for any dividends paid with respect to our Class A ordinary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fair market values of the Class A ordinary shares and the warrants included in the units) and (ii) the U.S. Holder’s adjusted tax basis in its Class A ordinary shares or warrants so disposed of. A U.S. Holder’s adjusted tax basis in its Class A ordinary shares or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or Lapse of a Warrant” below for a discussion regarding a U.S. Holder’s basis in a Class A ordinary share acquired pursuant to the exercise of a warrant. The deduction of capital losses is subject to certain limitations.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the treatment of the transaction for United States federal income tax purposes will depend on whether the redemption qualifies as a sale of the Class A ordinary shares under Section 302 of the Code. If the redemption or purchase by us qualifies as a sale of Class A ordinary shares, the U.S. Holder will be treated as described under “Gain or Loss on Sale, Taxable Exchange or Other Taxable Disposition of Class A Ordinary Shares and Warrants” above. If the redemption or purchase by us does not qualify as a sale of Class A ordinary shares, the U.S. Holder will be treated as receiving a corporate distribution with the tax consequences described above under “Taxation of Distributions.” Whether a redemption or purchase by us qualifies for sale treatment will depend largely on the total number of our shares treated as held by the U.S. Holder (including any Class A ordinary shares constructively owned by the U.S. Holder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a result of owning warrants) relative to all of our shares outstanding both before and after such redemption or purchase. The redemption or purchase by us of Class A ordinary shares generally will be treated as a sale of the Class A ordinary shares (rather than as a corporate distribution) if such redemption or purchase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71"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such holder. A U.S. Holder may constructively own, in addition to shares owned directly, shares owned by certain related individuals and entities in which the U.S. Holder has an interest or that have an interest in such U.S. Holder, as well as any shares the U.S.</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if such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its own tax advisors as to the tax consequences of a redemption.</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none of the foregoing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If there are no remaining shares, a U.S. Holder is urged to consult its tax advisor as to the allocation of any remaining tax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or Lapse of a Warrant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tax consequences of a cashless exercise of a warrant are not clear under current law. A cashless exercise may not be taxable, either because the exercise is not a realization event or because the exercise is treated as a recapitalization for United States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is also possible that a cashless exercise may be treated as a taxable exchange in which gain or loss would be recognized. In such event, a U.S. Holder may be deemed to have surrendered warrants with an aggregate fair market value equal to the exercise price for the total number of warrants to be exercised.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 Allocation of Purchase Price and Characterization of a Unit”) and the exercise price of such warrants. It is unclear whether a U.S. Holder’s holding period for the Class A ordinary shares would commence on the date of exercise of the warrant or the day following the date of exercise of the warrant.</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Constructive Distributions</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U.S. Holders’ proportionate interest in our assets or earnings and profits (e.g., through an increase in the number of Class A ordinary shares that would be obtained upon exercise) as a result of a distribution of cash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the increase in the interest. For certain information reporting purposes, we are required to determine the date and amount of any such constructive distributions. Proposed Treasury regulations, which we may rely on prior to the issuance of final regulations, specify how the date and amount of constructive distributions are determined.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non-U.S. corporation will be classified as a PFIC for United States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ending December 31, 2019. However, pursuant to a startup exception, a corporation will not be a PFIC for the first taxable year the corporation has gross income (the “startup year”), if (1) no predecessor of the corporation was a PFIC; (2) the corporation satisfies the IRS that it will not be a PFIC for either of the first two taxable years following the startup year; and (3) the corporation is not in fact a PFIC for either of those years. Although subject to uncertainty, we may qualify for the startup exception for 2019, and, accordingly, we would not be treated as a PFIC for 2019. The applicability of the startup exception to us will not be known until after the close of our current taxable year ending December 31, 2019 and, perhaps, until after the close of the first two taxable years following our startup year (within the meaning of the startup exception). Although subject to uncertainty, it is possible that we could be treated as a PFIC for a taxable year prior to our startup year (within the meaning of the startup exception). Further,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 PFIC for our current taxable year ending December 31, 2019. Our actual PFIC status for our current taxable year or any subsequent taxable year will not be determinable until after the end of such taxable year. Accordingly, there can be no assurance with respect to our status as a PFIC for our current taxable year ending December 31, 2019 or any future taxable year.</w:t>
      </w:r>
    </w:p>
    <w:p>
      <w:pPr>
        <w:spacing w:after="0" w:line="18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will generally apply for subsequent years to a U.S. Holder who held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qualified electing fund (“QEF”) election or a mark-to-market election for our first taxable year as a PFIC in which the U.S. Holder held (or was deemed to hold) Class A ordinary shares,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660" w:right="38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170" w:lineRule="exact"/>
        <w:rPr>
          <w:rFonts w:ascii="Arial" w:cs="Arial" w:eastAsia="Arial" w:hAnsi="Arial"/>
          <w:sz w:val="18"/>
          <w:szCs w:val="18"/>
          <w:color w:val="auto"/>
        </w:rPr>
      </w:pPr>
    </w:p>
    <w:p>
      <w:pPr>
        <w:jc w:val="both"/>
        <w:ind w:left="660" w:right="160" w:hanging="328"/>
        <w:spacing w:after="0" w:line="34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7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general, if we are determined to be a PFIC, a U.S. Holder will avoid the PFIC tax consequences described above in respect to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the foregoing,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If we determine we are a PFIC for any taxable year (of which there can be no assurance),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a taxable year.</w:t>
      </w:r>
    </w:p>
    <w:p>
      <w:pPr>
        <w:spacing w:after="0" w:line="16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ordinary shares under their particular circumstances.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lower-tier PFIC to provide such required information. U.S. Holders are urged to consult their tax advisors regarding the tax issues raised by lower-tier PFICs.</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or warrants should consult their own tax advisors concerning the application of the PFIC rules to our securities under their particular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Reporting</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Persons who are required to report specified foreign financial assets and fail to do so may be subject to substantial penalties. Potential investors are urged to consult their tax advisers regarding the foreign financial asset and other reporting obligations and their application to an investment in our Class A ordinary shares and warrants.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that is for U.S. federal income tax purposes:</w:t>
      </w:r>
    </w:p>
    <w:p>
      <w:pPr>
        <w:spacing w:after="0" w:line="170"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Dividends (including constructive distributions treated as dividends) paid or deemed paid to a Non-U.S. Holder in respect of our Class A ordinary shares generally will not be subject to United States federal income tax, unless the dividends are effectively connected with the Non-U.S. Holder’s conduct of a trade or business within the United States (and, if required by an applicable income tax treaty, are attributable to a permanent establishment or fixed base that such Non-U.S. Holder maintains in the United States). In addition, a Non-U.S. Holder generally will not be subject to United States federal 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Non-U.S. Holder maintains in the United States).</w:t>
      </w:r>
    </w:p>
    <w:p>
      <w:pPr>
        <w:spacing w:after="0" w:line="1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Dividends (including constructive distributions treated as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United States federal income tax at the same regular United States federal income tax rates applicable to a comparable U.S. Holder and, in the case of a Non-U.S. Holder that is a corporation for United States federal income tax purposes, also may be subject to an additional branch profits tax at a 30% rate or a lower applicable tax treaty rate.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United States federal income tax treatment of a Non-U.S. Holder’s exercise of a warrant, or the lapse of a warrant held by a Non-U.S. Holder, generally will correspond to the United States federal income tax treatment of the exercise or lapse of a warrant by a U.S. Holder, as described under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6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 2019, we have agreed to sell to the underwriters named below the following respective numbers of units: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gridSpan w:val="2"/>
          </w:tcPr>
          <w:p>
            <w:pPr>
              <w:ind w:left="4300"/>
              <w:spacing w:after="0"/>
              <w:rPr>
                <w:sz w:val="20"/>
                <w:szCs w:val="20"/>
                <w:color w:val="auto"/>
              </w:rPr>
            </w:pPr>
            <w:r>
              <w:rPr>
                <w:rFonts w:ascii="Arial" w:cs="Arial" w:eastAsia="Arial" w:hAnsi="Arial"/>
                <w:sz w:val="18"/>
                <w:szCs w:val="18"/>
                <w:b w:val="1"/>
                <w:bCs w:val="1"/>
                <w:color w:val="auto"/>
              </w:rPr>
              <w:t>Underwriter</w:t>
            </w: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Number of Units</w:t>
            </w:r>
          </w:p>
        </w:tc>
      </w:tr>
      <w:tr>
        <w:trPr>
          <w:trHeight w:val="209"/>
        </w:trPr>
        <w:tc>
          <w:tcPr>
            <w:tcW w:w="956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Credit Suisse Securities (USA) LLC</w:t>
            </w:r>
          </w:p>
        </w:tc>
        <w:tc>
          <w:tcPr>
            <w:tcW w:w="120" w:type="dxa"/>
            <w:vAlign w:val="bottom"/>
            <w:tcBorders>
              <w:top w:val="single" w:sz="8" w:color="D5EAEA"/>
            </w:tcBorders>
            <w:shd w:val="clear" w:color="auto" w:fill="D5EAEA"/>
          </w:tcPr>
          <w:p>
            <w:pPr>
              <w:spacing w:after="0"/>
              <w:rPr>
                <w:sz w:val="18"/>
                <w:szCs w:val="18"/>
                <w:color w:val="auto"/>
              </w:rPr>
            </w:pPr>
          </w:p>
        </w:tc>
        <w:tc>
          <w:tcPr>
            <w:tcW w:w="1560" w:type="dxa"/>
            <w:vAlign w:val="bottom"/>
            <w:tcBorders>
              <w:top w:val="single" w:sz="8" w:color="auto"/>
            </w:tcBorders>
            <w:shd w:val="clear" w:color="auto" w:fill="D5EAEA"/>
          </w:tcPr>
          <w:p>
            <w:pPr>
              <w:spacing w:after="0"/>
              <w:rPr>
                <w:sz w:val="18"/>
                <w:szCs w:val="18"/>
                <w:color w:val="auto"/>
              </w:rPr>
            </w:pPr>
          </w:p>
        </w:tc>
      </w:tr>
      <w:tr>
        <w:trPr>
          <w:trHeight w:val="229"/>
        </w:trPr>
        <w:tc>
          <w:tcPr>
            <w:tcW w:w="956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196"/>
        </w:trPr>
        <w:tc>
          <w:tcPr>
            <w:tcW w:w="95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60" w:type="dxa"/>
            <w:vAlign w:val="bottom"/>
            <w:shd w:val="clear" w:color="auto" w:fill="D5EAEA"/>
          </w:tcPr>
          <w:p>
            <w:pPr>
              <w:spacing w:after="0"/>
              <w:rPr>
                <w:sz w:val="17"/>
                <w:szCs w:val="17"/>
                <w:color w:val="auto"/>
              </w:rPr>
            </w:pPr>
          </w:p>
        </w:tc>
      </w:tr>
      <w:tr>
        <w:trPr>
          <w:trHeight w:val="243"/>
        </w:trPr>
        <w:tc>
          <w:tcPr>
            <w:tcW w:w="9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25,000,000</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units in this offering if any are purchased, other than those units covered by the over-allotment option described below.</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granted to the underwriters a 45-day option to purchase on a pro rata basis up to 3,750,000 additional units at the initial public offering price, less the underwriting discounts and commissions. The option may be exercised only to cover any over-allotments of units.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underwriters propose to offer the units initially at the public offering price on the cover page of this prospectus and to selling group members at that price less a selling concession of $ per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1060"/>
              <w:spacing w:after="0"/>
              <w:rPr>
                <w:sz w:val="20"/>
                <w:szCs w:val="20"/>
                <w:color w:val="auto"/>
              </w:rPr>
            </w:pPr>
            <w:r>
              <w:rPr>
                <w:rFonts w:ascii="Arial" w:cs="Arial" w:eastAsia="Arial" w:hAnsi="Arial"/>
                <w:sz w:val="18"/>
                <w:szCs w:val="18"/>
                <w:b w:val="1"/>
                <w:bCs w:val="1"/>
                <w:color w:val="auto"/>
              </w:rPr>
              <w:t>Per Unit(1)</w:t>
            </w:r>
          </w:p>
        </w:tc>
        <w:tc>
          <w:tcPr>
            <w:tcW w:w="1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Total(2)</w:t>
            </w:r>
          </w:p>
        </w:tc>
        <w:tc>
          <w:tcPr>
            <w:tcW w:w="126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Without Over-</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4"/>
              </w:rPr>
              <w:t>With Over-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Without Over-</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10"/>
              <w:spacing w:after="0" w:line="191" w:lineRule="exact"/>
              <w:rPr>
                <w:sz w:val="20"/>
                <w:szCs w:val="20"/>
                <w:color w:val="auto"/>
              </w:rPr>
            </w:pPr>
            <w:r>
              <w:rPr>
                <w:rFonts w:ascii="Arial" w:cs="Arial" w:eastAsia="Arial" w:hAnsi="Arial"/>
                <w:sz w:val="18"/>
                <w:szCs w:val="18"/>
                <w:b w:val="1"/>
                <w:bCs w:val="1"/>
                <w:color w:val="auto"/>
                <w:w w:val="96"/>
              </w:rPr>
              <w:t>With Over-</w:t>
            </w: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allotment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Allotment</w:t>
            </w: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allotment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Allotment</w:t>
            </w:r>
          </w:p>
        </w:tc>
      </w:tr>
      <w:tr>
        <w:trPr>
          <w:trHeight w:val="209"/>
        </w:trPr>
        <w:tc>
          <w:tcPr>
            <w:tcW w:w="4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Underwriting Discounts and Commissions paid by us</w:t>
            </w:r>
          </w:p>
        </w:tc>
        <w:tc>
          <w:tcPr>
            <w:tcW w:w="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0.55</w:t>
            </w:r>
          </w:p>
        </w:tc>
        <w:tc>
          <w:tcPr>
            <w:tcW w:w="12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auto"/>
            </w:tcBorders>
            <w:shd w:val="clear" w:color="auto" w:fill="D5EAEA"/>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Borders>
              <w:top w:val="single" w:sz="8" w:color="D5EAEA"/>
            </w:tcBorders>
            <w:shd w:val="clear" w:color="auto" w:fill="D5EAEA"/>
          </w:tcPr>
          <w:p>
            <w:pPr>
              <w:spacing w:after="0"/>
              <w:rPr>
                <w:sz w:val="18"/>
                <w:szCs w:val="18"/>
                <w:color w:val="auto"/>
              </w:rPr>
            </w:pPr>
          </w:p>
        </w:tc>
        <w:tc>
          <w:tcPr>
            <w:tcW w:w="16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13,750,000</w:t>
            </w:r>
          </w:p>
        </w:tc>
        <w:tc>
          <w:tcPr>
            <w:tcW w:w="100" w:type="dxa"/>
            <w:vAlign w:val="bottom"/>
            <w:tcBorders>
              <w:top w:val="single" w:sz="8" w:color="D5EAEA"/>
            </w:tcBorders>
            <w:shd w:val="clear" w:color="auto" w:fill="D5EAEA"/>
          </w:tcPr>
          <w:p>
            <w:pPr>
              <w:spacing w:after="0"/>
              <w:rPr>
                <w:sz w:val="18"/>
                <w:szCs w:val="18"/>
                <w:color w:val="auto"/>
              </w:rPr>
            </w:pPr>
          </w:p>
        </w:tc>
        <w:tc>
          <w:tcPr>
            <w:tcW w:w="300" w:type="dxa"/>
            <w:vAlign w:val="bottom"/>
            <w:tcBorders>
              <w:top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15,812,500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423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4" w:lineRule="exact"/>
        <w:rPr>
          <w:sz w:val="20"/>
          <w:szCs w:val="20"/>
          <w:color w:val="auto"/>
        </w:rPr>
      </w:pPr>
    </w:p>
    <w:p>
      <w:pPr>
        <w:ind w:left="340" w:hanging="332"/>
        <w:spacing w:after="0" w:line="25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$0.35 per unit, or $8,750,000 (or $10,062,500 if the over-allotment option is exercised in full) in the aggregate, payable to the underwriters for deferred underwriting commissions to be placed in a trust account located in the United States as described herein. The deferred commissions will be released to the underwriters only on completion of an initial business combination, in an amount equal to $0.35 multiplied by the number of Class A ordinary shares sold as part of the units in this offering, as described in this prospectus.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estimate that our non-reimbursed out-of-pocket expenses for this offering will be approximately $1,000,000. We have agreed to pay for the FINRA-related fees and expenses of the underwriters’ legal counsel, not to exceed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representative has informed us that the underwriters do not intend to make sales to discretionary accounts.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our sponsor and our officers and directors have agreed that we will not offer, sell, contract to sell, pledge or otherwise dispose of, directly or indirectly, without the prior written consent of Credit Suisse Securities (USA) LLC for a period of 180 days after the date of this prospectus, any units, warrants, ordinary shares or any other securities convertible into, or exercisable, or exchangeable for, ordinary shares;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private placement warrants and the ordinary shares issuable upon exercise of the warrants and the founder shares; and (4) issue securities in connection with our initial business combination. However, the foregoing shall not apply to the forfeiture of any founder shares pursuant to their terms or any transfer of founder shares to any current or future independent director of the Company (as long as such current or future independent director is subject to the terms of the letter agreement, filed herewith, at the time of such transfer; and as long as, to the extent any Section 16 reporting obligation is triggered as a result of such transfer, any related Section 16 filing includes a practical explanation as to the nature of the transfer). Credit Suisse Securities (USA) LLC in its sole discretion may release any of the securities subject to these lock-up agreements at any time without notice.</w:t>
      </w:r>
    </w:p>
    <w:p>
      <w:pPr>
        <w:spacing w:after="0" w:line="172"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Our initial shareholders have agreed not to transfer, assign or sell any of their founder shares and any Class A ordinary shares issued upon conversion thereof until the earlier to occur of (A) one year after the completion of our initial business combination or (B) subsequent to our initial business combination, (x) if the last reported sale price of Class A ordinary shares equals or exceeds $12.00 per share (as adjusted for share splits, share</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(except with respect to permitted transferees as described herein under “Principal Shareholders—Transfers of Founder Shares and Private Placement Warrants”). Any permitted transferees would be subject to the same restrictions and other agreements of our initial shareholders with respect to any founder shares.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Shareholders—Transfers of Founder Shares and Private Placement Warrants”).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under the Securities Act, or contribute to payments that the underwriters may be required to make in that respect.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expect our units to be listed on Nasdaq, under the symbol “ ” and, once the Class A ordinary shares and warrants begin separate trading, to have our Class A ordinary shares and warrants listed on Nasdaq under the symbols “ ” and “ ,” respectively.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we do not complete our initial business combination within the period provided in our amended and restated memorandum and articles of association, the underwriters have agreed that: (1) they will forfeit any rights or claims to their deferred underwriting discounts and commissions, including any accrued interest thereon, then in the trust account; and (2) the deferred underwriters’ discounts and commissions will be distributed on a pro rata basis, together with any accrued interest thereon (which interest shall be net of taxes payable) to the public shareholders.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70"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6" w:lineRule="exact"/>
        <w:rPr>
          <w:rFonts w:ascii="Arial" w:cs="Arial" w:eastAsia="Arial" w:hAnsi="Arial"/>
          <w:sz w:val="17"/>
          <w:szCs w:val="17"/>
          <w:color w:val="auto"/>
        </w:rPr>
      </w:pPr>
    </w:p>
    <w:p>
      <w:pPr>
        <w:ind w:left="660" w:right="140" w:hanging="328"/>
        <w:spacing w:after="0" w:line="296"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units in excess of the number of units the underwriters are obligated to purchase, which creates a syndicate short position. The short position may be either a covered short position or a naked short position. In a covered short position, the number of units over-allotted by the underwriters is not greater than the number of units that they may purchase in the over-allotment option. In a naked short position, the number of units involved is greater than the number of units in the over-allotment option. The underwriters may close out any covered short position by either exercising their over-allotment option and/or purchasing units in the open market.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60" w:hanging="328"/>
        <w:spacing w:after="0" w:line="25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units in the open market after the distribution has been completed in order to cover syndicate short positions. In determining the source of units to close out the short position, the underwriters will consider, among other things, the price of units available for purchase in the open market as compared to the price at which they may purchase units through the over-allotment option. If the underwriters sell more units than could be covered by the over-allotment option, a naked short position, the position can only be closed out by buying units in the open market. A naked short position is more likely to be created if the underwriters are concerned that there could be downward pressure on the price of the units in the open market after pricing that could adversely affect investors who purchase in this offering.</w:t>
      </w:r>
    </w:p>
    <w:p>
      <w:pPr>
        <w:spacing w:after="0" w:line="19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units originally sold by the syndicate member are purchased in a stabilizing or syndicate covering transaction to cover syndicate short positions.</w:t>
      </w:r>
    </w:p>
    <w:p>
      <w:pPr>
        <w:spacing w:after="0" w:line="17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units or preventing or retarding a decline in the market price of the units. As a result, the price of our units may be higher than the price that might otherwise exist in the open market. These transactions may be effected on Nasdaq or otherwise and, if commenced, may be discontinued at any time.</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 may agree to allocate a number of units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units are offered for sale in the United States and other jurisdictions where it is lawful to make such offers.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Each of the underwriters has represented and agreed that it has not offered, sold or delivered and will not offer, sell or deliver any of the units directly or indirectly, or distribute this prospectus or any other offering material relating to the units, in or from any jurisdiction except under circumstances that will result in compliance with the applicable laws and regulations thereof and that will not impose any obligations on us except as set forth in the underwriting agreement.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6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for any such offer; or</w:t>
      </w:r>
    </w:p>
    <w:p>
      <w:pPr>
        <w:spacing w:after="0" w:line="170"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225" w:lineRule="exact"/>
        <w:rPr>
          <w:sz w:val="20"/>
          <w:szCs w:val="20"/>
          <w:color w:val="auto"/>
        </w:rPr>
      </w:pPr>
    </w:p>
    <w:p>
      <w:pPr>
        <w:ind w:left="660" w:right="120" w:hanging="328"/>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186"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units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Japan</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underwriters will not offer or sell any of our units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and regulations of Japan. For purposes of this paragraph, “Japanese person” means any person resident in Japan, including any corporation or other entity organized under the laws of Japan.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Hong Kong</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underwriters and each of their affiliates have not (1) offered or sold, and will not offer or sell, in Hong Kong, by means of any document, our units other than (A) to “professional investors” as defined in the Securities and Futures Ordinance (Cap.571)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or (2) issued or had in its possession for the purposes of issue, and will not issue or have in its possession for the purposes of issue, whether in Hong Kong or elsewhere any advertisement, invitation or document relating to our units which is directed at, or the contents of which are likely to be accessed or read by, the public in Hong Kong (except if permitted to do so under the securities laws of Hong Kong) other than with respect to our securities which are or are intended to be disposed of only to persons outside Hong Kong or only to “professional investors” as defined in the Securities and Futures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Ordinance and any rules made under that Ordinance. 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Singapore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or any other offering material relating to our units has not been and will not be registered as a prospectus with the Monetary Authority of Singapore, and the units will be offered in Singapore pursuant to exemptions under Section 274 and Section 275 of the Securities and Futures Act, Chapter 289 of Singapore (the “Securities and Futures Act”). Accordingly our units may not be offered or sold, or be the subject of an invitation for subscription or purchase, nor may this prospectus or any other offering material relating to our units be circulated or distributed, whether directly or indirectly, to the public or any member of the public in Singapore other than (a) to an institutional investor or other person specified in Section 274 of the Securities and Futures Act, (b) to a sophisticated investor, and in accordance with the conditions specified in Section 275 of the Securities and Futures Act or (c) otherwise pursuant to, and in accordance with the conditions of, any other applicable provision of the Securities and Futures 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Germany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each underwriter has represented that it has not engaged and has agreed that it will not engage in a public offering (offentliches Angebot) within the meaning of the Act with respect to any of our units otherwise then in accordance with the Act and all other applicable legal and regulatory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France</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the Netherlands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 may not participate in the offering of our units, and this prospectus or any other offering material relating to our units may not be considered an offer or the prospect of an offer to sell or exchange our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invitation, whether directly or indirectly, may be made to the public in the Cayman Islands to subscribe for our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distribution of units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units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purchasing units in Canada and accepting delivery of a purchase confirmation, a purchaser is representing to us and the dealer from whom the purchase confirmation is received that:</w:t>
      </w:r>
    </w:p>
    <w:p>
      <w:pPr>
        <w:spacing w:after="0" w:line="170" w:lineRule="exact"/>
        <w:rPr>
          <w:sz w:val="20"/>
          <w:szCs w:val="20"/>
          <w:color w:val="auto"/>
        </w:rPr>
      </w:pPr>
    </w:p>
    <w:p>
      <w:pPr>
        <w:ind w:left="660" w:right="10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units without the benefit of a prospectus qualified under those securities laws as it is an “accredited investor” as defined under National Instrument 45-106—Prospectus Exemptions;</w:t>
      </w:r>
    </w:p>
    <w:p>
      <w:pPr>
        <w:spacing w:after="0" w:line="146"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Canadian purchasers are hereby notified that Credit Suisse Securities (USA) LLC is relying on the exemption set out in section 3A.3 or 3A.4, if applicable, of National Instrument 33-105—Underwriting Conflicts from having to provide certain conflict of interest disclosure in this document.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Canadian purchasers of units should consult their own legal and tax advisors with respect to the tax consequences of an investment in the units in their particular circumstances and about the eligibility of the units for investment by the purchaser under relevant Canadian legislation.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Davis Polk &amp; Wardwell LLP, New York, New York, is acting as counsel in connection with the registration of our securities under the Securities Act, and as such,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Skadden, Arps, Slate, Meagher &amp; Flom LLP, Los Angeles, California, is acting as counsel to the underwriters.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financial statements of Silver Spike Acquisition Corp. as of June 11, 2019 and for the period from June 7, 2019 (inception) through June 11, 2019 appearing in this prospectus have been audited by Marcum LLP, independent registered public accounting firm, as set forth in their report thereon (which contains an explanatory paragraph relating to substantial doubt about the ability of Silver Spike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0" w:type="dxa"/>
            <w:vAlign w:val="bottom"/>
            <w:gridSpan w:val="5"/>
          </w:tcPr>
          <w:p>
            <w:pPr>
              <w:jc w:val="center"/>
              <w:ind w:right="2540"/>
              <w:spacing w:after="0"/>
              <w:rPr>
                <w:sz w:val="20"/>
                <w:szCs w:val="20"/>
                <w:color w:val="auto"/>
              </w:rPr>
            </w:pPr>
            <w:r>
              <w:rPr>
                <w:rFonts w:ascii="Arial" w:cs="Arial" w:eastAsia="Arial" w:hAnsi="Arial"/>
                <w:sz w:val="18"/>
                <w:szCs w:val="18"/>
                <w:b w:val="1"/>
                <w:bCs w:val="1"/>
                <w:color w:val="auto"/>
              </w:rPr>
              <w:t>SILVER SPIKE ACQUISITION CORP.</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rPr>
              <w:t>INDEX TO FINANCIAL STATEMENTS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83"/>
              </w:rPr>
              <w:t>Page</w:t>
            </w:r>
          </w:p>
        </w:tc>
      </w:tr>
      <w:tr>
        <w:trPr>
          <w:trHeight w:val="453"/>
        </w:trPr>
        <w:tc>
          <w:tcPr>
            <w:tcW w:w="40" w:type="dxa"/>
            <w:vAlign w:val="bottom"/>
          </w:tcPr>
          <w:p>
            <w:pPr>
              <w:spacing w:after="0"/>
              <w:rPr>
                <w:sz w:val="24"/>
                <w:szCs w:val="24"/>
                <w:color w:val="auto"/>
              </w:rPr>
            </w:pPr>
          </w:p>
        </w:tc>
        <w:tc>
          <w:tcPr>
            <w:tcW w:w="10560" w:type="dxa"/>
            <w:vAlign w:val="bottom"/>
            <w:gridSpan w:val="8"/>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REPORT OF INDEPENDENT REGISTERED PUBLIC ACCOUNTING FIRM</w:t>
              </w:r>
            </w:hyperlink>
          </w:p>
        </w:tc>
        <w:tc>
          <w:tcPr>
            <w:tcW w:w="2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gridSpan w:val="2"/>
          </w:tcPr>
          <w:p>
            <w:pPr>
              <w:jc w:val="center"/>
              <w:ind w:right="40"/>
              <w:spacing w:after="0"/>
              <w:rPr>
                <w:rFonts w:ascii="Arial" w:cs="Arial" w:eastAsia="Arial" w:hAnsi="Arial"/>
                <w:sz w:val="18"/>
                <w:szCs w:val="18"/>
                <w:color w:val="0000EE"/>
                <w:w w:val="96"/>
              </w:rPr>
            </w:pPr>
            <w:hyperlink w:anchor="page157">
              <w:r>
                <w:rPr>
                  <w:rFonts w:ascii="Arial" w:cs="Arial" w:eastAsia="Arial" w:hAnsi="Arial"/>
                  <w:sz w:val="18"/>
                  <w:szCs w:val="18"/>
                  <w:color w:val="0000EE"/>
                  <w:w w:val="96"/>
                </w:rPr>
                <w:t>F-2</w:t>
              </w:r>
            </w:hyperlink>
          </w:p>
        </w:tc>
      </w:tr>
      <w:tr>
        <w:trPr>
          <w:trHeight w:val="318"/>
        </w:trPr>
        <w:tc>
          <w:tcPr>
            <w:tcW w:w="40" w:type="dxa"/>
            <w:vAlign w:val="bottom"/>
          </w:tcPr>
          <w:p>
            <w:pPr>
              <w:spacing w:after="0"/>
              <w:rPr>
                <w:sz w:val="24"/>
                <w:szCs w:val="24"/>
                <w:color w:val="auto"/>
              </w:rPr>
            </w:pPr>
          </w:p>
        </w:tc>
        <w:tc>
          <w:tcPr>
            <w:tcW w:w="58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476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10560" w:type="dxa"/>
            <w:vAlign w:val="bottom"/>
            <w:gridSpan w:val="8"/>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BALANCE SHEET AS OF JUNE 11, 2019</w:t>
              </w:r>
            </w:hyperlink>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gridSpan w:val="2"/>
          </w:tcPr>
          <w:p>
            <w:pPr>
              <w:jc w:val="center"/>
              <w:ind w:right="40"/>
              <w:spacing w:after="0"/>
              <w:rPr>
                <w:rFonts w:ascii="Arial" w:cs="Arial" w:eastAsia="Arial" w:hAnsi="Arial"/>
                <w:sz w:val="18"/>
                <w:szCs w:val="18"/>
                <w:color w:val="0000EE"/>
                <w:w w:val="96"/>
              </w:rPr>
            </w:pPr>
            <w:hyperlink w:anchor="page158">
              <w:r>
                <w:rPr>
                  <w:rFonts w:ascii="Arial" w:cs="Arial" w:eastAsia="Arial" w:hAnsi="Arial"/>
                  <w:sz w:val="18"/>
                  <w:szCs w:val="18"/>
                  <w:color w:val="0000EE"/>
                  <w:w w:val="96"/>
                </w:rPr>
                <w:t>F-3</w:t>
              </w:r>
            </w:hyperlink>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0560" w:type="dxa"/>
            <w:vAlign w:val="bottom"/>
            <w:gridSpan w:val="8"/>
          </w:tcPr>
          <w:p>
            <w:pPr>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STATEMENT OF OPERATIONS FOR THE PERIOD FOR THE PERIOD FROM JUNE 7, 2019 (INCEPTION) THROUGH JUNE 11, 2019</w:t>
              </w:r>
            </w:hyperlink>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2"/>
          </w:tcPr>
          <w:p>
            <w:pPr>
              <w:jc w:val="center"/>
              <w:ind w:right="40"/>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F-4</w:t>
              </w:r>
            </w:hyperlink>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03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60">
              <w:r>
                <w:rPr>
                  <w:rFonts w:ascii="Arial" w:cs="Arial" w:eastAsia="Arial" w:hAnsi="Arial"/>
                  <w:sz w:val="18"/>
                  <w:szCs w:val="18"/>
                  <w:color w:val="0000EE"/>
                  <w:w w:val="95"/>
                </w:rPr>
                <w:t>STATEMENT OF CHANGES IN SHAREHOLDER'S EQUITY FOR THE PERIOD FROM JUNE 7, 2019 (INCEPTION) THROUGH JUNE</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F-5</w:t>
              </w:r>
            </w:hyperlink>
          </w:p>
        </w:tc>
        <w:tc>
          <w:tcPr>
            <w:tcW w:w="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11, 2019</w:t>
              </w:r>
            </w:hyperlink>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40" w:type="dxa"/>
            <w:vAlign w:val="bottom"/>
          </w:tcPr>
          <w:p>
            <w:pPr>
              <w:spacing w:after="0"/>
              <w:rPr>
                <w:sz w:val="24"/>
                <w:szCs w:val="24"/>
                <w:color w:val="auto"/>
              </w:rPr>
            </w:pPr>
          </w:p>
        </w:tc>
        <w:tc>
          <w:tcPr>
            <w:tcW w:w="10560" w:type="dxa"/>
            <w:vAlign w:val="bottom"/>
            <w:gridSpan w:val="8"/>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STATEMENT OF CASH FLOWS FOR THE PERIOD FROM JUNE 11, 2019 (INCEPTION) THROUGH JUNE 11, 2019</w:t>
              </w:r>
            </w:hyperlink>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2"/>
          </w:tcPr>
          <w:p>
            <w:pPr>
              <w:jc w:val="center"/>
              <w:ind w:right="40"/>
              <w:spacing w:after="0"/>
              <w:rPr>
                <w:rFonts w:ascii="Arial" w:cs="Arial" w:eastAsia="Arial" w:hAnsi="Arial"/>
                <w:sz w:val="18"/>
                <w:szCs w:val="18"/>
                <w:color w:val="0000EE"/>
                <w:w w:val="96"/>
              </w:rPr>
            </w:pPr>
            <w:hyperlink w:anchor="page161">
              <w:r>
                <w:rPr>
                  <w:rFonts w:ascii="Arial" w:cs="Arial" w:eastAsia="Arial" w:hAnsi="Arial"/>
                  <w:sz w:val="18"/>
                  <w:szCs w:val="18"/>
                  <w:color w:val="0000EE"/>
                  <w:w w:val="96"/>
                </w:rPr>
                <w:t>F-6</w:t>
              </w:r>
            </w:hyperlink>
          </w:p>
        </w:tc>
      </w:tr>
      <w:tr>
        <w:trPr>
          <w:trHeight w:val="277"/>
        </w:trPr>
        <w:tc>
          <w:tcPr>
            <w:tcW w:w="40" w:type="dxa"/>
            <w:vAlign w:val="bottom"/>
          </w:tcPr>
          <w:p>
            <w:pPr>
              <w:spacing w:after="0"/>
              <w:rPr>
                <w:sz w:val="24"/>
                <w:szCs w:val="24"/>
                <w:color w:val="auto"/>
              </w:rPr>
            </w:pPr>
          </w:p>
        </w:tc>
        <w:tc>
          <w:tcPr>
            <w:tcW w:w="8880" w:type="dxa"/>
            <w:vAlign w:val="bottom"/>
            <w:tcBorders>
              <w:top w:val="single" w:sz="8" w:color="0000EE"/>
            </w:tcBorders>
            <w:gridSpan w:val="5"/>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NOTES TO FINANCIAL STATEMENTS</w:t>
              </w:r>
            </w:hyperlink>
          </w:p>
        </w:tc>
        <w:tc>
          <w:tcPr>
            <w:tcW w:w="168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162">
              <w:r>
                <w:rPr>
                  <w:rFonts w:ascii="Arial" w:cs="Arial" w:eastAsia="Arial" w:hAnsi="Arial"/>
                  <w:sz w:val="18"/>
                  <w:szCs w:val="18"/>
                  <w:color w:val="0000EE"/>
                  <w:w w:val="96"/>
                </w:rPr>
                <w:t>F-7</w:t>
              </w:r>
            </w:hyperlink>
          </w:p>
        </w:tc>
        <w:tc>
          <w:tcPr>
            <w:tcW w:w="40" w:type="dxa"/>
            <w:vAlign w:val="bottom"/>
          </w:tcPr>
          <w:p>
            <w:pPr>
              <w:spacing w:after="0"/>
              <w:rPr>
                <w:sz w:val="24"/>
                <w:szCs w:val="24"/>
                <w:color w:val="auto"/>
              </w:rPr>
            </w:pPr>
          </w:p>
        </w:tc>
      </w:tr>
      <w:tr>
        <w:trPr>
          <w:trHeight w:val="385"/>
        </w:trPr>
        <w:tc>
          <w:tcPr>
            <w:tcW w:w="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42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5"/>
          </w:tcPr>
          <w:p>
            <w:pPr>
              <w:jc w:val="center"/>
              <w:ind w:right="2560"/>
              <w:spacing w:after="0"/>
              <w:rPr>
                <w:sz w:val="20"/>
                <w:szCs w:val="20"/>
                <w:color w:val="auto"/>
              </w:rPr>
            </w:pPr>
            <w:r>
              <w:rPr>
                <w:rFonts w:ascii="Arial" w:cs="Arial" w:eastAsia="Arial" w:hAnsi="Arial"/>
                <w:sz w:val="18"/>
                <w:szCs w:val="18"/>
                <w:color w:val="auto"/>
                <w:w w:val="88"/>
              </w:rPr>
              <w:t>F-1</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audited the accompanying balance sheet of Silver Spike Acquisition Corp. (the “Company”) as of June 11, 2019 and the related statements of operations, changes in shareholder's equity and cash flows for the period from June 7, 2019 (inception) through June 11, 2019 and the related notes (collectively referred to as the “financial statements”). In our opinion, the financial statements present fairly, in all material respects, the financial position of the Company as of June 11, 2019 and the results of its operations and its cash flows for the period from June 7, 2019 (inception) through June 11, 2019,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business plan is dependent on the completion of a financing and the Company's cash and working capital as of June 11, 2019 are not sufficient to complete its planned activities. These conditions raise substantial doubt about the Company's ability to continue as a going concern. Management's plans in regard to these matters are also described in Note 1 and 3 to the financial statements.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 2019</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SILVER SPIKE ACQUISITION CORP.</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JUNE 11, 2019</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Deferred offering costs</w:t>
            </w:r>
          </w:p>
        </w:tc>
        <w:tc>
          <w:tcPr>
            <w:tcW w:w="520" w:type="dxa"/>
            <w:vAlign w:val="bottom"/>
            <w:gridSpan w:val="2"/>
            <w:shd w:val="clear" w:color="auto" w:fill="D5EAEA"/>
          </w:tcPr>
          <w:p>
            <w:pPr>
              <w:jc w:val="right"/>
              <w:ind w:right="34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63"/>
        </w:trPr>
        <w:tc>
          <w:tcPr>
            <w:tcW w:w="968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D5EAEA"/>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197"/>
        </w:trPr>
        <w:tc>
          <w:tcPr>
            <w:tcW w:w="968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D5EAEA"/>
          </w:tcPr>
          <w:p>
            <w:pPr>
              <w:spacing w:after="0"/>
              <w:rPr>
                <w:sz w:val="17"/>
                <w:szCs w:val="17"/>
                <w:color w:val="auto"/>
              </w:rPr>
            </w:pPr>
          </w:p>
        </w:tc>
        <w:tc>
          <w:tcPr>
            <w:tcW w:w="500" w:type="dxa"/>
            <w:vAlign w:val="bottom"/>
            <w:shd w:val="clear" w:color="auto" w:fill="D5EAEA"/>
          </w:tcPr>
          <w:p>
            <w:pPr>
              <w:spacing w:after="0"/>
              <w:rPr>
                <w:sz w:val="17"/>
                <w:szCs w:val="17"/>
                <w:color w:val="auto"/>
              </w:rPr>
            </w:pPr>
          </w:p>
        </w:tc>
        <w:tc>
          <w:tcPr>
            <w:tcW w:w="10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680" w:type="dxa"/>
            <w:vAlign w:val="bottom"/>
          </w:tcPr>
          <w:p>
            <w:pPr>
              <w:spacing w:after="0"/>
              <w:rPr>
                <w:sz w:val="20"/>
                <w:szCs w:val="20"/>
                <w:color w:val="auto"/>
              </w:rPr>
            </w:pPr>
            <w:r>
              <w:rPr>
                <w:rFonts w:ascii="Arial" w:cs="Arial" w:eastAsia="Arial" w:hAnsi="Arial"/>
                <w:sz w:val="18"/>
                <w:szCs w:val="18"/>
                <w:color w:val="auto"/>
              </w:rPr>
              <w:t>Current liability – Promissory note – related party</w:t>
            </w:r>
          </w:p>
        </w:tc>
        <w:tc>
          <w:tcPr>
            <w:tcW w:w="520" w:type="dxa"/>
            <w:vAlign w:val="bottom"/>
            <w:gridSpan w:val="2"/>
          </w:tcPr>
          <w:p>
            <w:pPr>
              <w:jc w:val="right"/>
              <w:ind w:right="34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23"/>
        </w:trPr>
        <w:tc>
          <w:tcPr>
            <w:tcW w:w="968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500" w:type="dxa"/>
            <w:vAlign w:val="bottom"/>
            <w:tcBorders>
              <w:top w:val="single" w:sz="8" w:color="auto"/>
              <w:bottom w:val="single" w:sz="8" w:color="auto"/>
            </w:tcBorders>
            <w:shd w:val="clear" w:color="auto" w:fill="D5EAEA"/>
          </w:tcPr>
          <w:p>
            <w:pPr>
              <w:spacing w:after="0"/>
              <w:rPr>
                <w:sz w:val="19"/>
                <w:szCs w:val="19"/>
                <w:color w:val="auto"/>
              </w:rPr>
            </w:pPr>
          </w:p>
        </w:tc>
        <w:tc>
          <w:tcPr>
            <w:tcW w:w="10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10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ind w:left="16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Class A ordinary shares, $0.0001 par value; 200,000,000 shares authorized; none issued and outstanding</w:t>
            </w:r>
          </w:p>
        </w:tc>
        <w:tc>
          <w:tcPr>
            <w:tcW w:w="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80" w:type="dxa"/>
            <w:vAlign w:val="bottom"/>
          </w:tcPr>
          <w:p>
            <w:pPr>
              <w:ind w:left="160"/>
              <w:spacing w:after="0"/>
              <w:rPr>
                <w:sz w:val="20"/>
                <w:szCs w:val="20"/>
                <w:color w:val="auto"/>
              </w:rPr>
            </w:pPr>
            <w:r>
              <w:rPr>
                <w:rFonts w:ascii="Arial" w:cs="Arial" w:eastAsia="Arial" w:hAnsi="Arial"/>
                <w:sz w:val="18"/>
                <w:szCs w:val="18"/>
                <w:color w:val="auto"/>
                <w:w w:val="99"/>
              </w:rPr>
              <w:t>Class B ordinary shares, $0.0001 par value; 20,000,000 shares authorized; 7,187,500 shares issued and outstanding(1)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96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D5EAEA"/>
          </w:tcPr>
          <w:p>
            <w:pPr>
              <w:spacing w:after="0"/>
              <w:rPr>
                <w:sz w:val="18"/>
                <w:szCs w:val="18"/>
                <w:color w:val="auto"/>
              </w:rPr>
            </w:pPr>
          </w:p>
        </w:tc>
        <w:tc>
          <w:tcPr>
            <w:tcW w:w="50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24,281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D5EAEA"/>
            </w:tcBorders>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Borders>
              <w:bottom w:val="single" w:sz="8" w:color="D5EAEA"/>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9"/>
        </w:trPr>
        <w:tc>
          <w:tcPr>
            <w:tcW w:w="9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D5EAEA"/>
          </w:tcPr>
          <w:p>
            <w:pPr>
              <w:spacing w:after="0"/>
              <w:rPr>
                <w:sz w:val="18"/>
                <w:szCs w:val="18"/>
                <w:color w:val="auto"/>
              </w:rPr>
            </w:pPr>
          </w:p>
        </w:tc>
        <w:tc>
          <w:tcPr>
            <w:tcW w:w="500" w:type="dxa"/>
            <w:vAlign w:val="bottom"/>
            <w:tcBorders>
              <w:bottom w:val="single" w:sz="8" w:color="auto"/>
            </w:tcBorders>
            <w:shd w:val="clear" w:color="auto" w:fill="D5EAEA"/>
          </w:tcPr>
          <w:p>
            <w:pPr>
              <w:spacing w:after="0"/>
              <w:rPr>
                <w:sz w:val="18"/>
                <w:szCs w:val="18"/>
                <w:color w:val="auto"/>
              </w:rPr>
            </w:pPr>
          </w:p>
        </w:tc>
        <w:tc>
          <w:tcPr>
            <w:tcW w:w="10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9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7" w:lineRule="exact"/>
        <w:rPr>
          <w:sz w:val="20"/>
          <w:szCs w:val="20"/>
          <w:color w:val="auto"/>
        </w:rPr>
      </w:pPr>
    </w:p>
    <w:p>
      <w:pPr>
        <w:ind w:left="340" w:right="32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an aggregate of up to 937,500 shares subject to forfeiture if the over-allotment option is not exercised in full or in part by the underwriters (see Note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JUNE 7, 2019 (INCEPTION) THROUGH JUNE 11,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D5EAEA"/>
          </w:tcPr>
          <w:p>
            <w:pPr>
              <w:spacing w:after="0"/>
              <w:rPr>
                <w:sz w:val="20"/>
                <w:szCs w:val="20"/>
                <w:color w:val="auto"/>
              </w:rPr>
            </w:pPr>
            <w:r>
              <w:rPr>
                <w:rFonts w:ascii="Arial" w:cs="Arial" w:eastAsia="Arial" w:hAnsi="Arial"/>
                <w:sz w:val="18"/>
                <w:szCs w:val="18"/>
                <w:color w:val="auto"/>
              </w:rPr>
              <w:t>Formation costs</w:t>
            </w:r>
          </w:p>
        </w:tc>
        <w:tc>
          <w:tcPr>
            <w:tcW w:w="420" w:type="dxa"/>
            <w:vAlign w:val="bottom"/>
            <w:gridSpan w:val="2"/>
            <w:shd w:val="clear" w:color="auto" w:fill="D5EAEA"/>
          </w:tcPr>
          <w:p>
            <w:pPr>
              <w:jc w:val="right"/>
              <w:ind w:right="247"/>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63"/>
        </w:trPr>
        <w:tc>
          <w:tcPr>
            <w:tcW w:w="9680" w:type="dxa"/>
            <w:vAlign w:val="bottom"/>
            <w:tcBorders>
              <w:bottom w:val="single" w:sz="8" w:color="D5EAEA"/>
            </w:tcBorders>
          </w:tcPr>
          <w:p>
            <w:pPr>
              <w:ind w:left="160"/>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bottom w:val="single" w:sz="8" w:color="D5EAEA"/>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97"/>
        </w:trPr>
        <w:tc>
          <w:tcPr>
            <w:tcW w:w="9680" w:type="dxa"/>
            <w:vAlign w:val="bottom"/>
            <w:tcBorders>
              <w:bottom w:val="single" w:sz="8" w:color="D5EAEA"/>
            </w:tcBorders>
            <w:shd w:val="clear" w:color="auto" w:fill="D5EAEA"/>
          </w:tcPr>
          <w:p>
            <w:pPr>
              <w:spacing w:after="0" w:line="190" w:lineRule="exact"/>
              <w:rPr>
                <w:sz w:val="20"/>
                <w:szCs w:val="20"/>
                <w:color w:val="auto"/>
              </w:rPr>
            </w:pPr>
            <w:r>
              <w:rPr>
                <w:rFonts w:ascii="Arial" w:cs="Arial" w:eastAsia="Arial" w:hAnsi="Arial"/>
                <w:sz w:val="18"/>
                <w:szCs w:val="18"/>
                <w:color w:val="auto"/>
              </w:rPr>
              <w:t>Weighted average shares outstanding, basic and diluted (1)</w:t>
            </w:r>
          </w:p>
        </w:tc>
        <w:tc>
          <w:tcPr>
            <w:tcW w:w="20" w:type="dxa"/>
            <w:vAlign w:val="bottom"/>
            <w:tcBorders>
              <w:bottom w:val="single" w:sz="8" w:color="D5EAEA"/>
            </w:tcBorders>
            <w:shd w:val="clear" w:color="auto" w:fill="D5EAEA"/>
          </w:tcPr>
          <w:p>
            <w:pPr>
              <w:spacing w:after="0"/>
              <w:rPr>
                <w:sz w:val="17"/>
                <w:szCs w:val="17"/>
                <w:color w:val="auto"/>
              </w:rPr>
            </w:pPr>
          </w:p>
        </w:tc>
        <w:tc>
          <w:tcPr>
            <w:tcW w:w="400" w:type="dxa"/>
            <w:vAlign w:val="bottom"/>
            <w:tcBorders>
              <w:bottom w:val="single" w:sz="8" w:color="auto"/>
            </w:tcBorders>
            <w:shd w:val="clear" w:color="auto" w:fill="D5EAEA"/>
          </w:tcPr>
          <w:p>
            <w:pPr>
              <w:spacing w:after="0"/>
              <w:rPr>
                <w:sz w:val="17"/>
                <w:szCs w:val="17"/>
                <w:color w:val="auto"/>
              </w:rPr>
            </w:pPr>
          </w:p>
        </w:tc>
        <w:tc>
          <w:tcPr>
            <w:tcW w:w="11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7" w:lineRule="exact"/>
        <w:rPr>
          <w:sz w:val="20"/>
          <w:szCs w:val="20"/>
          <w:color w:val="auto"/>
        </w:rPr>
      </w:pPr>
    </w:p>
    <w:p>
      <w:pPr>
        <w:ind w:left="340" w:right="280" w:hanging="332"/>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an aggregate of up to 937,500 shares subject to forfeiture if the over-allotment option is not exercised in full or in part by the underwriters (see Note 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FROM JUNE 7, 2019 (INCEPTION) THROUGH JUNE 11, 2019</w:t>
      </w:r>
    </w:p>
    <w:p>
      <w:pPr>
        <w:spacing w:after="0" w:line="23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Ordinary Shares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Balance – June 7,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Issuance of Class B ordinary shares to Sponsor(1)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June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230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line="177"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rPr>
              <w:t>Total</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in</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Shareholder's</w:t>
            </w:r>
          </w:p>
        </w:tc>
      </w:tr>
      <w:tr>
        <w:trPr>
          <w:trHeight w:val="234"/>
        </w:trPr>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Deficit</w:t>
            </w:r>
          </w:p>
        </w:tc>
        <w:tc>
          <w:tcPr>
            <w:tcW w:w="18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r>
      <w:tr>
        <w:trPr>
          <w:trHeight w:val="195"/>
        </w:trPr>
        <w:tc>
          <w:tcPr>
            <w:tcW w:w="114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29"/>
        </w:trPr>
        <w:tc>
          <w:tcPr>
            <w:tcW w:w="1140" w:type="dxa"/>
            <w:vAlign w:val="bottom"/>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24,281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30"/>
        </w:trPr>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7,187,500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24,281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20,000</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-607695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-325120</wp:posOffset>
            </wp:positionV>
            <wp:extent cx="713232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225" w:right="339" w:bottom="1440" w:gutter="0" w:footer="0" w:header="0"/>
          <w:type w:val="continuous"/>
        </w:sectPr>
      </w:pPr>
    </w:p>
    <w:p>
      <w:pPr>
        <w:spacing w:after="0" w:line="137" w:lineRule="exact"/>
        <w:rPr>
          <w:sz w:val="20"/>
          <w:szCs w:val="20"/>
          <w:color w:val="auto"/>
        </w:rPr>
      </w:pPr>
    </w:p>
    <w:p>
      <w:pPr>
        <w:ind w:left="340" w:right="32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an aggregate of up to 937,500 shares subject to forfeiture if the over-allotment option is not exercised in full or in part by the underwriters (see Note 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60" w:name="page161"/>
    <w:bookmarkEnd w:id="1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PERIOD FROM JUNE 7, 2019 (INCEPTION) THROUGH JUNE 11, 2019</w:t>
      </w:r>
    </w:p>
    <w:p>
      <w:pPr>
        <w:sectPr>
          <w:pgSz w:w="11900" w:h="16838" w:orient="portrait"/>
          <w:cols w:equalWidth="0" w:num="1">
            <w:col w:w="11240"/>
          </w:cols>
          <w:pgMar w:left="320" w:top="225"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980" w:hanging="973"/>
        <w:spacing w:after="0"/>
        <w:tabs>
          <w:tab w:leader="none" w:pos="9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(5,000)</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7"/>
          <w:szCs w:val="17"/>
          <w:b w:val="1"/>
          <w:bCs w:val="1"/>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9861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12,500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(7,500)</w:t>
      </w:r>
    </w:p>
    <w:p>
      <w:pPr>
        <w:spacing w:after="0" w:line="23" w:lineRule="exact"/>
        <w:rPr>
          <w:sz w:val="20"/>
          <w:szCs w:val="20"/>
          <w:color w:val="auto"/>
        </w:rPr>
      </w:pPr>
    </w:p>
    <w:p>
      <w:pPr>
        <w:sectPr>
          <w:pgSz w:w="11900" w:h="16838" w:orient="portrait"/>
          <w:cols w:equalWidth="0" w:num="2">
            <w:col w:w="8960" w:space="720"/>
            <w:col w:w="156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740" w:type="dxa"/>
            <w:vAlign w:val="bottom"/>
            <w:tcBorders>
              <w:bottom w:val="single" w:sz="8" w:color="D5EAEA"/>
            </w:tcBorders>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940" w:type="dxa"/>
            <w:vAlign w:val="bottom"/>
            <w:tcBorders>
              <w:bottom w:val="single" w:sz="8" w:color="D5EAEA"/>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09"/>
        </w:trPr>
        <w:tc>
          <w:tcPr>
            <w:tcW w:w="87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Net Change in Cash</w:t>
            </w:r>
          </w:p>
        </w:tc>
        <w:tc>
          <w:tcPr>
            <w:tcW w:w="94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at the beginning of the period</w:t>
            </w:r>
          </w:p>
        </w:tc>
        <w:tc>
          <w:tcPr>
            <w:tcW w:w="940" w:type="dxa"/>
            <w:vAlign w:val="bottom"/>
            <w:tcBorders>
              <w:bottom w:val="single" w:sz="8" w:color="D5EAEA"/>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Cash at the end of the period</w:t>
            </w:r>
          </w:p>
        </w:tc>
        <w:tc>
          <w:tcPr>
            <w:tcW w:w="940" w:type="dxa"/>
            <w:vAlign w:val="bottom"/>
            <w:tcBorders>
              <w:bottom w:val="single" w:sz="8" w:color="D5EAEA"/>
            </w:tcBorders>
            <w:shd w:val="clear" w:color="auto" w:fill="D5EAEA"/>
          </w:tcPr>
          <w:p>
            <w:pPr>
              <w:spacing w:after="0"/>
              <w:rPr>
                <w:sz w:val="19"/>
                <w:szCs w:val="19"/>
                <w:color w:val="auto"/>
              </w:rPr>
            </w:pPr>
          </w:p>
        </w:tc>
        <w:tc>
          <w:tcPr>
            <w:tcW w:w="520" w:type="dxa"/>
            <w:vAlign w:val="bottom"/>
            <w:tcBorders>
              <w:bottom w:val="single" w:sz="8" w:color="auto"/>
            </w:tcBorders>
            <w:shd w:val="clear" w:color="auto" w:fill="D5EAEA"/>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740" w:type="dxa"/>
            <w:vAlign w:val="bottom"/>
            <w:shd w:val="clear" w:color="auto" w:fill="D5EAEA"/>
          </w:tcPr>
          <w:p>
            <w:pPr>
              <w:spacing w:after="0"/>
              <w:rPr>
                <w:sz w:val="20"/>
                <w:szCs w:val="20"/>
                <w:color w:val="auto"/>
              </w:rPr>
            </w:pPr>
            <w:r>
              <w:rPr>
                <w:rFonts w:ascii="Arial" w:cs="Arial" w:eastAsia="Arial" w:hAnsi="Arial"/>
                <w:sz w:val="18"/>
                <w:szCs w:val="18"/>
                <w:color w:val="auto"/>
              </w:rPr>
              <w:t>Deferred offering costs paid directly by Sponsor from proceeds from issuance of ordinary shares to Sponsor</w:t>
            </w:r>
          </w:p>
        </w:tc>
        <w:tc>
          <w:tcPr>
            <w:tcW w:w="1460" w:type="dxa"/>
            <w:vAlign w:val="bottom"/>
            <w:gridSpan w:val="2"/>
            <w:shd w:val="clear" w:color="auto" w:fill="D5EAEA"/>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8740" w:type="dxa"/>
            <w:vAlign w:val="bottom"/>
            <w:tcBorders>
              <w:top w:val="single" w:sz="8" w:color="D5EAEA"/>
            </w:tcBorders>
          </w:tcPr>
          <w:p>
            <w:pPr>
              <w:spacing w:after="0" w:line="20" w:lineRule="exact"/>
              <w:rPr>
                <w:sz w:val="1"/>
                <w:szCs w:val="1"/>
                <w:color w:val="auto"/>
              </w:rPr>
            </w:pPr>
          </w:p>
        </w:tc>
        <w:tc>
          <w:tcPr>
            <w:tcW w:w="940" w:type="dxa"/>
            <w:vAlign w:val="bottom"/>
            <w:tcBorders>
              <w:top w:val="single" w:sz="8" w:color="D5EAEA"/>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61" w:name="page162"/>
    <w:bookmarkEnd w:id="1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plan of business operations</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Silver Spike Acquisition Corp. (the “Company”) is a newly organized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19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of June 11, 2019, the Company had not commenced any operations. All activity for the period from June 7, 2019 (inception) through June 11, 2019 relates to the Company's formation and the proposed initial public offering (“Proposed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Offering of 25,000,000 units (the “Units” and, with respect to the Class A ordinary shares included in the Units being offered, the “Public Shares”) at $10.00 per unit (or 28,750,000 Units if the underwriters’ over-allotment option is exercised in full), which is discussed in Note 3 and the sale of 7,000,000 warrants (or 7,750,000 warrants if the underwriters’ over-allotment option is exercised on full) (the “Private Placement Warrants”) at a price of $1.00 per Private Placement Warrant in a private placement to the Company’s sponsor, Silver Spike Sponsor, LLC (the “Sponsor”), that will close simultaneously with the Proposed Offering.</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(as defined below)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Offering, management has agreed that $10.00 per Unit sold in the Proposed Offering, including proceeds of the sale of the Private Placement Warrants, will be held in a trust account (“Trust Account”) and invested in U.S. government securities, within the meaning set forth in Section 2(a)(16) of the Investment Company Act, with a maturity of 180 days or less, or in any open-ended investment company that holds itself out as a money market fund meeting the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provide its shareholders with the opportunity to redeem all or a portion of their Public Shares upon the completion of a Business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Combination either (i) in connection with a shareholder meeting called to approve the Business Combination or (ii) by means of a tender offer.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decision as to whether the Company will seek shareholder approval of a Business Combination or conduct a tender offer will be made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solely in its discretion. The shareholders will be entitled to redeem their shares for a pro rata portion of the amount held in the Trust Account (initially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per share) as of two business days prior to the completion of a Business Combination, including any pro rata interest earned on the funds held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Trust Account and not previously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 The Class A ordinary shares will be recorded at redemption value and classified as temporary equity upon the completion of the Proposed Offering, in accordance with Accounting Standards Codification (“ASC”) Topic 480 “Distinguishing Liabilities from Equity.” 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and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Proposed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24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Proposed Offering if the Company fails to complete its Business Combination.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have until 24 months from the closing of the Proposed Offering (the “Combination Period”) to consummate a Business Combination. If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unable to complete a Business Combination within the Combination Period, the Company will (i) cease all operations except for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purpose of winding up, (ii) as promptly as reasonably possible but no more than 10 business days thereafter, redeem 100% of the outstanding Public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at a per-share price, payable in cash, equal to the aggregate amount then on deposit in the Trust Account, including interest earned (less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 of interest to pay dissolution expenses and which interest shall be net of taxes payable), divided by the number of then outstanding Public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redemption will completely extinguish public shareholders’ rights as shareholders (including the right to receive further liquidation distributions,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and (iii) as promptly as reasonably possible following such redemption, subject to the approval of the remaining shareholders and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dissolve and liquidate, subject in each case to its obligations under Cayman Islands law to provide for claims of creditors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other applicable law. The underwriter has agreed to waive its rights to the deferred underwriting commission held in the Trust Account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event the Company does not complete a Business Combination within the Combination Period and, in such event, such amounts will be included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funds held in the Trust Account that will be available to fund the redemption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the Public Shares. In the event of such distribution, it is possible that the per share value of the assets remaining available for distribution will be less than the Proposed Offering price per Unit ($10.00).</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Proposed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June 11, 2019, the Company had no cash and a working capital deficiency of $12,500.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Offering as discussed in Note 3. There is no assurance that the Company’s plans to raise capital or to consummate a Business Combination will be successful or successful within the Combination Period. The Sponsor has agreed to loan the Company up to an aggregate amount of $250,000 to be used, in part, for transaction costs incurred in connection with the Proposed Offering (the “Promissory Note”). As of June 11, 2019, $12,500 was outstanding under the Promissory Note (see Note 5). The financial statements do not include any adjustments that might result from the outcome of this uncertainty.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accompanying financial statements are presented in U.S. Dollars and conformity with accounting principles generally accepted in the United States of America (“GAAP”) and pursuant to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11,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Deferred offering costs consist of underwriting, legal, accounting and other expenses incurred through the balance sheet date that are directly related to the Proposed Offering and that will be charged to shareholder’s equity upon the completion of the Proposed Offering. Should the Proposed Offering prove to be unsuccessful, these deferred costs, as well as additional expenses incurred, will be charged to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010C03"/>
        </w:rPr>
        <w:t xml:space="preserve">The Company </w:t>
      </w:r>
      <w:r>
        <w:rPr>
          <w:rFonts w:ascii="Arial" w:cs="Arial" w:eastAsia="Arial" w:hAnsi="Arial"/>
          <w:sz w:val="18"/>
          <w:szCs w:val="18"/>
          <w:color w:val="000000"/>
        </w:rPr>
        <w:t>accounts for income taxes under ASC 740, “Income Taxes” (“ASC 740”). ASC 740 requires the recognition of deferred tax assets and</w:t>
      </w:r>
      <w:r>
        <w:rPr>
          <w:rFonts w:ascii="Arial" w:cs="Arial" w:eastAsia="Arial" w:hAnsi="Arial"/>
          <w:sz w:val="18"/>
          <w:szCs w:val="18"/>
          <w:color w:val="010C03"/>
        </w:rPr>
        <w:t xml:space="preserve"> </w:t>
      </w:r>
      <w:r>
        <w:rPr>
          <w:rFonts w:ascii="Arial" w:cs="Arial" w:eastAsia="Arial" w:hAnsi="Arial"/>
          <w:sz w:val="18"/>
          <w:szCs w:val="18"/>
          <w:color w:val="000000"/>
        </w:rPr>
        <w:t>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June 11,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Company is considered an exempted Cayman Islands Company, and is presently not subject to income taxes or income tax filing requirements in the Cayman Islands or the United States. As such, the Company's tax provision was zero </w:t>
      </w:r>
      <w:r>
        <w:rPr>
          <w:rFonts w:ascii="Arial" w:cs="Arial" w:eastAsia="Arial" w:hAnsi="Arial"/>
          <w:sz w:val="18"/>
          <w:szCs w:val="18"/>
          <w:color w:val="010C03"/>
        </w:rPr>
        <w:t>for the period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Net loss per share is computed by dividing net loss by the weighted average number of ordinary shares outstanding during the period, excluding ordinary shares subject to forfeiture. Weighted average shares were reduced for the effect of an aggregate of 937,500 ordinary shares that are subject to forfeiture if the over-allotment option is not exercised by the underwriters (see Note 6). At June 11, 2019,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coverage of $250,000. At June 11, 2019, the Company had not experienced losses on this account and management believes the Company is not exposed to significant risks on such account.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Offering, the Company will offer for sale up to 25,000,000 Units (or 28,750,000 Units if the underwriters’ over-allotment option is exercised in full) at a purchase price of $10.00 per Unit. Each Unit will consist of one Class A ordinary share and one-half of one redeemable warrant (“Public Warrant”). Each whole Public Warrant will entitle the holder to purchase one Class A ordinary share at an exercise price of $11.50 per whole share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Sponsor has committed to purchase an aggregate of 7,000,000 Private Placement Warrants (or 7,750,000 Private Placement Warrants if the underwriters’ over-allotment is exercised in full) at a price of $1.00 per Private Placement Warrant from the Company in a private placement that will occur simultaneously with the closing of the Proposed Offering. The proceeds from the sale of the Private Placement Warrants will be added to the net proceeds from the Proposed Offering held in the Trust Account. </w:t>
      </w:r>
      <w:r>
        <w:rPr>
          <w:rFonts w:ascii="Arial" w:cs="Arial" w:eastAsia="Arial" w:hAnsi="Arial"/>
          <w:sz w:val="17"/>
          <w:szCs w:val="17"/>
          <w:color w:val="010C03"/>
        </w:rPr>
        <w:t>Each Private Placement Warrant is exercisable for one Class A Share at a price of $11.50 per share,</w:t>
      </w:r>
      <w:r>
        <w:rPr>
          <w:rFonts w:ascii="Arial" w:cs="Arial" w:eastAsia="Arial" w:hAnsi="Arial"/>
          <w:sz w:val="17"/>
          <w:szCs w:val="17"/>
          <w:color w:val="auto"/>
        </w:rPr>
        <w:t xml:space="preserve"> </w:t>
      </w:r>
      <w:r>
        <w:rPr>
          <w:rFonts w:ascii="Arial" w:cs="Arial" w:eastAsia="Arial" w:hAnsi="Arial"/>
          <w:sz w:val="17"/>
          <w:szCs w:val="17"/>
          <w:color w:val="010C03"/>
        </w:rPr>
        <w:t xml:space="preserve">subject to adjustment (see Note 7). </w:t>
      </w:r>
      <w:r>
        <w:rPr>
          <w:rFonts w:ascii="Arial" w:cs="Arial" w:eastAsia="Arial" w:hAnsi="Arial"/>
          <w:sz w:val="17"/>
          <w:szCs w:val="17"/>
          <w:color w:val="000000"/>
        </w:rPr>
        <w:t>If the Company does not complete a Business Combination within the Combination Period, the proceeds from the sale</w:t>
      </w:r>
      <w:r>
        <w:rPr>
          <w:rFonts w:ascii="Arial" w:cs="Arial" w:eastAsia="Arial" w:hAnsi="Arial"/>
          <w:sz w:val="17"/>
          <w:szCs w:val="17"/>
          <w:color w:val="010C03"/>
        </w:rPr>
        <w:t xml:space="preserve"> </w:t>
      </w:r>
      <w:r>
        <w:rPr>
          <w:rFonts w:ascii="Arial" w:cs="Arial" w:eastAsia="Arial" w:hAnsi="Arial"/>
          <w:sz w:val="17"/>
          <w:szCs w:val="17"/>
          <w:color w:val="000000"/>
        </w:rPr>
        <w:t>of the Private Placement Warrants held in the Trust Account will be used to fund the redemption of the Public Shares (subject to the requirements of applicable law) and the Private Placement Warrants will expire worthless.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Founder Shares include an aggregate of up to 937,500 shares subject to forfeiture by the Sponsor to the extent that the underwriters’ over-allotment is not exercised in full or in part, so that the number of Founder Shares will collectively represent 20% of the Company’s issued and outstanding shares upon the completion of the Proposed Offering.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10, 2019, the Company issued an unsecured promissory note to the Sponsor, pursuant to which the Company may borrow up to an aggregate principal amount of $250,000, of which $12,500 was outstanding under the Promissory Note as of June 11, 2019. The note is non-interest bearing and payable on the earlier of (i) January 31, 2020 and (ii) the completion of the Proposed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compensate the independent directors. The amount and form of compensation to the independent directors has not yet been determined.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will be entitled to registration rights pursuant to a registration rights agreement to be signed prior to or on the effective date of the Proposed Offering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grant the underwriters a 45-day option to purchase up to 3,750,000 additional Units to cover over-allotments at the Proposed Offering price, less the underwriting discounts and commissions.</w:t>
      </w:r>
    </w:p>
    <w:p>
      <w:pPr>
        <w:spacing w:after="0" w:line="1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underwriters will be entitled to a cash underwriting discount of $0.20 per Unit, or $5,000,000 in the aggregate (or $5,750,000 in the aggregate if the underwriters’ over-allotment option is exercised in full), payable upon the closing of the Proposed Offering. In addition, the underwriters will be entitled to a deferred fee of $0.35 per Unit, or $8,750,000 in the aggregate (or $10,062,500 in the aggregate if the underwriters’ over-allotment option is exercised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full). The deferred fee will become payable to the underwriters from the amounts held in the Trust Account solely in the event that the Company completes a Business Combination, subject to the terms of the underwriting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Preferred Shares </w:t>
      </w:r>
      <w:r>
        <w:rPr>
          <w:rFonts w:ascii="Arial" w:cs="Arial" w:eastAsia="Arial" w:hAnsi="Arial"/>
          <w:sz w:val="17"/>
          <w:szCs w:val="17"/>
          <w:color w:val="auto"/>
        </w:rPr>
        <w:t>— The Company is authorized to issue 1,000,000 preference shares with a par value of $0.0001. The Company's board of directors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June 11, 2019, there were no preference </w:t>
      </w:r>
      <w:r>
        <w:rPr>
          <w:rFonts w:ascii="Arial" w:cs="Arial" w:eastAsia="Arial" w:hAnsi="Arial"/>
          <w:sz w:val="17"/>
          <w:szCs w:val="17"/>
          <w:color w:val="010C03"/>
        </w:rPr>
        <w:t>shares issued or outstanding.</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200,000,000 Class A ordinary shares, with a par value of $0.0001 per share.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ordinary shares are entitled to one vote for each share. At June 11, 2019, there were no Class A ordinary shares issued or outstanding.</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Class B Ordinary Shares </w:t>
      </w:r>
      <w:r>
        <w:rPr>
          <w:rFonts w:ascii="Arial" w:cs="Arial" w:eastAsia="Arial" w:hAnsi="Arial"/>
          <w:sz w:val="17"/>
          <w:szCs w:val="17"/>
          <w:color w:val="auto"/>
        </w:rPr>
        <w:t>— The Company is authorized to issue 20,000,000 Class B ordinary shares, with a par value of $0.0001 per share. 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B ordinary shares are entitled to one vote for each share. At June 11, 2019, there were 7,187,500 </w:t>
      </w:r>
      <w:r>
        <w:rPr>
          <w:rFonts w:ascii="Arial" w:cs="Arial" w:eastAsia="Arial" w:hAnsi="Arial"/>
          <w:sz w:val="17"/>
          <w:szCs w:val="17"/>
          <w:color w:val="010C03"/>
        </w:rPr>
        <w:t>Class B ordinary shares issued and outstanding,</w:t>
      </w:r>
      <w:r>
        <w:rPr>
          <w:rFonts w:ascii="Arial" w:cs="Arial" w:eastAsia="Arial" w:hAnsi="Arial"/>
          <w:sz w:val="17"/>
          <w:szCs w:val="17"/>
          <w:color w:val="auto"/>
        </w:rPr>
        <w:t xml:space="preserve"> of which an aggregate of up to 937,500 shares are subject to forfeiture to the extent that the underwriters’ over-allotment option is not exercised in full or in part so that the Sponsor will own 20% of the Company’s issued and outstanding ordinary shares after the Proposed Offering (assuming the Sponsor does not purchase any Public Shares in the Proposed Offering).</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Proposed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Proposed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Warrants — </w:t>
      </w:r>
      <w:r>
        <w:rPr>
          <w:rFonts w:ascii="Arial" w:cs="Arial" w:eastAsia="Arial" w:hAnsi="Arial"/>
          <w:sz w:val="18"/>
          <w:szCs w:val="18"/>
          <w:color w:val="auto"/>
        </w:rPr>
        <w:t>Public Warrants may only be exercised for a whole number of shares. No fractional shares will be issued upon exercise of the Public Warrants.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Public Warrants will become exercisable on the later of (a) 30 days after the completion of a Business Combination and (b) 12 months from the closing of the Proposed Offering. The Public Warrants will expire five years from the completion of a Business Combination or earlier upon redemption or liquidation.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redeem the Public Warrants for redemption:</w:t>
      </w:r>
    </w:p>
    <w:p>
      <w:pPr>
        <w:spacing w:after="0" w:line="225" w:lineRule="exact"/>
        <w:rPr>
          <w:sz w:val="20"/>
          <w:szCs w:val="20"/>
          <w:color w:val="auto"/>
        </w:rPr>
      </w:pPr>
    </w:p>
    <w:p>
      <w:pPr>
        <w:ind w:left="540" w:hanging="262"/>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540" w:hanging="262"/>
        <w:spacing w:after="0" w:line="263"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78"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010C03"/>
        </w:rPr>
        <w:t xml:space="preserve">In addition, if (x) </w:t>
      </w:r>
      <w:r>
        <w:rPr>
          <w:rFonts w:ascii="Arial" w:cs="Arial" w:eastAsia="Arial" w:hAnsi="Arial"/>
          <w:sz w:val="16"/>
          <w:szCs w:val="16"/>
          <w:color w:val="000000"/>
        </w:rPr>
        <w:t>the Company issues additional Class A ordinary shares or equity-linked securities for capital raising purposes in connection with the</w:t>
      </w:r>
      <w:r>
        <w:rPr>
          <w:rFonts w:ascii="Arial" w:cs="Arial" w:eastAsia="Arial" w:hAnsi="Arial"/>
          <w:sz w:val="16"/>
          <w:szCs w:val="16"/>
          <w:color w:val="010C03"/>
        </w:rPr>
        <w:t xml:space="preserve"> </w:t>
      </w:r>
      <w:r>
        <w:rPr>
          <w:rFonts w:ascii="Arial" w:cs="Arial" w:eastAsia="Arial" w:hAnsi="Arial"/>
          <w:sz w:val="16"/>
          <w:szCs w:val="16"/>
          <w:color w:val="000000"/>
        </w:rPr>
        <w:t>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Private Placement Warrants will be identical to the Public Warrants underlying the Units being sold in the Proposed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25,000,000 Units</w:t>
      </w:r>
    </w:p>
    <w:p>
      <w:pPr>
        <w:spacing w:after="0" w:line="23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265430</wp:posOffset>
            </wp:positionV>
            <wp:extent cx="14230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PRELIMINARY PROSPECTUS</w:t>
      </w:r>
    </w:p>
    <w:p>
      <w:pPr>
        <w:spacing w:after="0" w:line="22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48895</wp:posOffset>
            </wp:positionV>
            <wp:extent cx="14230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920"/>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972185</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1229360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171" w:name="page172"/>
    <w:bookmarkEnd w:id="171"/>
    <w:p>
      <w:pPr>
        <w:ind w:left="314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3720" w:type="dxa"/>
            <w:vAlign w:val="bottom"/>
            <w:shd w:val="clear" w:color="auto" w:fill="D5EAEA"/>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5EAEA"/>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80" w:type="dxa"/>
            <w:vAlign w:val="bottom"/>
            <w:shd w:val="clear" w:color="auto" w:fill="D5EAEA"/>
          </w:tcPr>
          <w:p>
            <w:pPr>
              <w:spacing w:after="0"/>
              <w:rPr>
                <w:sz w:val="20"/>
                <w:szCs w:val="20"/>
                <w:color w:val="auto"/>
              </w:rPr>
            </w:pPr>
            <w:r>
              <w:rPr>
                <w:rFonts w:ascii="Arial" w:cs="Arial" w:eastAsia="Arial" w:hAnsi="Arial"/>
                <w:sz w:val="18"/>
                <w:szCs w:val="18"/>
                <w:color w:val="auto"/>
              </w:rPr>
              <w:t>SEC expenses</w:t>
            </w:r>
          </w:p>
        </w:tc>
        <w:tc>
          <w:tcPr>
            <w:tcW w:w="37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34,845</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FINRA expenses</w:t>
            </w:r>
          </w:p>
        </w:tc>
        <w:tc>
          <w:tcPr>
            <w:tcW w:w="37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43,625</w:t>
            </w:r>
          </w:p>
        </w:tc>
      </w:tr>
      <w:tr>
        <w:trPr>
          <w:trHeight w:val="216"/>
        </w:trPr>
        <w:tc>
          <w:tcPr>
            <w:tcW w:w="6380" w:type="dxa"/>
            <w:vAlign w:val="bottom"/>
            <w:shd w:val="clear" w:color="auto" w:fill="D5EAEA"/>
          </w:tcPr>
          <w:p>
            <w:pPr>
              <w:spacing w:after="0"/>
              <w:rPr>
                <w:sz w:val="20"/>
                <w:szCs w:val="20"/>
                <w:color w:val="auto"/>
              </w:rPr>
            </w:pPr>
            <w:r>
              <w:rPr>
                <w:rFonts w:ascii="Arial" w:cs="Arial" w:eastAsia="Arial" w:hAnsi="Arial"/>
                <w:sz w:val="18"/>
                <w:szCs w:val="18"/>
                <w:color w:val="auto"/>
              </w:rPr>
              <w:t>Travel and road show</w:t>
            </w:r>
          </w:p>
        </w:tc>
        <w:tc>
          <w:tcPr>
            <w:tcW w:w="37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Directors and officers insurance premiums</w:t>
            </w: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80" w:type="dxa"/>
            <w:vAlign w:val="bottom"/>
            <w:shd w:val="clear" w:color="auto" w:fill="D5EAEA"/>
          </w:tcPr>
          <w:p>
            <w:pPr>
              <w:spacing w:after="0"/>
              <w:rPr>
                <w:sz w:val="20"/>
                <w:szCs w:val="20"/>
                <w:color w:val="auto"/>
              </w:rPr>
            </w:pPr>
            <w:r>
              <w:rPr>
                <w:rFonts w:ascii="Arial" w:cs="Arial" w:eastAsia="Arial" w:hAnsi="Arial"/>
                <w:sz w:val="18"/>
                <w:szCs w:val="18"/>
                <w:color w:val="auto"/>
              </w:rPr>
              <w:t>Nasdaq listing and filing fees</w:t>
            </w:r>
          </w:p>
        </w:tc>
        <w:tc>
          <w:tcPr>
            <w:tcW w:w="37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75,000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80" w:type="dxa"/>
            <w:vAlign w:val="bottom"/>
            <w:shd w:val="clear" w:color="auto" w:fill="D5EAEA"/>
          </w:tcPr>
          <w:p>
            <w:pPr>
              <w:spacing w:after="0"/>
              <w:rPr>
                <w:sz w:val="20"/>
                <w:szCs w:val="20"/>
                <w:color w:val="auto"/>
              </w:rPr>
            </w:pPr>
            <w:r>
              <w:rPr>
                <w:rFonts w:ascii="Arial" w:cs="Arial" w:eastAsia="Arial" w:hAnsi="Arial"/>
                <w:sz w:val="18"/>
                <w:szCs w:val="18"/>
                <w:color w:val="auto"/>
              </w:rPr>
              <w:t>Miscellaneous expenses</w:t>
            </w:r>
          </w:p>
        </w:tc>
        <w:tc>
          <w:tcPr>
            <w:tcW w:w="37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37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w:t>
      </w:r>
    </w:p>
    <w:p>
      <w:pPr>
        <w:spacing w:after="0" w:line="1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these provisions and the insurance are necessary to attract and retain talented and experienced officers and directors.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11, 2019, Silver Spike Sponsor, LLC, our sponsor, subscribed for an aggregate of 7,187,500 founder shares, for an aggregate offering price of</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$25,000 at an average purchase price of $0.004 per share (assuming the over-allotment option is not exercised and the forfeiture by our sponsor of 937,500 founder shares). The number of founder shares issued was determined based on the expectation that the founder shares would represent 20% of the issued and outstanding ordinary shares upon completion of this offering. Such securities were issued in connection with our incorporation pursuant to the exemption from registration contained in Section 4(a)(2) of the Securities Act. Our sponsor is an accredited investor for purposes of Rule 501 of Regulation D.</w:t>
      </w:r>
    </w:p>
    <w:p>
      <w:pPr>
        <w:spacing w:after="0" w:line="19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addition, our sponsor has committed, pursuant to a written agreement, to purchase from us an aggregate of 7,000,000 (or 7,750,000 if the underwriters’ over-allotment option is exercised in full) private placement warrants at $1.00 per warrant (for an aggregate purchase price of $7,000,000 or $7,750,000 if the underwriters’ over-allotment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option is exercised in full). This purchase will take place on a private placement basis simultaneously with the completion of our initial public offering.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issuance will be made pursuant to the exemption from registration contained in Section 4(a)(2) of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list of exhibits following the signature page of this registration statement is incorporated herein by reference.</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5"/>
              </w:rPr>
              <w:t>Exhibit No.</w:t>
            </w:r>
          </w:p>
        </w:tc>
        <w:tc>
          <w:tcPr>
            <w:tcW w:w="320" w:type="dxa"/>
            <w:vAlign w:val="bottom"/>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gridSpan w:val="4"/>
          </w:tcPr>
          <w:p>
            <w:pPr>
              <w:ind w:left="1340"/>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Form of Underwriting Agreement*</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7"/>
        </w:trPr>
        <w:tc>
          <w:tcPr>
            <w:tcW w:w="940" w:type="dxa"/>
            <w:vAlign w:val="bottom"/>
            <w:gridSpan w:val="3"/>
          </w:tcPr>
          <w:p>
            <w:pPr>
              <w:jc w:val="right"/>
              <w:spacing w:after="0"/>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1</w:t>
            </w:r>
          </w:p>
        </w:tc>
        <w:tc>
          <w:tcPr>
            <w:tcW w:w="3480" w:type="dxa"/>
            <w:vAlign w:val="bottom"/>
            <w:gridSpan w:val="3"/>
          </w:tcPr>
          <w:p>
            <w:pPr>
              <w:ind w:left="320"/>
              <w:spacing w:after="0"/>
              <w:rPr>
                <w:sz w:val="20"/>
                <w:szCs w:val="20"/>
                <w:color w:val="auto"/>
              </w:rPr>
            </w:pPr>
            <w:r>
              <w:rPr>
                <w:rFonts w:ascii="Arial" w:cs="Arial" w:eastAsia="Arial" w:hAnsi="Arial"/>
                <w:sz w:val="18"/>
                <w:szCs w:val="18"/>
                <w:color w:val="0000EE"/>
                <w:w w:val="95"/>
              </w:rPr>
              <w:t>Memorandum and Articles of Association</w:t>
            </w:r>
          </w:p>
        </w:tc>
        <w:tc>
          <w:tcPr>
            <w:tcW w:w="1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18"/>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0220" w:type="dxa"/>
            <w:vAlign w:val="bottom"/>
            <w:gridSpan w:val="7"/>
          </w:tcPr>
          <w:p>
            <w:pPr>
              <w:ind w:left="320"/>
              <w:spacing w:after="0"/>
              <w:rPr>
                <w:sz w:val="20"/>
                <w:szCs w:val="20"/>
                <w:color w:val="auto"/>
              </w:rPr>
            </w:pPr>
            <w:r>
              <w:rPr>
                <w:rFonts w:ascii="Arial" w:cs="Arial" w:eastAsia="Arial" w:hAnsi="Arial"/>
                <w:sz w:val="18"/>
                <w:szCs w:val="18"/>
                <w:color w:val="auto"/>
              </w:rPr>
              <w:t>Form of Amended and Restated Memorandum and Articles of Association*</w:t>
            </w: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Specimen Unit Certificate*</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Specimen Ordinary Share Certificate*</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Specimen Warrant Certificate*</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Form of Warrant Agreement between</w:t>
            </w:r>
          </w:p>
        </w:tc>
        <w:tc>
          <w:tcPr>
            <w:tcW w:w="1720" w:type="dxa"/>
            <w:vAlign w:val="bottom"/>
          </w:tcPr>
          <w:p>
            <w:pPr>
              <w:ind w:left="160"/>
              <w:spacing w:after="0"/>
              <w:rPr>
                <w:sz w:val="20"/>
                <w:szCs w:val="20"/>
                <w:color w:val="auto"/>
              </w:rPr>
            </w:pPr>
            <w:r>
              <w:rPr>
                <w:rFonts w:ascii="Arial" w:cs="Arial" w:eastAsia="Arial" w:hAnsi="Arial"/>
                <w:sz w:val="18"/>
                <w:szCs w:val="18"/>
                <w:color w:val="auto"/>
                <w:w w:val="99"/>
              </w:rPr>
              <w:t>and the Registrant*</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Opinion of Maples and Calder*</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Opinion of Davis Polk &amp; Wardwell LLP*</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7"/>
        </w:trPr>
        <w:tc>
          <w:tcPr>
            <w:tcW w:w="6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10220" w:type="dxa"/>
            <w:vAlign w:val="bottom"/>
            <w:gridSpan w:val="7"/>
          </w:tcPr>
          <w:p>
            <w:pPr>
              <w:ind w:left="320"/>
              <w:spacing w:after="0"/>
              <w:rPr>
                <w:sz w:val="20"/>
                <w:szCs w:val="20"/>
                <w:color w:val="auto"/>
              </w:rPr>
            </w:pPr>
            <w:r>
              <w:rPr>
                <w:rFonts w:ascii="Arial" w:cs="Arial" w:eastAsia="Arial" w:hAnsi="Arial"/>
                <w:sz w:val="18"/>
                <w:szCs w:val="18"/>
                <w:color w:val="0000EE"/>
              </w:rPr>
              <w:t>Promissory Note, dated June 10, 2019, issued to Silver Spike Sponsor, LLC</w:t>
            </w: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40" w:type="dxa"/>
            <w:vAlign w:val="bottom"/>
            <w:gridSpan w:val="4"/>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18"/>
        </w:trPr>
        <w:tc>
          <w:tcPr>
            <w:tcW w:w="6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10.2</w:t>
            </w:r>
          </w:p>
        </w:tc>
        <w:tc>
          <w:tcPr>
            <w:tcW w:w="10220" w:type="dxa"/>
            <w:vAlign w:val="bottom"/>
            <w:gridSpan w:val="7"/>
          </w:tcPr>
          <w:p>
            <w:pPr>
              <w:ind w:left="320"/>
              <w:spacing w:after="0"/>
              <w:rPr>
                <w:sz w:val="20"/>
                <w:szCs w:val="20"/>
                <w:color w:val="auto"/>
              </w:rPr>
            </w:pPr>
            <w:r>
              <w:rPr>
                <w:rFonts w:ascii="Arial" w:cs="Arial" w:eastAsia="Arial" w:hAnsi="Arial"/>
                <w:sz w:val="18"/>
                <w:szCs w:val="18"/>
                <w:color w:val="auto"/>
              </w:rPr>
              <w:t>Form of Letter Agreement among the Registrant and its officers, directors and Silver Spike Sponsor, LLC*</w:t>
            </w: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5200" w:type="dxa"/>
            <w:vAlign w:val="bottom"/>
            <w:gridSpan w:val="4"/>
          </w:tcPr>
          <w:p>
            <w:pPr>
              <w:ind w:left="320"/>
              <w:spacing w:after="0"/>
              <w:rPr>
                <w:sz w:val="20"/>
                <w:szCs w:val="20"/>
                <w:color w:val="auto"/>
              </w:rPr>
            </w:pPr>
            <w:r>
              <w:rPr>
                <w:rFonts w:ascii="Arial" w:cs="Arial" w:eastAsia="Arial" w:hAnsi="Arial"/>
                <w:sz w:val="18"/>
                <w:szCs w:val="18"/>
                <w:color w:val="auto"/>
              </w:rPr>
              <w:t>Form of Investment Management Trust Agreement between</w:t>
            </w:r>
          </w:p>
        </w:tc>
        <w:tc>
          <w:tcPr>
            <w:tcW w:w="5020" w:type="dxa"/>
            <w:vAlign w:val="bottom"/>
            <w:gridSpan w:val="3"/>
          </w:tcPr>
          <w:p>
            <w:pPr>
              <w:ind w:left="60"/>
              <w:spacing w:after="0"/>
              <w:rPr>
                <w:sz w:val="20"/>
                <w:szCs w:val="20"/>
                <w:color w:val="auto"/>
              </w:rPr>
            </w:pPr>
            <w:r>
              <w:rPr>
                <w:rFonts w:ascii="Arial" w:cs="Arial" w:eastAsia="Arial" w:hAnsi="Arial"/>
                <w:sz w:val="18"/>
                <w:szCs w:val="18"/>
                <w:color w:val="auto"/>
              </w:rPr>
              <w:t>and the Registrant*</w:t>
            </w: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10220" w:type="dxa"/>
            <w:vAlign w:val="bottom"/>
            <w:gridSpan w:val="7"/>
          </w:tcPr>
          <w:p>
            <w:pPr>
              <w:ind w:left="320"/>
              <w:spacing w:after="0"/>
              <w:rPr>
                <w:sz w:val="20"/>
                <w:szCs w:val="20"/>
                <w:color w:val="auto"/>
              </w:rPr>
            </w:pPr>
            <w:r>
              <w:rPr>
                <w:rFonts w:ascii="Arial" w:cs="Arial" w:eastAsia="Arial" w:hAnsi="Arial"/>
                <w:sz w:val="18"/>
                <w:szCs w:val="18"/>
                <w:color w:val="auto"/>
              </w:rPr>
              <w:t>Form of Registration Rights Agreement between the Registrant and certain security holders*</w:t>
            </w:r>
          </w:p>
        </w:tc>
      </w:tr>
      <w:tr>
        <w:trPr>
          <w:trHeight w:val="256"/>
        </w:trPr>
        <w:tc>
          <w:tcPr>
            <w:tcW w:w="62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p>
        </w:tc>
        <w:tc>
          <w:tcPr>
            <w:tcW w:w="10220" w:type="dxa"/>
            <w:vAlign w:val="bottom"/>
            <w:gridSpan w:val="7"/>
          </w:tcPr>
          <w:p>
            <w:pPr>
              <w:ind w:left="320"/>
              <w:spacing w:after="0"/>
              <w:rPr>
                <w:sz w:val="20"/>
                <w:szCs w:val="20"/>
                <w:color w:val="auto"/>
              </w:rPr>
            </w:pPr>
            <w:r>
              <w:rPr>
                <w:rFonts w:ascii="Arial" w:cs="Arial" w:eastAsia="Arial" w:hAnsi="Arial"/>
                <w:sz w:val="18"/>
                <w:szCs w:val="18"/>
                <w:color w:val="0000EE"/>
              </w:rPr>
              <w:t>Securities Subscription Agreement, dated June 11, 2019, between the Registrant and Silver Spike Sponsor, LLC</w:t>
            </w:r>
          </w:p>
        </w:tc>
      </w:tr>
      <w:tr>
        <w:trPr>
          <w:trHeight w:val="20"/>
        </w:trPr>
        <w:tc>
          <w:tcPr>
            <w:tcW w:w="6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60" w:type="dxa"/>
            <w:vAlign w:val="bottom"/>
            <w:gridSpan w:val="5"/>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18"/>
        </w:trPr>
        <w:tc>
          <w:tcPr>
            <w:tcW w:w="6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10.6</w:t>
            </w:r>
          </w:p>
        </w:tc>
        <w:tc>
          <w:tcPr>
            <w:tcW w:w="10220" w:type="dxa"/>
            <w:vAlign w:val="bottom"/>
            <w:gridSpan w:val="7"/>
          </w:tcPr>
          <w:p>
            <w:pPr>
              <w:ind w:left="320"/>
              <w:spacing w:after="0"/>
              <w:rPr>
                <w:sz w:val="20"/>
                <w:szCs w:val="20"/>
                <w:color w:val="auto"/>
              </w:rPr>
            </w:pPr>
            <w:r>
              <w:rPr>
                <w:rFonts w:ascii="Arial" w:cs="Arial" w:eastAsia="Arial" w:hAnsi="Arial"/>
                <w:sz w:val="18"/>
                <w:szCs w:val="18"/>
                <w:color w:val="auto"/>
              </w:rPr>
              <w:t>Form of Sponsor Warrants Purchase Agreement between the Registrant and Silver Spike Sponsor, LLC*</w:t>
            </w: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Form of Indemnity Agreement.*</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3480" w:type="dxa"/>
            <w:vAlign w:val="bottom"/>
            <w:gridSpan w:val="3"/>
          </w:tcPr>
          <w:p>
            <w:pPr>
              <w:ind w:left="320"/>
              <w:spacing w:after="0"/>
              <w:rPr>
                <w:sz w:val="20"/>
                <w:szCs w:val="20"/>
                <w:color w:val="auto"/>
              </w:rPr>
            </w:pPr>
            <w:r>
              <w:rPr>
                <w:rFonts w:ascii="Arial" w:cs="Arial" w:eastAsia="Arial" w:hAnsi="Arial"/>
                <w:sz w:val="18"/>
                <w:szCs w:val="18"/>
                <w:color w:val="auto"/>
              </w:rPr>
              <w:t>Consent of Marcum LLP*</w:t>
            </w: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23.2</w:t>
            </w:r>
          </w:p>
        </w:tc>
        <w:tc>
          <w:tcPr>
            <w:tcW w:w="5200" w:type="dxa"/>
            <w:vAlign w:val="bottom"/>
            <w:gridSpan w:val="4"/>
          </w:tcPr>
          <w:p>
            <w:pPr>
              <w:ind w:left="320"/>
              <w:spacing w:after="0"/>
              <w:rPr>
                <w:sz w:val="20"/>
                <w:szCs w:val="20"/>
                <w:color w:val="auto"/>
              </w:rPr>
            </w:pPr>
            <w:r>
              <w:rPr>
                <w:rFonts w:ascii="Arial" w:cs="Arial" w:eastAsia="Arial" w:hAnsi="Arial"/>
                <w:sz w:val="18"/>
                <w:szCs w:val="18"/>
                <w:color w:val="auto"/>
              </w:rPr>
              <w:t>Consent of Maples and Calder (included in Exhibit 5.1)*</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940" w:type="dxa"/>
            <w:vAlign w:val="bottom"/>
            <w:gridSpan w:val="3"/>
          </w:tcPr>
          <w:p>
            <w:pPr>
              <w:jc w:val="right"/>
              <w:spacing w:after="0"/>
              <w:rPr>
                <w:sz w:val="20"/>
                <w:szCs w:val="20"/>
                <w:color w:val="auto"/>
              </w:rPr>
            </w:pPr>
            <w:r>
              <w:rPr>
                <w:rFonts w:ascii="Arial" w:cs="Arial" w:eastAsia="Arial" w:hAnsi="Arial"/>
                <w:sz w:val="18"/>
                <w:szCs w:val="18"/>
                <w:color w:val="auto"/>
              </w:rPr>
              <w:t>23.3</w:t>
            </w:r>
          </w:p>
        </w:tc>
        <w:tc>
          <w:tcPr>
            <w:tcW w:w="5200" w:type="dxa"/>
            <w:vAlign w:val="bottom"/>
            <w:gridSpan w:val="4"/>
          </w:tcPr>
          <w:p>
            <w:pPr>
              <w:ind w:left="320"/>
              <w:spacing w:after="0"/>
              <w:rPr>
                <w:sz w:val="20"/>
                <w:szCs w:val="20"/>
                <w:color w:val="auto"/>
              </w:rPr>
            </w:pPr>
            <w:r>
              <w:rPr>
                <w:rFonts w:ascii="Arial" w:cs="Arial" w:eastAsia="Arial" w:hAnsi="Arial"/>
                <w:sz w:val="18"/>
                <w:szCs w:val="18"/>
                <w:color w:val="auto"/>
                <w:w w:val="95"/>
              </w:rPr>
              <w:t>Consent of Davis Polk &amp; Wardwell LLP (included in Exhibit 5.2)*</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67" w:lineRule="exact"/>
        <w:rPr>
          <w:sz w:val="20"/>
          <w:szCs w:val="20"/>
          <w:color w:val="auto"/>
        </w:rPr>
      </w:pPr>
    </w:p>
    <w:p>
      <w:pPr>
        <w:ind w:left="660" w:right="4200" w:firstLine="140"/>
        <w:spacing w:after="0" w:line="344" w:lineRule="auto"/>
        <w:tabs>
          <w:tab w:leader="none" w:pos="1285" w:val="left"/>
        </w:tabs>
        <w:numPr>
          <w:ilvl w:val="1"/>
          <w:numId w:val="94"/>
        </w:numPr>
        <w:rPr>
          <w:rFonts w:ascii="Arial" w:cs="Arial" w:eastAsia="Arial" w:hAnsi="Arial"/>
          <w:sz w:val="18"/>
          <w:szCs w:val="18"/>
          <w:color w:val="auto"/>
        </w:rPr>
      </w:pPr>
      <w:r>
        <w:rPr>
          <w:rFonts w:ascii="Arial" w:cs="Arial" w:eastAsia="Arial" w:hAnsi="Arial"/>
          <w:sz w:val="18"/>
          <w:szCs w:val="18"/>
          <w:color w:val="auto"/>
        </w:rPr>
        <w:t>Power of Attorney (included on signature page of this Registration Statement)* 99.1 Consent of [·]*</w:t>
      </w:r>
    </w:p>
    <w:p>
      <w:pPr>
        <w:ind w:left="660"/>
        <w:spacing w:after="0"/>
        <w:rPr>
          <w:rFonts w:ascii="Arial" w:cs="Arial" w:eastAsia="Arial" w:hAnsi="Arial"/>
          <w:sz w:val="18"/>
          <w:szCs w:val="18"/>
          <w:color w:val="auto"/>
        </w:rPr>
      </w:pPr>
      <w:r>
        <w:rPr>
          <w:rFonts w:ascii="Arial" w:cs="Arial" w:eastAsia="Arial" w:hAnsi="Arial"/>
          <w:sz w:val="18"/>
          <w:szCs w:val="18"/>
          <w:color w:val="auto"/>
        </w:rPr>
        <w:t>99.2    Consent of [·]*</w:t>
      </w:r>
    </w:p>
    <w:p>
      <w:pPr>
        <w:spacing w:after="0" w:line="90" w:lineRule="exact"/>
        <w:rPr>
          <w:rFonts w:ascii="Arial" w:cs="Arial" w:eastAsia="Arial" w:hAnsi="Arial"/>
          <w:sz w:val="18"/>
          <w:szCs w:val="18"/>
          <w:color w:val="auto"/>
        </w:rPr>
      </w:pPr>
    </w:p>
    <w:p>
      <w:pPr>
        <w:ind w:right="8820" w:firstLine="657"/>
        <w:spacing w:after="0" w:line="602" w:lineRule="auto"/>
        <w:rPr>
          <w:rFonts w:ascii="Arial" w:cs="Arial" w:eastAsia="Arial" w:hAnsi="Arial"/>
          <w:sz w:val="18"/>
          <w:szCs w:val="18"/>
          <w:color w:val="auto"/>
        </w:rPr>
      </w:pPr>
      <w:r>
        <w:rPr>
          <w:rFonts w:ascii="Arial" w:cs="Arial" w:eastAsia="Arial" w:hAnsi="Arial"/>
          <w:sz w:val="18"/>
          <w:szCs w:val="18"/>
          <w:color w:val="auto"/>
        </w:rPr>
        <w:t>99.3 Consent of [·]* * 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14230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5480" w:right="1460" w:hanging="5472"/>
        <w:spacing w:after="0" w:line="653" w:lineRule="auto"/>
        <w:tabs>
          <w:tab w:leader="none" w:pos="523"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right="20" w:firstLine="8"/>
        <w:spacing w:after="0" w:line="277" w:lineRule="auto"/>
        <w:tabs>
          <w:tab w:leader="none" w:pos="37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20" w:firstLine="8"/>
        <w:spacing w:after="0" w:line="254" w:lineRule="auto"/>
        <w:tabs>
          <w:tab w:leader="none" w:pos="3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Arial" w:cs="Arial" w:eastAsia="Arial" w:hAnsi="Arial"/>
          <w:sz w:val="18"/>
          <w:szCs w:val="18"/>
          <w:color w:val="auto"/>
        </w:rPr>
      </w:pPr>
    </w:p>
    <w:p>
      <w:pPr>
        <w:ind w:left="380" w:hanging="372"/>
        <w:spacing w:after="0"/>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340" w:right="40" w:hanging="8"/>
        <w:spacing w:after="0" w:line="286" w:lineRule="auto"/>
        <w:tabs>
          <w:tab w:leader="none" w:pos="730" w:val="left"/>
        </w:tabs>
        <w:numPr>
          <w:ilvl w:val="1"/>
          <w:numId w:val="9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340" w:right="160" w:hanging="8"/>
        <w:spacing w:after="0" w:line="263" w:lineRule="auto"/>
        <w:tabs>
          <w:tab w:leader="none" w:pos="73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340" w:right="40" w:hanging="8"/>
        <w:spacing w:after="0" w:line="254" w:lineRule="auto"/>
        <w:tabs>
          <w:tab w:leader="none" w:pos="73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1" w:lineRule="exact"/>
        <w:rPr>
          <w:rFonts w:ascii="Arial" w:cs="Arial" w:eastAsia="Arial" w:hAnsi="Arial"/>
          <w:sz w:val="18"/>
          <w:szCs w:val="18"/>
          <w:color w:val="auto"/>
        </w:rPr>
      </w:pPr>
    </w:p>
    <w:p>
      <w:pPr>
        <w:ind w:left="340" w:hanging="8"/>
        <w:spacing w:after="0" w:line="257" w:lineRule="auto"/>
        <w:tabs>
          <w:tab w:leader="none" w:pos="73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1060" w:hanging="404"/>
        <w:spacing w:after="0"/>
        <w:tabs>
          <w:tab w:leader="none" w:pos="1060" w:val="left"/>
        </w:tabs>
        <w:numPr>
          <w:ilvl w:val="2"/>
          <w:numId w:val="9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660" w:right="520" w:hanging="4"/>
        <w:spacing w:after="0" w:line="277" w:lineRule="auto"/>
        <w:tabs>
          <w:tab w:leader="none" w:pos="111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left="660" w:right="60" w:hanging="4"/>
        <w:spacing w:after="0" w:line="277" w:lineRule="auto"/>
        <w:tabs>
          <w:tab w:leader="none" w:pos="1167"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on , 2019.</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3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60"/>
              <w:spacing w:after="0"/>
              <w:rPr>
                <w:sz w:val="20"/>
                <w:szCs w:val="20"/>
                <w:color w:val="auto"/>
              </w:rPr>
            </w:pPr>
            <w:r>
              <w:rPr>
                <w:rFonts w:ascii="Arial" w:cs="Arial" w:eastAsia="Arial" w:hAnsi="Arial"/>
                <w:sz w:val="18"/>
                <w:szCs w:val="18"/>
                <w:color w:val="auto"/>
              </w:rPr>
              <w:t>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Scott Gordon his true and lawful attorney-in-fact, with full power of substitution and resubstitution for him and in his name, place and stead, in any and all capacities to sign any and all amendments including pre- and post-effective amendments to this registration statement, any subsequent registration statement for the same offering which may be filed pursuant to Rule 462(b) under the Securities Act of 1933, as amended, and pre- or post-effective amendments thereto,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2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18"/>
                <w:szCs w:val="18"/>
                <w:color w:val="auto"/>
              </w:rPr>
              <w:t>Chief Executive Officer and Chairman (Principal</w:t>
            </w: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Scott Gordon</w:t>
            </w:r>
          </w:p>
        </w:tc>
        <w:tc>
          <w:tcPr>
            <w:tcW w:w="4960" w:type="dxa"/>
            <w:vAlign w:val="bottom"/>
            <w:gridSpan w:val="3"/>
            <w:vMerge w:val="restart"/>
          </w:tcPr>
          <w:p>
            <w:pPr>
              <w:ind w:left="480"/>
              <w:spacing w:after="0"/>
              <w:rPr>
                <w:sz w:val="20"/>
                <w:szCs w:val="20"/>
                <w:color w:val="auto"/>
              </w:rPr>
            </w:pPr>
            <w:r>
              <w:rPr>
                <w:rFonts w:ascii="Arial" w:cs="Arial" w:eastAsia="Arial" w:hAnsi="Arial"/>
                <w:sz w:val="18"/>
                <w:szCs w:val="18"/>
                <w:color w:val="auto"/>
              </w:rPr>
              <w:t>Executive Officer)</w:t>
            </w:r>
          </w:p>
        </w:tc>
        <w:tc>
          <w:tcPr>
            <w:tcW w:w="1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20" w:type="dxa"/>
            <w:vAlign w:val="bottom"/>
            <w:gridSpan w:val="3"/>
            <w:vMerge w:val="continue"/>
          </w:tcPr>
          <w:p>
            <w:pPr>
              <w:spacing w:after="0"/>
              <w:rPr>
                <w:sz w:val="11"/>
                <w:szCs w:val="11"/>
                <w:color w:val="auto"/>
              </w:rPr>
            </w:pPr>
          </w:p>
        </w:tc>
        <w:tc>
          <w:tcPr>
            <w:tcW w:w="49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960" w:type="dxa"/>
            <w:vAlign w:val="bottom"/>
            <w:gridSpan w:val="3"/>
            <w:vMerge w:val="restart"/>
          </w:tcPr>
          <w:p>
            <w:pPr>
              <w:ind w:left="480"/>
              <w:spacing w:after="0"/>
              <w:rPr>
                <w:sz w:val="20"/>
                <w:szCs w:val="20"/>
                <w:color w:val="auto"/>
              </w:rPr>
            </w:pPr>
            <w:r>
              <w:rPr>
                <w:rFonts w:ascii="Arial" w:cs="Arial" w:eastAsia="Arial" w:hAnsi="Arial"/>
                <w:sz w:val="18"/>
                <w:szCs w:val="18"/>
                <w:color w:val="auto"/>
              </w:rPr>
              <w:t>President and Director</w:t>
            </w: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William Healy</w:t>
            </w:r>
          </w:p>
        </w:tc>
        <w:tc>
          <w:tcPr>
            <w:tcW w:w="4960" w:type="dxa"/>
            <w:vAlign w:val="bottom"/>
            <w:gridSpan w:val="3"/>
            <w:vMerge w:val="continue"/>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20" w:type="dxa"/>
            <w:vAlign w:val="bottom"/>
            <w:gridSpan w:val="3"/>
            <w:vMerge w:val="continue"/>
          </w:tcPr>
          <w:p>
            <w:pPr>
              <w:spacing w:after="0"/>
              <w:rPr>
                <w:sz w:val="11"/>
                <w:szCs w:val="11"/>
                <w:color w:val="auto"/>
              </w:rPr>
            </w:pPr>
          </w:p>
        </w:tc>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 (Principal Financial and</w:t>
            </w: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3720" w:type="dxa"/>
            <w:vAlign w:val="bottom"/>
            <w:gridSpan w:val="3"/>
            <w:vMerge w:val="restart"/>
          </w:tcPr>
          <w:p>
            <w:pPr>
              <w:spacing w:after="0"/>
              <w:rPr>
                <w:sz w:val="20"/>
                <w:szCs w:val="20"/>
                <w:color w:val="auto"/>
              </w:rPr>
            </w:pPr>
            <w:r>
              <w:rPr>
                <w:rFonts w:ascii="Arial" w:cs="Arial" w:eastAsia="Arial" w:hAnsi="Arial"/>
                <w:sz w:val="18"/>
                <w:szCs w:val="18"/>
                <w:color w:val="auto"/>
              </w:rPr>
              <w:t>Greg Gentile</w:t>
            </w:r>
          </w:p>
        </w:tc>
        <w:tc>
          <w:tcPr>
            <w:tcW w:w="4960" w:type="dxa"/>
            <w:vAlign w:val="bottom"/>
            <w:gridSpan w:val="3"/>
            <w:vMerge w:val="restart"/>
          </w:tcPr>
          <w:p>
            <w:pPr>
              <w:ind w:left="480"/>
              <w:spacing w:after="0"/>
              <w:rPr>
                <w:sz w:val="20"/>
                <w:szCs w:val="20"/>
                <w:color w:val="auto"/>
              </w:rPr>
            </w:pPr>
            <w:r>
              <w:rPr>
                <w:rFonts w:ascii="Arial" w:cs="Arial" w:eastAsia="Arial" w:hAnsi="Arial"/>
                <w:sz w:val="18"/>
                <w:szCs w:val="18"/>
                <w:color w:val="auto"/>
              </w:rPr>
              <w:t>Accounting Officer)</w:t>
            </w:r>
          </w:p>
        </w:tc>
        <w:tc>
          <w:tcPr>
            <w:tcW w:w="1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720" w:type="dxa"/>
            <w:vAlign w:val="bottom"/>
            <w:gridSpan w:val="3"/>
            <w:vMerge w:val="continue"/>
          </w:tcPr>
          <w:p>
            <w:pPr>
              <w:spacing w:after="0"/>
              <w:rPr>
                <w:sz w:val="11"/>
                <w:szCs w:val="11"/>
                <w:color w:val="auto"/>
              </w:rPr>
            </w:pPr>
          </w:p>
        </w:tc>
        <w:tc>
          <w:tcPr>
            <w:tcW w:w="49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Section 6(a) of the Securities Act of 1933, as amended, the undersigned has signed this registration statement, solely in its capacity as the duly authorized representative of Silver Spike Acquisition Corp., in , 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3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60"/>
              <w:spacing w:after="0"/>
              <w:rPr>
                <w:sz w:val="20"/>
                <w:szCs w:val="20"/>
                <w:color w:val="auto"/>
              </w:rPr>
            </w:pPr>
            <w:r>
              <w:rPr>
                <w:rFonts w:ascii="Arial" w:cs="Arial" w:eastAsia="Arial" w:hAnsi="Arial"/>
                <w:sz w:val="18"/>
                <w:szCs w:val="18"/>
                <w:color w:val="auto"/>
              </w:rPr>
              <w:t>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THE COMPANIES LAW (2018 REVISION)</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 THE CAYMAN ISLANDS</w:t>
      </w:r>
    </w:p>
    <w:p>
      <w:pPr>
        <w:jc w:val="center"/>
        <w:ind w:right="1100"/>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0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1245870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THE COMPANIES LAW (2018 REVISION)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198"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Silver Spike Acquisition Corp.</w:t>
      </w:r>
    </w:p>
    <w:p>
      <w:pPr>
        <w:spacing w:after="0" w:line="220" w:lineRule="exact"/>
        <w:rPr>
          <w:sz w:val="20"/>
          <w:szCs w:val="20"/>
          <w:color w:val="auto"/>
        </w:rPr>
      </w:pPr>
    </w:p>
    <w:p>
      <w:pPr>
        <w:ind w:left="660" w:hanging="652"/>
        <w:spacing w:after="0" w:line="24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83" w:lineRule="exact"/>
        <w:rPr>
          <w:sz w:val="20"/>
          <w:szCs w:val="20"/>
          <w:color w:val="auto"/>
        </w:rPr>
      </w:pPr>
    </w:p>
    <w:p>
      <w:pPr>
        <w:ind w:left="660" w:right="20" w:hanging="652"/>
        <w:spacing w:after="0" w:line="246"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183"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98" w:lineRule="exact"/>
        <w:rPr>
          <w:sz w:val="20"/>
          <w:szCs w:val="20"/>
          <w:color w:val="auto"/>
        </w:rPr>
      </w:pPr>
    </w:p>
    <w:p>
      <w:pPr>
        <w:jc w:val="both"/>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 capital of the Company is US$22,100 divided into 200,000,000 Class A ordinary shares of a par value of US$0.0001 each, 20,000,000 Class B ordinary shares of a par value of US$0.0001 each and 1,000,000 preference shares of a par value of US$0.0001 each.</w:t>
      </w:r>
    </w:p>
    <w:p>
      <w:pPr>
        <w:spacing w:after="0" w:line="189" w:lineRule="exact"/>
        <w:rPr>
          <w:sz w:val="20"/>
          <w:szCs w:val="20"/>
          <w:color w:val="auto"/>
        </w:rPr>
      </w:pPr>
    </w:p>
    <w:p>
      <w:pPr>
        <w:ind w:left="660" w:hanging="652"/>
        <w:spacing w:after="0" w:line="24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83" w:lineRule="exact"/>
        <w:rPr>
          <w:sz w:val="20"/>
          <w:szCs w:val="20"/>
          <w:color w:val="auto"/>
        </w:rPr>
      </w:pPr>
    </w:p>
    <w:p>
      <w:pPr>
        <w:ind w:left="660" w:hanging="652"/>
        <w:spacing w:after="0" w:line="246"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79" w:name="page180"/>
    <w:bookmarkEnd w:id="179"/>
    <w:p>
      <w:pPr>
        <w:spacing w:after="0" w:line="246" w:lineRule="auto"/>
        <w:rPr>
          <w:sz w:val="20"/>
          <w:szCs w:val="20"/>
          <w:color w:val="auto"/>
        </w:rPr>
      </w:pPr>
      <w:r>
        <w:rPr>
          <w:rFonts w:ascii="Arial" w:cs="Arial" w:eastAsia="Arial" w:hAnsi="Arial"/>
          <w:sz w:val="18"/>
          <w:szCs w:val="18"/>
          <w:color w:val="auto"/>
        </w:rPr>
        <w:t>WE, the subscriber to this Memorandum of Association, wish to form a company pursuant to this Memorandum of Association, and we agree to take the number of shares shown opposite our name.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gridSpan w:val="3"/>
          </w:tcPr>
          <w:p>
            <w:pPr>
              <w:spacing w:after="0"/>
              <w:rPr>
                <w:sz w:val="20"/>
                <w:szCs w:val="20"/>
                <w:color w:val="auto"/>
              </w:rPr>
            </w:pPr>
            <w:r>
              <w:rPr>
                <w:rFonts w:ascii="Arial" w:cs="Arial" w:eastAsia="Arial" w:hAnsi="Arial"/>
                <w:sz w:val="18"/>
                <w:szCs w:val="18"/>
                <w:color w:val="auto"/>
              </w:rPr>
              <w:t>Dated this 7th day of June 2019.</w:t>
            </w:r>
          </w:p>
        </w:tc>
        <w:tc>
          <w:tcPr>
            <w:tcW w:w="7000" w:type="dxa"/>
            <w:vAlign w:val="bottom"/>
          </w:tcPr>
          <w:p>
            <w:pPr>
              <w:spacing w:after="0"/>
              <w:rPr>
                <w:sz w:val="18"/>
                <w:szCs w:val="18"/>
                <w:color w:val="auto"/>
              </w:rPr>
            </w:pPr>
          </w:p>
        </w:tc>
      </w:tr>
      <w:tr>
        <w:trPr>
          <w:trHeight w:val="405"/>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Signature and Address of Subscriber</w:t>
            </w:r>
          </w:p>
        </w:tc>
        <w:tc>
          <w:tcPr>
            <w:tcW w:w="7000" w:type="dxa"/>
            <w:vAlign w:val="bottom"/>
          </w:tcPr>
          <w:p>
            <w:pPr>
              <w:ind w:left="1060"/>
              <w:spacing w:after="0"/>
              <w:rPr>
                <w:sz w:val="20"/>
                <w:szCs w:val="20"/>
                <w:color w:val="auto"/>
              </w:rPr>
            </w:pPr>
            <w:r>
              <w:rPr>
                <w:rFonts w:ascii="Arial" w:cs="Arial" w:eastAsia="Arial" w:hAnsi="Arial"/>
                <w:sz w:val="18"/>
                <w:szCs w:val="18"/>
                <w:b w:val="1"/>
                <w:bCs w:val="1"/>
                <w:color w:val="auto"/>
              </w:rPr>
              <w:t>Number of Shares Taken</w:t>
            </w:r>
          </w:p>
        </w:tc>
      </w:tr>
      <w:tr>
        <w:trPr>
          <w:trHeight w:val="593"/>
        </w:trPr>
        <w:tc>
          <w:tcPr>
            <w:tcW w:w="4240" w:type="dxa"/>
            <w:vAlign w:val="bottom"/>
            <w:gridSpan w:val="3"/>
          </w:tcPr>
          <w:p>
            <w:pPr>
              <w:spacing w:after="0"/>
              <w:rPr>
                <w:sz w:val="20"/>
                <w:szCs w:val="20"/>
                <w:color w:val="auto"/>
              </w:rPr>
            </w:pPr>
            <w:r>
              <w:rPr>
                <w:rFonts w:ascii="Arial" w:cs="Arial" w:eastAsia="Arial" w:hAnsi="Arial"/>
                <w:sz w:val="18"/>
                <w:szCs w:val="18"/>
                <w:color w:val="auto"/>
              </w:rPr>
              <w:t>Maples Corporate Services Limited</w:t>
            </w:r>
          </w:p>
        </w:tc>
        <w:tc>
          <w:tcPr>
            <w:tcW w:w="7000" w:type="dxa"/>
            <w:vAlign w:val="bottom"/>
          </w:tcPr>
          <w:p>
            <w:pPr>
              <w:ind w:left="1060"/>
              <w:spacing w:after="0"/>
              <w:rPr>
                <w:sz w:val="20"/>
                <w:szCs w:val="20"/>
                <w:color w:val="auto"/>
              </w:rPr>
            </w:pPr>
            <w:r>
              <w:rPr>
                <w:rFonts w:ascii="Arial" w:cs="Arial" w:eastAsia="Arial" w:hAnsi="Arial"/>
                <w:sz w:val="18"/>
                <w:szCs w:val="18"/>
                <w:color w:val="auto"/>
              </w:rPr>
              <w:t>One Class B ordinary share</w:t>
            </w:r>
          </w:p>
        </w:tc>
      </w:tr>
      <w:tr>
        <w:trPr>
          <w:trHeight w:val="203"/>
        </w:trPr>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of PO Box 309, Ugland House</w:t>
            </w:r>
          </w:p>
        </w:tc>
        <w:tc>
          <w:tcPr>
            <w:tcW w:w="7000" w:type="dxa"/>
            <w:vAlign w:val="bottom"/>
          </w:tcPr>
          <w:p>
            <w:pPr>
              <w:spacing w:after="0"/>
              <w:rPr>
                <w:sz w:val="17"/>
                <w:szCs w:val="17"/>
                <w:color w:val="auto"/>
              </w:rPr>
            </w:pPr>
          </w:p>
        </w:tc>
      </w:tr>
      <w:tr>
        <w:trPr>
          <w:trHeight w:val="203"/>
        </w:trPr>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Grand Cayman</w:t>
            </w:r>
          </w:p>
        </w:tc>
        <w:tc>
          <w:tcPr>
            <w:tcW w:w="7000" w:type="dxa"/>
            <w:vAlign w:val="bottom"/>
          </w:tcPr>
          <w:p>
            <w:pPr>
              <w:spacing w:after="0"/>
              <w:rPr>
                <w:sz w:val="17"/>
                <w:szCs w:val="17"/>
                <w:color w:val="auto"/>
              </w:rPr>
            </w:pPr>
          </w:p>
        </w:tc>
      </w:tr>
      <w:tr>
        <w:trPr>
          <w:trHeight w:val="203"/>
        </w:trPr>
        <w:tc>
          <w:tcPr>
            <w:tcW w:w="4240" w:type="dxa"/>
            <w:vAlign w:val="bottom"/>
            <w:gridSpan w:val="3"/>
          </w:tcPr>
          <w:p>
            <w:pPr>
              <w:spacing w:after="0" w:line="202" w:lineRule="exact"/>
              <w:rPr>
                <w:sz w:val="20"/>
                <w:szCs w:val="20"/>
                <w:color w:val="auto"/>
              </w:rPr>
            </w:pPr>
            <w:r>
              <w:rPr>
                <w:rFonts w:ascii="Arial" w:cs="Arial" w:eastAsia="Arial" w:hAnsi="Arial"/>
                <w:sz w:val="18"/>
                <w:szCs w:val="18"/>
                <w:color w:val="auto"/>
              </w:rPr>
              <w:t>KY1-1104</w:t>
            </w:r>
          </w:p>
        </w:tc>
        <w:tc>
          <w:tcPr>
            <w:tcW w:w="7000" w:type="dxa"/>
            <w:vAlign w:val="bottom"/>
          </w:tcPr>
          <w:p>
            <w:pPr>
              <w:spacing w:after="0"/>
              <w:rPr>
                <w:sz w:val="17"/>
                <w:szCs w:val="17"/>
                <w:color w:val="auto"/>
              </w:rPr>
            </w:pPr>
          </w:p>
        </w:tc>
      </w:tr>
      <w:tr>
        <w:trPr>
          <w:trHeight w:val="217"/>
        </w:trPr>
        <w:tc>
          <w:tcPr>
            <w:tcW w:w="4240" w:type="dxa"/>
            <w:vAlign w:val="bottom"/>
            <w:gridSpan w:val="3"/>
          </w:tcPr>
          <w:p>
            <w:pPr>
              <w:spacing w:after="0"/>
              <w:rPr>
                <w:sz w:val="20"/>
                <w:szCs w:val="20"/>
                <w:color w:val="auto"/>
              </w:rPr>
            </w:pPr>
            <w:r>
              <w:rPr>
                <w:rFonts w:ascii="Arial" w:cs="Arial" w:eastAsia="Arial" w:hAnsi="Arial"/>
                <w:sz w:val="18"/>
                <w:szCs w:val="18"/>
                <w:color w:val="auto"/>
              </w:rPr>
              <w:t>Cayman Islands</w:t>
            </w:r>
          </w:p>
        </w:tc>
        <w:tc>
          <w:tcPr>
            <w:tcW w:w="7000" w:type="dxa"/>
            <w:vAlign w:val="bottom"/>
          </w:tcPr>
          <w:p>
            <w:pPr>
              <w:spacing w:after="0"/>
              <w:rPr>
                <w:sz w:val="18"/>
                <w:szCs w:val="18"/>
                <w:color w:val="auto"/>
              </w:rPr>
            </w:pPr>
          </w:p>
        </w:tc>
      </w:tr>
      <w:tr>
        <w:trPr>
          <w:trHeight w:val="608"/>
        </w:trPr>
        <w:tc>
          <w:tcPr>
            <w:tcW w:w="4240" w:type="dxa"/>
            <w:vAlign w:val="bottom"/>
            <w:gridSpan w:val="3"/>
          </w:tcPr>
          <w:p>
            <w:pPr>
              <w:spacing w:after="0"/>
              <w:rPr>
                <w:sz w:val="20"/>
                <w:szCs w:val="20"/>
                <w:color w:val="auto"/>
              </w:rPr>
            </w:pPr>
            <w:r>
              <w:rPr>
                <w:rFonts w:ascii="Arial" w:cs="Arial" w:eastAsia="Arial" w:hAnsi="Arial"/>
                <w:sz w:val="18"/>
                <w:szCs w:val="18"/>
                <w:color w:val="auto"/>
              </w:rPr>
              <w:t>acting by:</w:t>
            </w:r>
          </w:p>
        </w:tc>
        <w:tc>
          <w:tcPr>
            <w:tcW w:w="7000" w:type="dxa"/>
            <w:vAlign w:val="bottom"/>
          </w:tcPr>
          <w:p>
            <w:pPr>
              <w:spacing w:after="0"/>
              <w:rPr>
                <w:sz w:val="24"/>
                <w:szCs w:val="24"/>
                <w:color w:val="auto"/>
              </w:rPr>
            </w:pPr>
          </w:p>
        </w:tc>
      </w:tr>
      <w:tr>
        <w:trPr>
          <w:trHeight w:val="567"/>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Borden</w:t>
            </w:r>
          </w:p>
        </w:tc>
        <w:tc>
          <w:tcPr>
            <w:tcW w:w="2180" w:type="dxa"/>
            <w:vAlign w:val="bottom"/>
            <w:gridSpan w:val="2"/>
          </w:tcPr>
          <w:p>
            <w:pPr>
              <w:spacing w:after="0"/>
              <w:rPr>
                <w:sz w:val="24"/>
                <w:szCs w:val="24"/>
                <w:color w:val="auto"/>
              </w:rPr>
            </w:pPr>
          </w:p>
        </w:tc>
        <w:tc>
          <w:tcPr>
            <w:tcW w:w="7000" w:type="dxa"/>
            <w:vAlign w:val="bottom"/>
          </w:tcPr>
          <w:p>
            <w:pPr>
              <w:spacing w:after="0"/>
              <w:rPr>
                <w:sz w:val="24"/>
                <w:szCs w:val="24"/>
                <w:color w:val="auto"/>
              </w:rPr>
            </w:pPr>
          </w:p>
        </w:tc>
      </w:tr>
      <w:tr>
        <w:trPr>
          <w:trHeight w:val="223"/>
        </w:trPr>
        <w:tc>
          <w:tcPr>
            <w:tcW w:w="4240" w:type="dxa"/>
            <w:vAlign w:val="bottom"/>
            <w:gridSpan w:val="3"/>
          </w:tcPr>
          <w:p>
            <w:pPr>
              <w:spacing w:after="0"/>
              <w:rPr>
                <w:sz w:val="20"/>
                <w:szCs w:val="20"/>
                <w:color w:val="auto"/>
              </w:rPr>
            </w:pPr>
            <w:r>
              <w:rPr>
                <w:rFonts w:ascii="Arial" w:cs="Arial" w:eastAsia="Arial" w:hAnsi="Arial"/>
                <w:sz w:val="18"/>
                <w:szCs w:val="18"/>
                <w:color w:val="auto"/>
              </w:rPr>
              <w:t>Marcia Borden</w:t>
            </w:r>
          </w:p>
        </w:tc>
        <w:tc>
          <w:tcPr>
            <w:tcW w:w="7000" w:type="dxa"/>
            <w:vAlign w:val="bottom"/>
          </w:tcPr>
          <w:p>
            <w:pPr>
              <w:spacing w:after="0"/>
              <w:rPr>
                <w:sz w:val="19"/>
                <w:szCs w:val="19"/>
                <w:color w:val="auto"/>
              </w:rPr>
            </w:pPr>
          </w:p>
        </w:tc>
      </w:tr>
      <w:tr>
        <w:trPr>
          <w:trHeight w:val="769"/>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Ahmaree Piercy</w:t>
            </w:r>
          </w:p>
        </w:tc>
        <w:tc>
          <w:tcPr>
            <w:tcW w:w="216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209"/>
        </w:trPr>
        <w:tc>
          <w:tcPr>
            <w:tcW w:w="4240" w:type="dxa"/>
            <w:vAlign w:val="bottom"/>
            <w:gridSpan w:val="3"/>
          </w:tcPr>
          <w:p>
            <w:pPr>
              <w:spacing w:after="0"/>
              <w:rPr>
                <w:sz w:val="20"/>
                <w:szCs w:val="20"/>
                <w:color w:val="auto"/>
              </w:rPr>
            </w:pPr>
            <w:r>
              <w:rPr>
                <w:rFonts w:ascii="Arial" w:cs="Arial" w:eastAsia="Arial" w:hAnsi="Arial"/>
                <w:sz w:val="18"/>
                <w:szCs w:val="18"/>
                <w:color w:val="auto"/>
              </w:rPr>
              <w:t>Ahmaree Piercy</w:t>
            </w:r>
          </w:p>
        </w:tc>
        <w:tc>
          <w:tcPr>
            <w:tcW w:w="7000" w:type="dxa"/>
            <w:vAlign w:val="bottom"/>
          </w:tcPr>
          <w:p>
            <w:pPr>
              <w:spacing w:after="0"/>
              <w:rPr>
                <w:sz w:val="18"/>
                <w:szCs w:val="18"/>
                <w:color w:val="auto"/>
              </w:rPr>
            </w:pPr>
          </w:p>
        </w:tc>
      </w:tr>
      <w:tr>
        <w:trPr>
          <w:trHeight w:val="217"/>
        </w:trPr>
        <w:tc>
          <w:tcPr>
            <w:tcW w:w="4240" w:type="dxa"/>
            <w:vAlign w:val="bottom"/>
            <w:gridSpan w:val="3"/>
          </w:tcPr>
          <w:p>
            <w:pPr>
              <w:spacing w:after="0"/>
              <w:rPr>
                <w:sz w:val="20"/>
                <w:szCs w:val="20"/>
                <w:color w:val="auto"/>
              </w:rPr>
            </w:pPr>
            <w:r>
              <w:rPr>
                <w:rFonts w:ascii="Arial" w:cs="Arial" w:eastAsia="Arial" w:hAnsi="Arial"/>
                <w:sz w:val="18"/>
                <w:szCs w:val="18"/>
                <w:color w:val="auto"/>
              </w:rPr>
              <w:t>Witness to the above signature</w:t>
            </w:r>
          </w:p>
        </w:tc>
        <w:tc>
          <w:tcPr>
            <w:tcW w:w="7000" w:type="dxa"/>
            <w:vAlign w:val="bottom"/>
          </w:tcPr>
          <w:p>
            <w:pPr>
              <w:spacing w:after="0"/>
              <w:rPr>
                <w:sz w:val="18"/>
                <w:szCs w:val="18"/>
                <w:color w:val="auto"/>
              </w:rPr>
            </w:pPr>
          </w:p>
        </w:tc>
      </w:tr>
      <w:tr>
        <w:trPr>
          <w:trHeight w:val="513"/>
        </w:trPr>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80" w:name="page181"/>
    <w:bookmarkEnd w:id="180"/>
    <w:p>
      <w:pPr>
        <w:jc w:val="center"/>
        <w:ind w:right="80"/>
        <w:spacing w:after="0"/>
        <w:rPr>
          <w:sz w:val="20"/>
          <w:szCs w:val="20"/>
          <w:color w:val="auto"/>
        </w:rPr>
      </w:pPr>
      <w:r>
        <w:rPr>
          <w:rFonts w:ascii="Arial" w:cs="Arial" w:eastAsia="Arial" w:hAnsi="Arial"/>
          <w:sz w:val="18"/>
          <w:szCs w:val="18"/>
          <w:b w:val="1"/>
          <w:bCs w:val="1"/>
          <w:color w:val="auto"/>
        </w:rPr>
        <w:t>THE COMPANIES LAW (2018 REVISION)</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OF THE CAYMAN ISLANDS</w:t>
      </w:r>
    </w:p>
    <w:p>
      <w:pPr>
        <w:jc w:val="center"/>
        <w:ind w:right="80"/>
        <w:spacing w:after="0" w:line="234" w:lineRule="auto"/>
        <w:rPr>
          <w:sz w:val="20"/>
          <w:szCs w:val="20"/>
          <w:color w:val="auto"/>
        </w:rPr>
      </w:pPr>
      <w:r>
        <w:rPr>
          <w:rFonts w:ascii="Arial" w:cs="Arial" w:eastAsia="Arial" w:hAnsi="Arial"/>
          <w:sz w:val="18"/>
          <w:szCs w:val="18"/>
          <w:b w:val="1"/>
          <w:bCs w:val="1"/>
          <w:color w:val="auto"/>
        </w:rPr>
        <w:t>COMPANY LIMITED BY SHARES</w:t>
      </w:r>
    </w:p>
    <w:p>
      <w:pPr>
        <w:jc w:val="center"/>
        <w:ind w:right="80"/>
        <w:spacing w:after="0" w:line="235"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ARTICLES OF ASSOCIATION</w:t>
      </w:r>
    </w:p>
    <w:p>
      <w:pPr>
        <w:spacing w:after="0" w:line="17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SILVER SPIKE ACQUISITION CORP.</w:t>
      </w:r>
    </w:p>
    <w:p>
      <w:pPr>
        <w:spacing w:after="0" w:line="193"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229" w:lineRule="exact"/>
        <w:rPr>
          <w:sz w:val="20"/>
          <w:szCs w:val="20"/>
          <w:color w:val="auto"/>
        </w:rPr>
      </w:pPr>
    </w:p>
    <w:p>
      <w:pPr>
        <w:ind w:left="660" w:right="80" w:hanging="647"/>
        <w:spacing w:after="0" w:line="24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means these articles of association of the Company.</w:t>
            </w:r>
          </w:p>
        </w:tc>
      </w:tr>
      <w:tr>
        <w:trPr>
          <w:trHeight w:val="404"/>
        </w:trPr>
        <w:tc>
          <w:tcPr>
            <w:tcW w:w="34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means the person for the time being performing the duties of auditor of the Company (if</w:t>
            </w:r>
          </w:p>
        </w:tc>
      </w:tr>
      <w:tr>
        <w:trPr>
          <w:trHeight w:val="217"/>
        </w:trPr>
        <w:tc>
          <w:tcPr>
            <w:tcW w:w="3460" w:type="dxa"/>
            <w:vAlign w:val="bottom"/>
          </w:tcPr>
          <w:p>
            <w:pPr>
              <w:spacing w:after="0"/>
              <w:rPr>
                <w:sz w:val="18"/>
                <w:szCs w:val="18"/>
                <w:color w:val="auto"/>
              </w:rPr>
            </w:pP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any).</w:t>
            </w:r>
          </w:p>
        </w:tc>
      </w:tr>
      <w:tr>
        <w:trPr>
          <w:trHeight w:val="404"/>
        </w:trPr>
        <w:tc>
          <w:tcPr>
            <w:tcW w:w="34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w:t>
            </w: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means a merger, share exchange, asset acquisition, share purchase, reorganisation or</w:t>
            </w:r>
          </w:p>
        </w:tc>
      </w:tr>
      <w:tr>
        <w:trPr>
          <w:trHeight w:val="203"/>
        </w:trPr>
        <w:tc>
          <w:tcPr>
            <w:tcW w:w="3460" w:type="dxa"/>
            <w:vAlign w:val="bottom"/>
          </w:tcPr>
          <w:p>
            <w:pPr>
              <w:spacing w:after="0"/>
              <w:rPr>
                <w:sz w:val="17"/>
                <w:szCs w:val="17"/>
                <w:color w:val="auto"/>
              </w:rPr>
            </w:pPr>
          </w:p>
        </w:tc>
        <w:tc>
          <w:tcPr>
            <w:tcW w:w="7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similar business combination involving the Company, with one or more businesses or</w:t>
            </w:r>
          </w:p>
        </w:tc>
      </w:tr>
      <w:tr>
        <w:trPr>
          <w:trHeight w:val="203"/>
        </w:trPr>
        <w:tc>
          <w:tcPr>
            <w:tcW w:w="3460" w:type="dxa"/>
            <w:vAlign w:val="bottom"/>
          </w:tcPr>
          <w:p>
            <w:pPr>
              <w:spacing w:after="0"/>
              <w:rPr>
                <w:sz w:val="17"/>
                <w:szCs w:val="17"/>
                <w:color w:val="auto"/>
              </w:rPr>
            </w:pPr>
          </w:p>
        </w:tc>
        <w:tc>
          <w:tcPr>
            <w:tcW w:w="7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entities (the "target business"), which Business Combination: (a) must occur with one or</w:t>
            </w:r>
          </w:p>
        </w:tc>
      </w:tr>
      <w:tr>
        <w:trPr>
          <w:trHeight w:val="203"/>
        </w:trPr>
        <w:tc>
          <w:tcPr>
            <w:tcW w:w="3460" w:type="dxa"/>
            <w:vAlign w:val="bottom"/>
          </w:tcPr>
          <w:p>
            <w:pPr>
              <w:spacing w:after="0"/>
              <w:rPr>
                <w:sz w:val="17"/>
                <w:szCs w:val="17"/>
                <w:color w:val="auto"/>
              </w:rPr>
            </w:pPr>
          </w:p>
        </w:tc>
        <w:tc>
          <w:tcPr>
            <w:tcW w:w="7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more target businesses that together have an aggregate fair market value of at least 80%</w:t>
            </w:r>
          </w:p>
        </w:tc>
      </w:tr>
      <w:tr>
        <w:trPr>
          <w:trHeight w:val="203"/>
        </w:trPr>
        <w:tc>
          <w:tcPr>
            <w:tcW w:w="3460" w:type="dxa"/>
            <w:vAlign w:val="bottom"/>
          </w:tcPr>
          <w:p>
            <w:pPr>
              <w:spacing w:after="0"/>
              <w:rPr>
                <w:sz w:val="17"/>
                <w:szCs w:val="17"/>
                <w:color w:val="auto"/>
              </w:rPr>
            </w:pPr>
          </w:p>
        </w:tc>
        <w:tc>
          <w:tcPr>
            <w:tcW w:w="7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of the assets held in the Trust Fund (excluding the deferred underwriting commissions</w:t>
            </w:r>
          </w:p>
        </w:tc>
      </w:tr>
      <w:tr>
        <w:trPr>
          <w:trHeight w:val="203"/>
        </w:trPr>
        <w:tc>
          <w:tcPr>
            <w:tcW w:w="3460" w:type="dxa"/>
            <w:vAlign w:val="bottom"/>
          </w:tcPr>
          <w:p>
            <w:pPr>
              <w:spacing w:after="0"/>
              <w:rPr>
                <w:sz w:val="17"/>
                <w:szCs w:val="17"/>
                <w:color w:val="auto"/>
              </w:rPr>
            </w:pPr>
          </w:p>
        </w:tc>
        <w:tc>
          <w:tcPr>
            <w:tcW w:w="7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and taxes payable on the income earned on the Trust Fund) at the time of the agreement</w:t>
            </w:r>
          </w:p>
        </w:tc>
      </w:tr>
      <w:tr>
        <w:trPr>
          <w:trHeight w:val="203"/>
        </w:trPr>
        <w:tc>
          <w:tcPr>
            <w:tcW w:w="3460" w:type="dxa"/>
            <w:vAlign w:val="bottom"/>
          </w:tcPr>
          <w:p>
            <w:pPr>
              <w:spacing w:after="0"/>
              <w:rPr>
                <w:sz w:val="17"/>
                <w:szCs w:val="17"/>
                <w:color w:val="auto"/>
              </w:rPr>
            </w:pPr>
          </w:p>
        </w:tc>
        <w:tc>
          <w:tcPr>
            <w:tcW w:w="78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to enter into a Business Combination; and (b) must not be effectuated with another blank</w:t>
            </w:r>
          </w:p>
        </w:tc>
      </w:tr>
      <w:tr>
        <w:trPr>
          <w:trHeight w:val="217"/>
        </w:trPr>
        <w:tc>
          <w:tcPr>
            <w:tcW w:w="3460" w:type="dxa"/>
            <w:vAlign w:val="bottom"/>
          </w:tcPr>
          <w:p>
            <w:pPr>
              <w:spacing w:after="0"/>
              <w:rPr>
                <w:sz w:val="18"/>
                <w:szCs w:val="18"/>
                <w:color w:val="auto"/>
              </w:rPr>
            </w:pP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cheque company or a similar company with nominal operations.</w:t>
            </w:r>
          </w:p>
        </w:tc>
      </w:tr>
      <w:tr>
        <w:trPr>
          <w:trHeight w:val="404"/>
        </w:trPr>
        <w:tc>
          <w:tcPr>
            <w:tcW w:w="34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w:t>
            </w:r>
            <w:r>
              <w:rPr>
                <w:rFonts w:ascii="Arial" w:cs="Arial" w:eastAsia="Arial" w:hAnsi="Arial"/>
                <w:sz w:val="18"/>
                <w:szCs w:val="18"/>
                <w:color w:val="auto"/>
              </w:rPr>
              <w:t>"</w:t>
            </w: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means a Class A ordinary share of a par value of US$0.0001 in the share capital of the</w:t>
            </w:r>
          </w:p>
        </w:tc>
      </w:tr>
      <w:tr>
        <w:trPr>
          <w:trHeight w:val="217"/>
        </w:trPr>
        <w:tc>
          <w:tcPr>
            <w:tcW w:w="3460" w:type="dxa"/>
            <w:vAlign w:val="bottom"/>
          </w:tcPr>
          <w:p>
            <w:pPr>
              <w:spacing w:after="0"/>
              <w:rPr>
                <w:sz w:val="18"/>
                <w:szCs w:val="18"/>
                <w:color w:val="auto"/>
              </w:rPr>
            </w:pP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Company.</w:t>
            </w:r>
          </w:p>
        </w:tc>
      </w:tr>
      <w:tr>
        <w:trPr>
          <w:trHeight w:val="404"/>
        </w:trPr>
        <w:tc>
          <w:tcPr>
            <w:tcW w:w="34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w:t>
            </w:r>
            <w:r>
              <w:rPr>
                <w:rFonts w:ascii="Arial" w:cs="Arial" w:eastAsia="Arial" w:hAnsi="Arial"/>
                <w:sz w:val="18"/>
                <w:szCs w:val="18"/>
                <w:color w:val="auto"/>
              </w:rPr>
              <w:t>"</w:t>
            </w: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means a Class B ordinary share of a par value of US$0.0001 in the share capital of the</w:t>
            </w:r>
          </w:p>
        </w:tc>
      </w:tr>
      <w:tr>
        <w:trPr>
          <w:trHeight w:val="217"/>
        </w:trPr>
        <w:tc>
          <w:tcPr>
            <w:tcW w:w="3460" w:type="dxa"/>
            <w:vAlign w:val="bottom"/>
          </w:tcPr>
          <w:p>
            <w:pPr>
              <w:spacing w:after="0"/>
              <w:rPr>
                <w:sz w:val="18"/>
                <w:szCs w:val="18"/>
                <w:color w:val="auto"/>
              </w:rPr>
            </w:pP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Company.</w:t>
            </w:r>
          </w:p>
        </w:tc>
      </w:tr>
      <w:tr>
        <w:trPr>
          <w:trHeight w:val="419"/>
        </w:trPr>
        <w:tc>
          <w:tcPr>
            <w:tcW w:w="34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means the above named company.</w:t>
            </w:r>
          </w:p>
        </w:tc>
      </w:tr>
      <w:tr>
        <w:trPr>
          <w:trHeight w:val="418"/>
        </w:trPr>
        <w:tc>
          <w:tcPr>
            <w:tcW w:w="34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means the directors for the time being of the Company.</w:t>
            </w:r>
          </w:p>
        </w:tc>
      </w:tr>
      <w:tr>
        <w:trPr>
          <w:trHeight w:val="418"/>
        </w:trPr>
        <w:tc>
          <w:tcPr>
            <w:tcW w:w="346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w:t>
            </w:r>
          </w:p>
        </w:tc>
        <w:tc>
          <w:tcPr>
            <w:tcW w:w="7860" w:type="dxa"/>
            <w:vAlign w:val="bottom"/>
            <w:gridSpan w:val="2"/>
          </w:tcPr>
          <w:p>
            <w:pPr>
              <w:ind w:left="720"/>
              <w:spacing w:after="0"/>
              <w:rPr>
                <w:sz w:val="20"/>
                <w:szCs w:val="20"/>
                <w:color w:val="auto"/>
              </w:rPr>
            </w:pPr>
            <w:r>
              <w:rPr>
                <w:rFonts w:ascii="Arial" w:cs="Arial" w:eastAsia="Arial" w:hAnsi="Arial"/>
                <w:sz w:val="18"/>
                <w:szCs w:val="18"/>
                <w:color w:val="auto"/>
              </w:rPr>
              <w:t>means any dividend (whether interim or final) resolved to be</w:t>
            </w:r>
          </w:p>
        </w:tc>
      </w:tr>
      <w:tr>
        <w:trPr>
          <w:trHeight w:val="634"/>
        </w:trPr>
        <w:tc>
          <w:tcPr>
            <w:tcW w:w="34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20"/>
          </w:cols>
          <w:pgMar w:left="320" w:top="535" w:right="259" w:bottom="1440" w:gutter="0" w:footer="0" w:header="0"/>
        </w:sectPr>
      </w:pPr>
    </w:p>
    <w:bookmarkStart w:id="181" w:name="page182"/>
    <w:bookmarkEnd w:id="181"/>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Record</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Electronic Transactions Law</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Statute</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paid on Shares pursuant to the Articles.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Electronic Transactions Law.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Electronic Transactions Law (2003 Revision) of the Cayman Islands.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Company's initial public offering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Statute.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memorandum of association of the Company.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a preference share of a par value of US$0.0001 in the share capital of the Company.</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means the register of Members maintained in accordance with the Statute and includes (except where otherwise stated) any branch or duplicate register of Members.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means the registered office for the time being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common seal of the Company and includes every duplicate seal.</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means a Class A Share, a Class B Share or a Preference Share in the Company and includes a fraction of a share in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Statute, and includes a unanimous written resolution.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Companies Law (2018 Revision) of the Cayman Islands.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means the subscriber to the Memorandum.</w:t>
      </w:r>
    </w:p>
    <w:p>
      <w:pPr>
        <w:spacing w:after="0" w:line="200" w:lineRule="exact"/>
        <w:rPr>
          <w:sz w:val="20"/>
          <w:szCs w:val="20"/>
          <w:color w:val="auto"/>
        </w:rPr>
      </w:pPr>
    </w:p>
    <w:p>
      <w:pPr>
        <w:spacing w:after="0" w:line="228"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-1905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800" w:space="720"/>
            <w:col w:w="7140"/>
          </w:cols>
          <w:pgMar w:left="980" w:top="665" w:right="259" w:bottom="1440" w:gutter="0" w:footer="0" w:header="0"/>
        </w:sectPr>
      </w:pPr>
    </w:p>
    <w:bookmarkStart w:id="182" w:name="page183"/>
    <w:bookmarkEnd w:id="182"/>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Treasury Share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means a Share held in the name of the Company as a treasury share in accordance with the Statute.</w:t>
      </w:r>
    </w:p>
    <w:p>
      <w:pPr>
        <w:spacing w:after="0" w:line="175" w:lineRule="exact"/>
        <w:rPr>
          <w:sz w:val="20"/>
          <w:szCs w:val="20"/>
          <w:color w:val="auto"/>
        </w:rPr>
      </w:pPr>
    </w:p>
    <w:p>
      <w:pPr>
        <w:sectPr>
          <w:pgSz w:w="11900" w:h="16838" w:orient="portrait"/>
          <w:cols w:equalWidth="0" w:num="2">
            <w:col w:w="3460" w:space="720"/>
            <w:col w:w="7140"/>
          </w:cols>
          <w:pgMar w:left="320" w:top="643" w:right="259" w:bottom="1440" w:gutter="0" w:footer="0" w:header="0"/>
        </w:sect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 Fund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means the trust account established by the Company upon the consummation of its IPO and into which a certain amount of the net proceeds of the IPO, together with the proceeds of the private placement of the warrants simultaneously with the closing date of the IPO, will be deposited.</w:t>
      </w:r>
    </w:p>
    <w:p>
      <w:pPr>
        <w:spacing w:after="0" w:line="200" w:lineRule="exact"/>
        <w:rPr>
          <w:sz w:val="20"/>
          <w:szCs w:val="20"/>
          <w:color w:val="auto"/>
        </w:rPr>
      </w:pPr>
    </w:p>
    <w:p>
      <w:pPr>
        <w:sectPr>
          <w:pgSz w:w="11900" w:h="16838" w:orient="portrait"/>
          <w:cols w:equalWidth="0" w:num="2">
            <w:col w:w="3460" w:space="720"/>
            <w:col w:w="7140"/>
          </w:cols>
          <w:pgMar w:left="320" w:top="643" w:right="259" w:bottom="1440" w:gutter="0" w:footer="0" w:header="0"/>
          <w:type w:val="continuous"/>
        </w:sectPr>
      </w:pPr>
    </w:p>
    <w:p>
      <w:pPr>
        <w:spacing w:after="0" w:line="1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pacing w:after="0" w:line="198"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words importing persons include corporations as well as any other legal or natural person;</w:t>
      </w:r>
    </w:p>
    <w:p>
      <w:pPr>
        <w:spacing w:after="0" w:line="198" w:lineRule="exact"/>
        <w:rPr>
          <w:rFonts w:ascii="Arial" w:cs="Arial" w:eastAsia="Arial" w:hAnsi="Arial"/>
          <w:sz w:val="18"/>
          <w:szCs w:val="18"/>
          <w:color w:val="auto"/>
        </w:rPr>
      </w:pPr>
    </w:p>
    <w:p>
      <w:pPr>
        <w:ind w:left="1300" w:right="80" w:hanging="644"/>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198" w:lineRule="exact"/>
        <w:rPr>
          <w:rFonts w:ascii="Arial" w:cs="Arial" w:eastAsia="Arial" w:hAnsi="Arial"/>
          <w:sz w:val="18"/>
          <w:szCs w:val="18"/>
          <w:color w:val="auto"/>
        </w:rPr>
      </w:pPr>
    </w:p>
    <w:p>
      <w:pPr>
        <w:ind w:left="1300" w:right="80" w:hanging="644"/>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183" w:lineRule="exact"/>
        <w:rPr>
          <w:rFonts w:ascii="Arial" w:cs="Arial" w:eastAsia="Arial" w:hAnsi="Arial"/>
          <w:sz w:val="18"/>
          <w:szCs w:val="18"/>
          <w:color w:val="auto"/>
        </w:rPr>
      </w:pPr>
    </w:p>
    <w:p>
      <w:pPr>
        <w:ind w:left="1300" w:right="80" w:hanging="644"/>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83" w:lineRule="exact"/>
        <w:rPr>
          <w:rFonts w:ascii="Arial" w:cs="Arial" w:eastAsia="Arial" w:hAnsi="Arial"/>
          <w:sz w:val="18"/>
          <w:szCs w:val="18"/>
          <w:color w:val="auto"/>
        </w:rPr>
      </w:pPr>
    </w:p>
    <w:p>
      <w:pPr>
        <w:jc w:val="both"/>
        <w:ind w:left="1300" w:right="8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198" w:lineRule="exact"/>
        <w:rPr>
          <w:rFonts w:ascii="Arial" w:cs="Arial" w:eastAsia="Arial" w:hAnsi="Arial"/>
          <w:sz w:val="18"/>
          <w:szCs w:val="18"/>
          <w:color w:val="auto"/>
        </w:rPr>
      </w:pPr>
    </w:p>
    <w:p>
      <w:pPr>
        <w:ind w:left="1300" w:right="80" w:hanging="644"/>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29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320" w:top="643" w:right="259" w:bottom="1440" w:gutter="0" w:footer="0" w:header="0"/>
          <w:type w:val="continuous"/>
        </w:sectPr>
      </w:pPr>
    </w:p>
    <w:bookmarkStart w:id="183" w:name="page184"/>
    <w:bookmarkEnd w:id="183"/>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Law shall not apply;</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83"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term "holder" in relation to a Share means a person whose name is entered in the Register of Members as the holder of such Share.</w:t>
      </w:r>
    </w:p>
    <w:p>
      <w:pPr>
        <w:spacing w:after="0" w:line="156"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business of the Company may be commenced as soon after incorporation of the Company as the Directors shall see fit.</w:t>
      </w:r>
    </w:p>
    <w:p>
      <w:pPr>
        <w:spacing w:after="0" w:line="198"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56"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Issue of Shares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Subject to the provisions, if any, in the Memorandum (and to any direction that may be given by the Company in general meeting) and without prejudice to any rights attached to any existing Shares, the Directors may allot, issue, grant options over or otherwise dispose of Shares (including fractions of a Share) with or without preferred, deferred or other rights or restrictions, whether in regard to Dividend or other distribution,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described in the Articles.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Notwithstanding the foregoing, the Subscriber shall have the power to:</w:t>
      </w:r>
    </w:p>
    <w:p>
      <w:pPr>
        <w:spacing w:after="0" w:line="198"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issue one Share to itself;</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 that Share by an instrument of transfer to any person;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update the Register of Members in respect of the issue and transfer of that Share.</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7"/>
          <w:szCs w:val="17"/>
          <w:color w:val="auto"/>
        </w:rPr>
        <w:t>The Company shall not issue Shares to bearer.</w:t>
      </w:r>
    </w:p>
    <w:p>
      <w:pPr>
        <w:spacing w:after="0" w:line="171"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The Company shall maintain or cause to be maintained the Register of Members in accordance with the Statute.</w:t>
      </w:r>
    </w:p>
    <w:p>
      <w:pPr>
        <w:spacing w:after="0" w:line="306"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4" w:name="page185"/>
    <w:bookmarkEnd w:id="184"/>
    <w:p>
      <w:pPr>
        <w:jc w:val="both"/>
        <w:ind w:left="652" w:hanging="647"/>
        <w:spacing w:after="0"/>
        <w:tabs>
          <w:tab w:leader="none" w:pos="6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62" w:lineRule="exact"/>
        <w:rPr>
          <w:sz w:val="20"/>
          <w:szCs w:val="20"/>
          <w:color w:val="auto"/>
        </w:rPr>
      </w:pPr>
    </w:p>
    <w:p>
      <w:pPr>
        <w:ind w:left="652" w:hanging="652"/>
        <w:spacing w:after="0"/>
        <w:tabs>
          <w:tab w:leader="none" w:pos="652"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Closing Register of Members or Fixing Record Date</w:t>
      </w:r>
    </w:p>
    <w:p>
      <w:pPr>
        <w:spacing w:after="0" w:line="229"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forty days.</w:t>
      </w:r>
    </w:p>
    <w:p>
      <w:pPr>
        <w:spacing w:after="0" w:line="191"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91"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62" w:lineRule="exact"/>
        <w:rPr>
          <w:sz w:val="20"/>
          <w:szCs w:val="20"/>
          <w:color w:val="auto"/>
        </w:rPr>
      </w:pPr>
    </w:p>
    <w:p>
      <w:pPr>
        <w:ind w:left="652" w:hanging="652"/>
        <w:spacing w:after="0"/>
        <w:tabs>
          <w:tab w:leader="none" w:pos="652"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Certificates for Shares</w:t>
      </w:r>
    </w:p>
    <w:p>
      <w:pPr>
        <w:spacing w:after="0" w:line="229" w:lineRule="exact"/>
        <w:rPr>
          <w:sz w:val="20"/>
          <w:szCs w:val="20"/>
          <w:color w:val="auto"/>
        </w:rPr>
      </w:pPr>
    </w:p>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89"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83"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w:t>
      </w:r>
    </w:p>
    <w:p>
      <w:pPr>
        <w:spacing w:after="0" w:line="291" w:lineRule="exact"/>
        <w:rPr>
          <w:sz w:val="20"/>
          <w:szCs w:val="20"/>
          <w:color w:val="auto"/>
        </w:rPr>
      </w:pPr>
    </w:p>
    <w:p>
      <w:pPr>
        <w:ind w:left="1109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185" w:name="page186"/>
    <w:bookmarkEnd w:id="185"/>
    <w:p>
      <w:pPr>
        <w:ind w:left="660"/>
        <w:spacing w:after="0" w:line="246" w:lineRule="auto"/>
        <w:rPr>
          <w:sz w:val="20"/>
          <w:szCs w:val="20"/>
          <w:color w:val="auto"/>
        </w:rPr>
      </w:pPr>
      <w:r>
        <w:rPr>
          <w:rFonts w:ascii="Arial" w:cs="Arial" w:eastAsia="Arial" w:hAnsi="Arial"/>
          <w:sz w:val="18"/>
          <w:szCs w:val="18"/>
          <w:color w:val="auto"/>
        </w:rPr>
        <w:t>the Company in investigating evidence, as the Directors may prescribe, and (in the case of defacement or wearing out) upon delivery of the old certificate.</w:t>
      </w:r>
    </w:p>
    <w:p>
      <w:pPr>
        <w:spacing w:after="0" w:line="183" w:lineRule="exact"/>
        <w:rPr>
          <w:sz w:val="20"/>
          <w:szCs w:val="20"/>
          <w:color w:val="auto"/>
        </w:rPr>
      </w:pPr>
    </w:p>
    <w:p>
      <w:pPr>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56"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Transfer of Shares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Article 3.1, Shares are transferable subject to the approval of the Directors by resolution who may, in their absolute discretion, decline to register any transfer of Shares without giving any reason. If the Directors refuse to register a transfer they shall notify the transferee within two months of such refusal.</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instrument of transfer of any Share shall be in writing and shall be executed by or on behalf of the transferor (and if the Directors so require, signed by or on behalf of the transferee). The transferor shall be deemed to remain the holder of a Share until the name of the transferee is entered in the Register of Members.</w:t>
      </w:r>
    </w:p>
    <w:p>
      <w:pPr>
        <w:spacing w:after="0" w:line="162"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Redemption, Repurchase and Surrender of Shares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the Shares.</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the Company may purchase its own Shares (including any redeemable Shares) in such manner and on such other terms as the Directors may agree with the relevant Member.</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The Directors may accept the surrender for no consideration of any fully paid Share.</w:t>
      </w:r>
    </w:p>
    <w:p>
      <w:pPr>
        <w:spacing w:after="0" w:line="171"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Treasury Shares</w:t>
      </w:r>
    </w:p>
    <w:p>
      <w:pPr>
        <w:spacing w:after="0" w:line="229"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Directors may, prior to the purchase, redemption or surrender of any Share, determine that such Share shall be held as a Treasury Share.</w:t>
      </w:r>
    </w:p>
    <w:p>
      <w:pPr>
        <w:spacing w:after="0" w:line="183"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29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6" w:name="page187"/>
    <w:bookmarkEnd w:id="186"/>
    <w:p>
      <w:pPr>
        <w:spacing w:after="0"/>
        <w:tabs>
          <w:tab w:leader="none" w:pos="6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Variation of Rights of Shares</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162"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Commission on Sale of Shares</w:t>
      </w:r>
    </w:p>
    <w:p>
      <w:pPr>
        <w:spacing w:after="0" w:line="228" w:lineRule="exact"/>
        <w:rPr>
          <w:rFonts w:ascii="Arial" w:cs="Arial" w:eastAsia="Arial" w:hAnsi="Arial"/>
          <w:sz w:val="20"/>
          <w:szCs w:val="20"/>
          <w:b w:val="1"/>
          <w:bCs w:val="1"/>
          <w:color w:val="auto"/>
        </w:rPr>
      </w:pPr>
    </w:p>
    <w:p>
      <w:pPr>
        <w:jc w:val="both"/>
        <w:ind w:left="660"/>
        <w:spacing w:after="0" w:line="238" w:lineRule="auto"/>
        <w:rPr>
          <w:rFonts w:ascii="Arial" w:cs="Arial" w:eastAsia="Arial" w:hAnsi="Arial"/>
          <w:sz w:val="20"/>
          <w:szCs w:val="20"/>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64" w:lineRule="exact"/>
        <w:rPr>
          <w:rFonts w:ascii="Arial" w:cs="Arial" w:eastAsia="Arial" w:hAnsi="Arial"/>
          <w:sz w:val="20"/>
          <w:szCs w:val="20"/>
          <w:b w:val="1"/>
          <w:bCs w:val="1"/>
          <w:color w:val="auto"/>
        </w:rPr>
      </w:pPr>
    </w:p>
    <w:p>
      <w:pPr>
        <w:ind w:left="660" w:hanging="652"/>
        <w:spacing w:after="0"/>
        <w:tabs>
          <w:tab w:leader="none" w:pos="66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Non Recognition of Trusts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2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87" w:name="page188"/>
    <w:bookmarkEnd w:id="187"/>
    <w:p>
      <w:pPr>
        <w:spacing w:after="0"/>
        <w:tabs>
          <w:tab w:leader="none" w:pos="6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Lien on Shares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9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9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Call on Shares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A call shall be deemed to have been made at the time when the resolution of the Directors authorising such call was passed.</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The joint holders of a Share shall be jointly and severally liable to pay all calls in respect thereof.</w:t>
      </w:r>
    </w:p>
    <w:p>
      <w:pPr>
        <w:spacing w:after="0" w:line="306"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88" w:name="page189"/>
    <w:bookmarkEnd w:id="188"/>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color w:val="auto"/>
        </w:rPr>
        <w:t>The Directors may issue Shares with different terms as to the amount and times of payment of calls, or the interest to be paid.</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Forfeiture of Shares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91"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A person any of whose Shares have been forfeited shall cease to be a Member in respect of them and shall surrender to the Company for cancellation the certificate for the Shares forfeited</w:t>
      </w:r>
    </w:p>
    <w:p>
      <w:pPr>
        <w:spacing w:after="0" w:line="291"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9" w:name="page190"/>
    <w:bookmarkEnd w:id="189"/>
    <w:p>
      <w:pPr>
        <w:jc w:val="both"/>
        <w:ind w:left="660"/>
        <w:spacing w:after="0"/>
        <w:rPr>
          <w:sz w:val="20"/>
          <w:szCs w:val="20"/>
          <w:color w:val="auto"/>
        </w:rPr>
      </w:pPr>
      <w:r>
        <w:rPr>
          <w:rFonts w:ascii="Arial" w:cs="Arial" w:eastAsia="Arial" w:hAnsi="Arial"/>
          <w:sz w:val="18"/>
          <w:szCs w:val="18"/>
          <w:color w:val="auto"/>
        </w:rPr>
        <w:t>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20"/>
          <w:szCs w:val="20"/>
          <w:b w:val="1"/>
          <w:bCs w:val="1"/>
          <w:color w:val="auto"/>
        </w:rPr>
        <w:t>Transmission of Shares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18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w:t>
      </w:r>
    </w:p>
    <w:p>
      <w:pPr>
        <w:spacing w:after="0" w:line="302"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0" w:name="page191"/>
    <w:bookmarkEnd w:id="190"/>
    <w:p>
      <w:pPr>
        <w:jc w:val="both"/>
        <w:ind w:left="660"/>
        <w:spacing w:after="0"/>
        <w:rPr>
          <w:sz w:val="20"/>
          <w:szCs w:val="20"/>
          <w:color w:val="auto"/>
        </w:rPr>
      </w:pPr>
      <w:r>
        <w:rPr>
          <w:rFonts w:ascii="Arial" w:cs="Arial" w:eastAsia="Arial" w:hAnsi="Arial"/>
          <w:sz w:val="18"/>
          <w:szCs w:val="18"/>
          <w:color w:val="auto"/>
        </w:rPr>
        <w:t>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20"/>
          <w:szCs w:val="20"/>
          <w:b w:val="1"/>
          <w:bCs w:val="1"/>
          <w:color w:val="auto"/>
        </w:rPr>
        <w:t>Class B Share Conversion</w:t>
      </w:r>
    </w:p>
    <w:p>
      <w:pPr>
        <w:spacing w:after="0" w:line="20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Class B Shares shall automatically convert into Class A Shares on a one-for-one basis (the "</w:t>
      </w:r>
      <w:r>
        <w:rPr>
          <w:rFonts w:ascii="Arial" w:cs="Arial" w:eastAsia="Arial" w:hAnsi="Arial"/>
          <w:sz w:val="18"/>
          <w:szCs w:val="18"/>
          <w:b w:val="1"/>
          <w:bCs w:val="1"/>
          <w:color w:val="auto"/>
        </w:rPr>
        <w:t>Initial Conversion Ratio</w:t>
      </w:r>
      <w:r>
        <w:rPr>
          <w:rFonts w:ascii="Arial" w:cs="Arial" w:eastAsia="Arial" w:hAnsi="Arial"/>
          <w:sz w:val="18"/>
          <w:szCs w:val="18"/>
          <w:color w:val="auto"/>
        </w:rPr>
        <w:t>"): (a) at any time and from time to time at the option of the holder thereof; and (b) automatically on a Business day following the closing of a Business Combination.</w:t>
      </w:r>
    </w:p>
    <w:p>
      <w:pPr>
        <w:spacing w:after="0" w:line="177"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Notwithstanding the Initial Conversion Ratio, in the case that additional Class A Shares or any other equity linked securities, are issued or deemed issued in excess of the amounts offered in the IPO and related to the closing of a Business Combination, all Class B Shares in issue shall automatically convert into Class A Shares at the time of the closing of a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in the aggregate, 20%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w:t>
      </w:r>
    </w:p>
    <w:p>
      <w:pPr>
        <w:spacing w:after="0" w:line="19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Article 10.</w:t>
      </w:r>
    </w:p>
    <w:p>
      <w:pPr>
        <w:spacing w:after="0" w:line="19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297"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1" w:name="page192"/>
    <w:bookmarkEnd w:id="191"/>
    <w:p>
      <w:pPr>
        <w:jc w:val="both"/>
        <w:ind w:left="660" w:hanging="647"/>
        <w:spacing w:after="0" w:line="242"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References in this Article to "</w:t>
      </w:r>
      <w:r>
        <w:rPr>
          <w:rFonts w:ascii="Arial" w:cs="Arial" w:eastAsia="Arial" w:hAnsi="Arial"/>
          <w:sz w:val="18"/>
          <w:szCs w:val="18"/>
          <w:b w:val="1"/>
          <w:bCs w:val="1"/>
          <w:color w:val="auto"/>
        </w:rPr>
        <w:t>converted</w:t>
      </w:r>
      <w:r>
        <w:rPr>
          <w:rFonts w:ascii="Arial" w:cs="Arial" w:eastAsia="Arial" w:hAnsi="Arial"/>
          <w:sz w:val="18"/>
          <w:szCs w:val="18"/>
          <w:color w:val="auto"/>
        </w:rPr>
        <w:t>", "</w:t>
      </w:r>
      <w:r>
        <w:rPr>
          <w:rFonts w:ascii="Arial" w:cs="Arial" w:eastAsia="Arial" w:hAnsi="Arial"/>
          <w:sz w:val="18"/>
          <w:szCs w:val="18"/>
          <w:b w:val="1"/>
          <w:bCs w:val="1"/>
          <w:color w:val="auto"/>
        </w:rPr>
        <w:t>conversion</w:t>
      </w:r>
      <w:r>
        <w:rPr>
          <w:rFonts w:ascii="Arial" w:cs="Arial" w:eastAsia="Arial" w:hAnsi="Arial"/>
          <w:sz w:val="18"/>
          <w:szCs w:val="18"/>
          <w:color w:val="auto"/>
        </w:rPr>
        <w:t>" or "</w:t>
      </w:r>
      <w:r>
        <w:rPr>
          <w:rFonts w:ascii="Arial" w:cs="Arial" w:eastAsia="Arial" w:hAnsi="Arial"/>
          <w:sz w:val="18"/>
          <w:szCs w:val="18"/>
          <w:b w:val="1"/>
          <w:bCs w:val="1"/>
          <w:color w:val="auto"/>
        </w:rPr>
        <w:t>exchange</w:t>
      </w:r>
      <w:r>
        <w:rPr>
          <w:rFonts w:ascii="Arial" w:cs="Arial" w:eastAsia="Arial" w:hAnsi="Arial"/>
          <w:sz w:val="18"/>
          <w:szCs w:val="18"/>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8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Notwithstanding anything to the contrary in this Article, in no event may any Class B Share convert into Class A Shares at a ratio that is less than one-for-one.</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The Company may by Ordinary Resolution:</w:t>
      </w:r>
    </w:p>
    <w:p>
      <w:pPr>
        <w:spacing w:after="0" w:line="198" w:lineRule="exact"/>
        <w:rPr>
          <w:sz w:val="20"/>
          <w:szCs w:val="20"/>
          <w:color w:val="auto"/>
        </w:rPr>
      </w:pPr>
    </w:p>
    <w:p>
      <w:pPr>
        <w:ind w:left="1300" w:hanging="644"/>
        <w:spacing w:after="0" w:line="246"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83"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Subject to the provisions of the Statute and the provisions of the Articles as regards the matters to be dealt with by Ordinary Resolution, the Company may by Special Resolution:</w:t>
      </w:r>
    </w:p>
    <w:p>
      <w:pPr>
        <w:spacing w:after="0" w:line="183"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alter or add to the Articles;</w:t>
      </w:r>
    </w:p>
    <w:p>
      <w:pPr>
        <w:spacing w:after="0" w:line="306"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92" w:name="page193"/>
    <w:bookmarkEnd w:id="192"/>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171"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Offices and Places of Business</w:t>
      </w:r>
    </w:p>
    <w:p>
      <w:pPr>
        <w:spacing w:after="0" w:line="228"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7"/>
          <w:szCs w:val="17"/>
          <w:color w:val="auto"/>
        </w:rPr>
        <w:t>All general meetings other than annual general meetings shall be called extraordinary general meetings.</w:t>
      </w:r>
    </w:p>
    <w:p>
      <w:pPr>
        <w:spacing w:after="0" w:line="198"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Directors may call general meetings, and they shall on a Members' requisition forthwith proceed to convene an extraordinary general meeting of the Company.</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A Members' requisition is a requisition of Members holding at the date of deposit of the requisition not less than ten per cent. in par value of the issued Shares which as at that date carry the right to vote at general meetings of the Company.</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Members' requisition must state the objects of the meeting and must be signed by the requisitionists and deposited at the Registered Office, and may consist of several documents in like form each signed by one or more requisitionists.</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291"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3" w:name="page194"/>
    <w:bookmarkEnd w:id="193"/>
    <w:p>
      <w:pPr>
        <w:spacing w:after="0"/>
        <w:tabs>
          <w:tab w:leader="none" w:pos="6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Notice of General Meetings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9"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 five per cent. in par value of the Shares giving that right.</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Proceedings at General Meetings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No business shall be transacted at any general meeting unless a quorum is present. Two Members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its duly authorised representative or proxy.</w:t>
      </w:r>
    </w:p>
    <w:p>
      <w:pPr>
        <w:spacing w:after="0" w:line="189"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w:t>
      </w:r>
    </w:p>
    <w:p>
      <w:pPr>
        <w:spacing w:after="0" w:line="297"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94" w:name="page195"/>
    <w:bookmarkEnd w:id="194"/>
    <w:p>
      <w:pPr>
        <w:ind w:left="660"/>
        <w:spacing w:after="0" w:line="246" w:lineRule="auto"/>
        <w:rPr>
          <w:sz w:val="20"/>
          <w:szCs w:val="20"/>
          <w:color w:val="auto"/>
        </w:rPr>
      </w:pPr>
      <w:r>
        <w:rPr>
          <w:rFonts w:ascii="Arial" w:cs="Arial" w:eastAsia="Arial" w:hAnsi="Arial"/>
          <w:sz w:val="18"/>
          <w:szCs w:val="18"/>
          <w:color w:val="auto"/>
        </w:rPr>
        <w:t>place as the Directors may determine, and if at the adjourned meeting a quorum is not present within half an hour from the time appointed for the meeting to commence, the Members present shall be a quorum.</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When a general meeting is adjourned for thirty days or more, notice of the adjourned meeting shall be given as in the case of an original meeting. Otherwise it shall not be necessary to give any such notice of an adjourned meeting.</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A resolution put to the vote of the meeting shall be decided on a show of hands unless before, or on the declaration of the result of, the show of hands, the chairman demands a poll, or any other Member or Members collectively present in person or by proxy (or in the case of a corporation or other non-natural person, by its duly authorised representative or proxy) and holding at least ten per cent. in par value of the Shares giving a right to attend and vote at the meeting demand a poll.</w:t>
      </w:r>
    </w:p>
    <w:p>
      <w:pPr>
        <w:spacing w:after="0" w:line="19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22.10</w:t>
        <w:tab/>
        <w:t>Unless a poll is duly demanded and the demand is not withdrawn a declaration by the chairman that a resolution has been carried or carried unanimously, or by a particular majority, or lost or not carried by a particular majority, an entry to that effect in the minutes of the proceedings of the meeting shall be conclusive evidence of that fact without proof of the number or proportion of the votes recorded in favour of or against such resolution.</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7"/>
          <w:szCs w:val="17"/>
          <w:color w:val="auto"/>
        </w:rPr>
        <w:t>The demand for a poll may be withdrawn.</w:t>
      </w:r>
    </w:p>
    <w:p>
      <w:pPr>
        <w:spacing w:after="0" w:line="198"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22.12</w:t>
        <w:tab/>
        <w:t>Except on a poll demanded on the election of a chairman or on a question of adjournment, a poll shall be taken as the chairman directs, and the result of the poll shall be deemed to be the resolution of the general meeting at which the poll was demanded.</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22.13</w:t>
        <w:tab/>
        <w:t>A poll demanded on the election of a chairman or on a question of adjournment shall be taken forthwith. A poll demanded on any other question shall be taken at such date, time and place as</w:t>
      </w:r>
    </w:p>
    <w:p>
      <w:pPr>
        <w:spacing w:after="0" w:line="291"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5" w:name="page196"/>
    <w:bookmarkEnd w:id="195"/>
    <w:p>
      <w:pPr>
        <w:ind w:left="660" w:right="20"/>
        <w:spacing w:after="0" w:line="246" w:lineRule="auto"/>
        <w:rPr>
          <w:sz w:val="20"/>
          <w:szCs w:val="20"/>
          <w:color w:val="auto"/>
        </w:rPr>
      </w:pPr>
      <w:r>
        <w:rPr>
          <w:rFonts w:ascii="Arial" w:cs="Arial" w:eastAsia="Arial" w:hAnsi="Arial"/>
          <w:sz w:val="18"/>
          <w:szCs w:val="18"/>
          <w:color w:val="auto"/>
        </w:rPr>
        <w:t>the chairman of the general meeting directs, and any business other than that upon which a poll has been demanded or is contingent thereon may proceed pending the taking of the poll.</w:t>
      </w:r>
    </w:p>
    <w:p>
      <w:pPr>
        <w:spacing w:after="0" w:line="183"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22.14</w:t>
        <w:tab/>
        <w:t>In the case of an equality of votes, whether on a show of hands or on a poll, the chairman shall be entitled to a second or casting vote.</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color w:val="auto"/>
        </w:rPr>
        <w:t>Votes of Members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Subject to any rights or restrictions attached to any Shares, on a show of hands every Member who (being an individual) is present in person or by proxy or, if a corporation or other non-natural person is present by its duly authorised representative or by proxy, shall have one vote and on a poll every Member present in any such manner shall have one vote for every Share of which he is the holder.</w:t>
      </w:r>
    </w:p>
    <w:p>
      <w:pPr>
        <w:spacing w:after="0" w:line="19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8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w:t>
      </w:r>
    </w:p>
    <w:p>
      <w:pPr>
        <w:spacing w:after="0" w:line="297"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6" w:name="page197"/>
    <w:bookmarkEnd w:id="196"/>
    <w:p>
      <w:pPr>
        <w:ind w:left="660"/>
        <w:spacing w:after="0" w:line="246" w:lineRule="auto"/>
        <w:rPr>
          <w:sz w:val="20"/>
          <w:szCs w:val="20"/>
          <w:color w:val="auto"/>
        </w:rPr>
      </w:pPr>
      <w:r>
        <w:rPr>
          <w:rFonts w:ascii="Arial" w:cs="Arial" w:eastAsia="Arial" w:hAnsi="Arial"/>
          <w:sz w:val="18"/>
          <w:szCs w:val="18"/>
          <w:color w:val="auto"/>
        </w:rPr>
        <w:t>or more instruments may vote a Share or some or all of the Shares in respect of which he is appointed either for or against a resolution and/or abstain from voting a Share or some or all of the Shares in respect of which he is appointed.</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Proxies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65"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Corporate Members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w:t>
      </w:r>
    </w:p>
    <w:p>
      <w:pPr>
        <w:spacing w:after="0" w:line="297"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7" w:name="page198"/>
    <w:bookmarkEnd w:id="197"/>
    <w:p>
      <w:pPr>
        <w:ind w:left="660" w:right="20"/>
        <w:spacing w:after="0" w:line="246" w:lineRule="auto"/>
        <w:rPr>
          <w:sz w:val="20"/>
          <w:szCs w:val="20"/>
          <w:color w:val="auto"/>
        </w:rPr>
      </w:pPr>
      <w:r>
        <w:rPr>
          <w:rFonts w:ascii="Arial" w:cs="Arial" w:eastAsia="Arial" w:hAnsi="Arial"/>
          <w:sz w:val="18"/>
          <w:szCs w:val="18"/>
          <w:color w:val="auto"/>
        </w:rPr>
        <w:t>exercise the same powers on behalf of the corporation which he represents as the corporation could exercise if it were an individual Member.</w:t>
      </w:r>
    </w:p>
    <w:p>
      <w:pPr>
        <w:spacing w:after="0" w:line="156"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Shares that May Not be Voted</w:t>
      </w:r>
    </w:p>
    <w:p>
      <w:pPr>
        <w:spacing w:after="0" w:line="228" w:lineRule="exact"/>
        <w:rPr>
          <w:rFonts w:ascii="Arial" w:cs="Arial" w:eastAsia="Arial" w:hAnsi="Arial"/>
          <w:sz w:val="20"/>
          <w:szCs w:val="20"/>
          <w:b w:val="1"/>
          <w:bCs w:val="1"/>
          <w:color w:val="auto"/>
        </w:rPr>
      </w:pPr>
    </w:p>
    <w:p>
      <w:pPr>
        <w:ind w:left="660" w:right="2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Directors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There shall be a board of Directors consisting of not less than one person (exclusive of alternate Directors) provided however that the Company may by Ordinary Resolution increase or reduce the limits in the number of Directors. The first Directors of the Company shall be determined in writing by, or appointed by a resolution of, the Subscriber.</w:t>
      </w:r>
    </w:p>
    <w:p>
      <w:pPr>
        <w:spacing w:after="0" w:line="162" w:lineRule="exact"/>
        <w:rPr>
          <w:rFonts w:ascii="Arial" w:cs="Arial" w:eastAsia="Arial" w:hAnsi="Arial"/>
          <w:sz w:val="20"/>
          <w:szCs w:val="20"/>
          <w:b w:val="1"/>
          <w:bCs w:val="1"/>
          <w:color w:val="auto"/>
        </w:rPr>
      </w:pPr>
    </w:p>
    <w:p>
      <w:pPr>
        <w:ind w:left="660" w:hanging="652"/>
        <w:spacing w:after="0"/>
        <w:tabs>
          <w:tab w:leader="none" w:pos="66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Powers of Directors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20"/>
          <w:szCs w:val="20"/>
          <w:b w:val="1"/>
          <w:bCs w:val="1"/>
          <w:color w:val="auto"/>
        </w:rPr>
        <w:t>Appointment and Removal of Directors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7"/>
          <w:szCs w:val="17"/>
          <w:color w:val="auto"/>
        </w:rPr>
        <w:t>The Company may by Ordinary Resolution appoint any person to be a Director or may by Ordinary Resolution remove any Director.</w:t>
      </w:r>
    </w:p>
    <w:p>
      <w:pPr>
        <w:spacing w:after="0" w:line="306"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8" w:name="page199"/>
    <w:bookmarkEnd w:id="198"/>
    <w:p>
      <w:pPr>
        <w:jc w:val="both"/>
        <w:ind w:left="652" w:hanging="647"/>
        <w:spacing w:after="0"/>
        <w:tabs>
          <w:tab w:leader="none" w:pos="632"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62" w:lineRule="exact"/>
        <w:rPr>
          <w:sz w:val="20"/>
          <w:szCs w:val="20"/>
          <w:color w:val="auto"/>
        </w:rPr>
      </w:pPr>
    </w:p>
    <w:p>
      <w:pPr>
        <w:ind w:left="652" w:hanging="652"/>
        <w:spacing w:after="0"/>
        <w:tabs>
          <w:tab w:leader="none" w:pos="652"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Vacation of Office of Director</w:t>
      </w:r>
    </w:p>
    <w:p>
      <w:pPr>
        <w:spacing w:after="0" w:line="228"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18"/>
          <w:szCs w:val="18"/>
          <w:color w:val="auto"/>
        </w:rPr>
        <w:t>The office of a Director shall be vacated if:</w:t>
      </w:r>
    </w:p>
    <w:p>
      <w:pPr>
        <w:spacing w:after="0" w:line="198" w:lineRule="exact"/>
        <w:rPr>
          <w:rFonts w:ascii="Arial" w:cs="Arial" w:eastAsia="Arial" w:hAnsi="Arial"/>
          <w:sz w:val="20"/>
          <w:szCs w:val="20"/>
          <w:b w:val="1"/>
          <w:bCs w:val="1"/>
          <w:color w:val="auto"/>
        </w:rPr>
      </w:pPr>
    </w:p>
    <w:p>
      <w:pPr>
        <w:ind w:left="1292" w:hanging="644"/>
        <w:spacing w:after="0"/>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98" w:lineRule="exact"/>
        <w:rPr>
          <w:rFonts w:ascii="Arial" w:cs="Arial" w:eastAsia="Arial" w:hAnsi="Arial"/>
          <w:sz w:val="18"/>
          <w:szCs w:val="18"/>
          <w:color w:val="auto"/>
        </w:rPr>
      </w:pPr>
    </w:p>
    <w:p>
      <w:pPr>
        <w:jc w:val="both"/>
        <w:ind w:left="1292" w:hanging="644"/>
        <w:spacing w:after="0"/>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w:t>
      </w:r>
    </w:p>
    <w:p>
      <w:pPr>
        <w:spacing w:after="0" w:line="189" w:lineRule="exact"/>
        <w:rPr>
          <w:rFonts w:ascii="Arial" w:cs="Arial" w:eastAsia="Arial" w:hAnsi="Arial"/>
          <w:sz w:val="18"/>
          <w:szCs w:val="18"/>
          <w:color w:val="auto"/>
        </w:rPr>
      </w:pPr>
    </w:p>
    <w:p>
      <w:pPr>
        <w:ind w:left="1292" w:hanging="644"/>
        <w:spacing w:after="0"/>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198" w:lineRule="exact"/>
        <w:rPr>
          <w:rFonts w:ascii="Arial" w:cs="Arial" w:eastAsia="Arial" w:hAnsi="Arial"/>
          <w:sz w:val="18"/>
          <w:szCs w:val="18"/>
          <w:color w:val="auto"/>
        </w:rPr>
      </w:pPr>
    </w:p>
    <w:p>
      <w:pPr>
        <w:ind w:left="1292" w:hanging="644"/>
        <w:spacing w:after="0"/>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98" w:lineRule="exact"/>
        <w:rPr>
          <w:rFonts w:ascii="Arial" w:cs="Arial" w:eastAsia="Arial" w:hAnsi="Arial"/>
          <w:sz w:val="18"/>
          <w:szCs w:val="18"/>
          <w:color w:val="auto"/>
        </w:rPr>
      </w:pPr>
    </w:p>
    <w:p>
      <w:pPr>
        <w:jc w:val="both"/>
        <w:ind w:left="1292" w:hanging="644"/>
        <w:spacing w:after="0"/>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62" w:lineRule="exact"/>
        <w:rPr>
          <w:rFonts w:ascii="Arial" w:cs="Arial" w:eastAsia="Arial" w:hAnsi="Arial"/>
          <w:sz w:val="18"/>
          <w:szCs w:val="18"/>
          <w:color w:val="auto"/>
        </w:rPr>
      </w:pPr>
    </w:p>
    <w:p>
      <w:pPr>
        <w:ind w:left="652" w:hanging="652"/>
        <w:spacing w:after="0"/>
        <w:tabs>
          <w:tab w:leader="none" w:pos="652"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Proceedings of Directors</w:t>
      </w:r>
    </w:p>
    <w:p>
      <w:pPr>
        <w:spacing w:after="0" w:line="229"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quorum for the transaction of the business of the Directors may be fixed by the Directors, and unless so fixed shall be two if there are two or more Directors, and shall be one if there is only one Director. A person who holds office as an alternate Director shall, if his appointor is not present, be counted in the quorum. A Director who also acts as an alternate Director shall, if his appointor is not present, count twice towards the quorum.</w:t>
      </w:r>
    </w:p>
    <w:p>
      <w:pPr>
        <w:spacing w:after="0" w:line="191"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appointor to a separate vote on behalf of his appointor in addition to his own vote.</w:t>
      </w:r>
    </w:p>
    <w:p>
      <w:pPr>
        <w:spacing w:after="0" w:line="191"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297" w:lineRule="exact"/>
        <w:rPr>
          <w:sz w:val="20"/>
          <w:szCs w:val="20"/>
          <w:color w:val="auto"/>
        </w:rPr>
      </w:pPr>
    </w:p>
    <w:p>
      <w:pPr>
        <w:ind w:left="1099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199" w:name="page200"/>
    <w:bookmarkEnd w:id="199"/>
    <w:p>
      <w:pPr>
        <w:jc w:val="both"/>
        <w:ind w:left="652" w:hanging="647"/>
        <w:spacing w:after="0" w:line="237" w:lineRule="auto"/>
        <w:tabs>
          <w:tab w:leader="none" w:pos="632"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p>
      <w:pPr>
        <w:spacing w:after="0" w:line="191"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189"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91"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89" w:lineRule="exact"/>
        <w:rPr>
          <w:sz w:val="20"/>
          <w:szCs w:val="20"/>
          <w:color w:val="auto"/>
        </w:rPr>
      </w:pPr>
    </w:p>
    <w:p>
      <w:pPr>
        <w:jc w:val="both"/>
        <w:ind w:left="652" w:hanging="647"/>
        <w:spacing w:after="0" w:line="238" w:lineRule="auto"/>
        <w:tabs>
          <w:tab w:leader="none" w:pos="632"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p>
      <w:pPr>
        <w:spacing w:after="0" w:line="189"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A Director but not an alternate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62" w:lineRule="exact"/>
        <w:rPr>
          <w:sz w:val="20"/>
          <w:szCs w:val="20"/>
          <w:color w:val="auto"/>
        </w:rPr>
      </w:pPr>
    </w:p>
    <w:p>
      <w:pPr>
        <w:ind w:left="652" w:hanging="652"/>
        <w:spacing w:after="0"/>
        <w:tabs>
          <w:tab w:leader="none" w:pos="652"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Presumption of Assent</w:t>
      </w:r>
    </w:p>
    <w:p>
      <w:pPr>
        <w:spacing w:after="0" w:line="228" w:lineRule="exact"/>
        <w:rPr>
          <w:rFonts w:ascii="Arial" w:cs="Arial" w:eastAsia="Arial" w:hAnsi="Arial"/>
          <w:sz w:val="20"/>
          <w:szCs w:val="20"/>
          <w:b w:val="1"/>
          <w:bCs w:val="1"/>
          <w:color w:val="auto"/>
        </w:rPr>
      </w:pPr>
    </w:p>
    <w:p>
      <w:pPr>
        <w:jc w:val="both"/>
        <w:ind w:left="652"/>
        <w:spacing w:after="0"/>
        <w:rPr>
          <w:rFonts w:ascii="Arial" w:cs="Arial" w:eastAsia="Arial" w:hAnsi="Arial"/>
          <w:sz w:val="20"/>
          <w:szCs w:val="20"/>
          <w:b w:val="1"/>
          <w:bCs w:val="1"/>
          <w:color w:val="auto"/>
        </w:rPr>
      </w:pPr>
      <w:r>
        <w:rPr>
          <w:rFonts w:ascii="Arial" w:cs="Arial" w:eastAsia="Arial" w:hAnsi="Arial"/>
          <w:sz w:val="18"/>
          <w:szCs w:val="18"/>
          <w:color w:val="auto"/>
        </w:rPr>
        <w:t>A Director or alternate Director who is present at a meeting of the board of Directors at which action on any Company matter is taken shall be presumed to have assented to the action taken unless his dissent shall be entered in the minutes of the meeting or unless he shall file his written</w:t>
      </w:r>
    </w:p>
    <w:p>
      <w:pPr>
        <w:spacing w:after="0" w:line="297" w:lineRule="exact"/>
        <w:rPr>
          <w:sz w:val="20"/>
          <w:szCs w:val="20"/>
          <w:color w:val="auto"/>
        </w:rPr>
      </w:pPr>
    </w:p>
    <w:p>
      <w:pPr>
        <w:ind w:left="10992"/>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200" w:name="page201"/>
    <w:bookmarkEnd w:id="200"/>
    <w:p>
      <w:pPr>
        <w:jc w:val="both"/>
        <w:ind w:left="660"/>
        <w:spacing w:after="0"/>
        <w:rPr>
          <w:sz w:val="20"/>
          <w:szCs w:val="20"/>
          <w:color w:val="auto"/>
        </w:rPr>
      </w:pPr>
      <w:r>
        <w:rPr>
          <w:rFonts w:ascii="Arial" w:cs="Arial" w:eastAsia="Arial" w:hAnsi="Arial"/>
          <w:sz w:val="18"/>
          <w:szCs w:val="18"/>
          <w:color w:val="auto"/>
        </w:rPr>
        <w:t>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20"/>
          <w:szCs w:val="20"/>
          <w:b w:val="1"/>
          <w:bCs w:val="1"/>
          <w:color w:val="auto"/>
        </w:rPr>
        <w:t>Directors' Interests</w:t>
      </w:r>
    </w:p>
    <w:p>
      <w:pPr>
        <w:spacing w:after="0" w:line="22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Director or alternate Director may act by himself or by, through or on behalf of his firm in a professional capacity for the Company and he or his firm shall be entitled to remuneration for professional services as if he were not a Director or alternate Director.</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p>
      <w:pPr>
        <w:spacing w:after="0" w:line="191"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194"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6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Minutes</w:t>
      </w:r>
    </w:p>
    <w:p>
      <w:pPr>
        <w:spacing w:after="0" w:line="228"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w:t>
      </w:r>
    </w:p>
    <w:p>
      <w:pPr>
        <w:spacing w:after="0" w:line="297"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1" w:name="page202"/>
    <w:bookmarkEnd w:id="201"/>
    <w:p>
      <w:pPr>
        <w:spacing w:after="0"/>
        <w:tabs>
          <w:tab w:leader="none" w:pos="64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20"/>
          <w:szCs w:val="20"/>
          <w:b w:val="1"/>
          <w:bCs w:val="1"/>
          <w:color w:val="auto"/>
        </w:rPr>
        <w:t>Delegation of Directors' Powers</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The Directors may delegate any of their powers, authorities and discretions, including the power to sub-delegate, to any committee consisting of one or more Directors. They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194"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8"/>
          <w:szCs w:val="18"/>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8"/>
          <w:szCs w:val="18"/>
          <w:color w:val="auto"/>
        </w:rPr>
        <w:t>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pacing w:after="0" w:line="297"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02" w:name="page203"/>
    <w:bookmarkEnd w:id="202"/>
    <w:p>
      <w:pPr>
        <w:spacing w:after="0"/>
        <w:tabs>
          <w:tab w:leader="none" w:pos="64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20"/>
          <w:szCs w:val="20"/>
          <w:b w:val="1"/>
          <w:bCs w:val="1"/>
          <w:color w:val="auto"/>
        </w:rPr>
        <w:t>Alternate Directors</w:t>
      </w:r>
    </w:p>
    <w:p>
      <w:pPr>
        <w:spacing w:after="0" w:line="229" w:lineRule="exact"/>
        <w:rPr>
          <w:sz w:val="20"/>
          <w:szCs w:val="20"/>
          <w:color w:val="auto"/>
        </w:rPr>
      </w:pPr>
    </w:p>
    <w:p>
      <w:pPr>
        <w:jc w:val="both"/>
        <w:ind w:left="660" w:right="20" w:hanging="647"/>
        <w:spacing w:after="0" w:line="246" w:lineRule="auto"/>
        <w:tabs>
          <w:tab w:leader="none" w:pos="6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Any Director (but not an alternate Director) may by writing appoint any other Director, or any other person willing to act, to be an alternate Director and by writing may remove from office an alternate Director so appointed by him.</w:t>
      </w:r>
    </w:p>
    <w:p>
      <w:pPr>
        <w:spacing w:after="0" w:line="183"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and generally to perform all the functions of his appointor as a Director in his absence.</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7"/>
          <w:szCs w:val="17"/>
          <w:color w:val="auto"/>
        </w:rPr>
        <w:t>An alternate Director shall cease to be an alternate Director if his appointor ceases to be a Director.</w:t>
      </w:r>
    </w:p>
    <w:p>
      <w:pPr>
        <w:spacing w:after="0" w:line="198"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8"/>
          <w:szCs w:val="18"/>
          <w:color w:val="auto"/>
        </w:rPr>
        <w:t>Any appointment or removal of an alternate Director shall be by notice to the Company signed by the Director making or revoking the appointment or in any other manner approved by the Directors.</w:t>
      </w:r>
    </w:p>
    <w:p>
      <w:pPr>
        <w:spacing w:after="0" w:line="18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8"/>
          <w:szCs w:val="18"/>
          <w:color w:val="auto"/>
        </w:rPr>
        <w:t>Subject to the provisions of the Articles, an alternate Director shall be deemed for all purposes to be a Director and shall alone be responsible for his own acts and defaults and shall not be deemed to be the agent of the Director appointing him.</w:t>
      </w:r>
    </w:p>
    <w:p>
      <w:pPr>
        <w:spacing w:after="0" w:line="156"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No Minimum Shareholding</w:t>
      </w:r>
    </w:p>
    <w:p>
      <w:pPr>
        <w:spacing w:after="0" w:line="228"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56" w:lineRule="exact"/>
        <w:rPr>
          <w:rFonts w:ascii="Arial" w:cs="Arial" w:eastAsia="Arial" w:hAnsi="Arial"/>
          <w:sz w:val="20"/>
          <w:szCs w:val="20"/>
          <w:b w:val="1"/>
          <w:bCs w:val="1"/>
          <w:color w:val="auto"/>
        </w:rPr>
      </w:pPr>
    </w:p>
    <w:p>
      <w:pPr>
        <w:ind w:left="660" w:hanging="652"/>
        <w:spacing w:after="0"/>
        <w:tabs>
          <w:tab w:leader="none" w:pos="66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Remuneration of Directors</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91" w:lineRule="exact"/>
        <w:rPr>
          <w:sz w:val="20"/>
          <w:szCs w:val="20"/>
          <w:color w:val="auto"/>
        </w:rPr>
      </w:pPr>
    </w:p>
    <w:p>
      <w:pPr>
        <w:jc w:val="both"/>
        <w:ind w:left="660" w:right="20" w:hanging="647"/>
        <w:spacing w:after="0"/>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297"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03" w:name="page204"/>
    <w:bookmarkEnd w:id="203"/>
    <w:p>
      <w:pPr>
        <w:spacing w:after="0"/>
        <w:tabs>
          <w:tab w:leader="none" w:pos="640" w:val="left"/>
        </w:tabs>
        <w:rPr>
          <w:sz w:val="20"/>
          <w:szCs w:val="20"/>
          <w:color w:val="auto"/>
        </w:rPr>
      </w:pPr>
      <w:r>
        <w:rPr>
          <w:rFonts w:ascii="Arial" w:cs="Arial" w:eastAsia="Arial" w:hAnsi="Arial"/>
          <w:sz w:val="20"/>
          <w:szCs w:val="20"/>
          <w:b w:val="1"/>
          <w:bCs w:val="1"/>
          <w:color w:val="auto"/>
        </w:rPr>
        <w:t>39</w:t>
      </w:r>
      <w:r>
        <w:rPr>
          <w:sz w:val="20"/>
          <w:szCs w:val="20"/>
          <w:color w:val="auto"/>
        </w:rPr>
        <w:tab/>
      </w:r>
      <w:r>
        <w:rPr>
          <w:rFonts w:ascii="Arial" w:cs="Arial" w:eastAsia="Arial" w:hAnsi="Arial"/>
          <w:sz w:val="20"/>
          <w:szCs w:val="20"/>
          <w:b w:val="1"/>
          <w:bCs w:val="1"/>
          <w:color w:val="auto"/>
        </w:rPr>
        <w:t>Seal</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40</w:t>
      </w:r>
      <w:r>
        <w:rPr>
          <w:sz w:val="20"/>
          <w:szCs w:val="20"/>
          <w:color w:val="auto"/>
        </w:rPr>
        <w:tab/>
      </w:r>
      <w:r>
        <w:rPr>
          <w:rFonts w:ascii="Arial" w:cs="Arial" w:eastAsia="Arial" w:hAnsi="Arial"/>
          <w:sz w:val="20"/>
          <w:szCs w:val="20"/>
          <w:b w:val="1"/>
          <w:bCs w:val="1"/>
          <w:color w:val="auto"/>
        </w:rPr>
        <w:t>Dividends, Distributions and Reserve</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191"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8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18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w:t>
      </w:r>
    </w:p>
    <w:p>
      <w:pPr>
        <w:spacing w:after="0" w:line="299"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04" w:name="page205"/>
    <w:bookmarkEnd w:id="204"/>
    <w:p>
      <w:pPr>
        <w:ind w:left="660"/>
        <w:spacing w:after="0"/>
        <w:rPr>
          <w:sz w:val="20"/>
          <w:szCs w:val="20"/>
          <w:color w:val="auto"/>
        </w:rPr>
      </w:pPr>
      <w:r>
        <w:rPr>
          <w:rFonts w:ascii="Arial" w:cs="Arial" w:eastAsia="Arial" w:hAnsi="Arial"/>
          <w:sz w:val="18"/>
          <w:szCs w:val="18"/>
          <w:color w:val="auto"/>
        </w:rPr>
        <w:t>may vest any such specific assets in trustees in such manner as may seem expedient to the Directors.</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89"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7"/>
          <w:szCs w:val="17"/>
          <w:color w:val="auto"/>
        </w:rPr>
        <w:t>No Dividend or other distribution shall bear interest against the Company.</w:t>
      </w:r>
    </w:p>
    <w:p>
      <w:pPr>
        <w:spacing w:after="0" w:line="198"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40.9</w:t>
      </w:r>
      <w:r>
        <w:rPr>
          <w:sz w:val="20"/>
          <w:szCs w:val="20"/>
          <w:color w:val="auto"/>
        </w:rPr>
        <w:tab/>
      </w:r>
      <w:r>
        <w:rPr>
          <w:rFonts w:ascii="Arial" w:cs="Arial" w:eastAsia="Arial" w:hAnsi="Arial"/>
          <w:sz w:val="18"/>
          <w:szCs w:val="18"/>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64"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Capitalisation</w:t>
      </w:r>
    </w:p>
    <w:p>
      <w:pPr>
        <w:spacing w:after="0" w:line="228" w:lineRule="exact"/>
        <w:rPr>
          <w:rFonts w:ascii="Arial" w:cs="Arial" w:eastAsia="Arial" w:hAnsi="Arial"/>
          <w:sz w:val="20"/>
          <w:szCs w:val="20"/>
          <w:b w:val="1"/>
          <w:bCs w:val="1"/>
          <w:color w:val="auto"/>
        </w:rPr>
      </w:pPr>
    </w:p>
    <w:p>
      <w:pPr>
        <w:jc w:val="both"/>
        <w:ind w:left="660"/>
        <w:spacing w:after="0" w:line="236" w:lineRule="auto"/>
        <w:rPr>
          <w:rFonts w:ascii="Arial" w:cs="Arial" w:eastAsia="Arial" w:hAnsi="Arial"/>
          <w:sz w:val="20"/>
          <w:szCs w:val="20"/>
          <w:b w:val="1"/>
          <w:bCs w:val="1"/>
          <w:color w:val="auto"/>
        </w:rPr>
      </w:pPr>
      <w:r>
        <w:rPr>
          <w:rFonts w:ascii="Arial" w:cs="Arial" w:eastAsia="Arial" w:hAnsi="Arial"/>
          <w:sz w:val="18"/>
          <w:szCs w:val="18"/>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w:t>
      </w:r>
    </w:p>
    <w:p>
      <w:pPr>
        <w:spacing w:after="0" w:line="301"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5" w:name="page206"/>
    <w:bookmarkEnd w:id="205"/>
    <w:p>
      <w:pPr>
        <w:ind w:left="660" w:right="20"/>
        <w:spacing w:after="0" w:line="246" w:lineRule="auto"/>
        <w:rPr>
          <w:sz w:val="20"/>
          <w:szCs w:val="20"/>
          <w:color w:val="auto"/>
        </w:rPr>
      </w:pPr>
      <w:r>
        <w:rPr>
          <w:rFonts w:ascii="Arial" w:cs="Arial" w:eastAsia="Arial" w:hAnsi="Arial"/>
          <w:sz w:val="18"/>
          <w:szCs w:val="18"/>
          <w:color w:val="auto"/>
        </w:rPr>
        <w:t>interested into an agreement with the Company providing for such capitalisation and matters incidental or relating thereto and any agreement made under such authority shall be effective and binding on all such Members and the Company.</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20"/>
          <w:szCs w:val="20"/>
          <w:b w:val="1"/>
          <w:bCs w:val="1"/>
          <w:color w:val="auto"/>
        </w:rPr>
        <w:t>Books of Account</w:t>
      </w:r>
    </w:p>
    <w:p>
      <w:pPr>
        <w:spacing w:after="0" w:line="22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91"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9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7"/>
          <w:szCs w:val="17"/>
          <w:color w:val="auto"/>
        </w:rPr>
        <w:t>The Directors may appoint an Auditor of the Company who shall hold office on such terms as the Directors determine.</w:t>
      </w:r>
    </w:p>
    <w:p>
      <w:pPr>
        <w:spacing w:after="0" w:line="198"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8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297"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6" w:name="page207"/>
    <w:bookmarkEnd w:id="206"/>
    <w:p>
      <w:pPr>
        <w:spacing w:after="0"/>
        <w:tabs>
          <w:tab w:leader="none" w:pos="6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Notices</w:t>
      </w:r>
    </w:p>
    <w:p>
      <w:pPr>
        <w:spacing w:after="0" w:line="229"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by airmail.</w:t>
      </w:r>
    </w:p>
    <w:p>
      <w:pPr>
        <w:spacing w:after="0" w:line="191"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 -mail address provided by the intended recipient and shall be deemed to have been received on the same day that it was sent, and it shall not be necessary for the receipt of the e-mail to be acknowledged by the recipient.</w:t>
      </w:r>
    </w:p>
    <w:p>
      <w:pPr>
        <w:spacing w:after="0" w:line="192"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91"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8"/>
          <w:szCs w:val="18"/>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20"/>
          <w:szCs w:val="20"/>
          <w:b w:val="1"/>
          <w:bCs w:val="1"/>
          <w:color w:val="auto"/>
        </w:rPr>
        <w:t>Winding Up</w:t>
      </w:r>
    </w:p>
    <w:p>
      <w:pPr>
        <w:spacing w:after="0" w:line="22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291"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07" w:name="page208"/>
    <w:bookmarkEnd w:id="207"/>
    <w:p>
      <w:pPr>
        <w:jc w:val="both"/>
        <w:ind w:left="1300" w:hanging="644"/>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89" w:lineRule="exact"/>
        <w:rPr>
          <w:rFonts w:ascii="Arial" w:cs="Arial" w:eastAsia="Arial" w:hAnsi="Arial"/>
          <w:sz w:val="18"/>
          <w:szCs w:val="18"/>
          <w:color w:val="auto"/>
        </w:rPr>
      </w:pPr>
    </w:p>
    <w:p>
      <w:pPr>
        <w:jc w:val="both"/>
        <w:ind w:left="1300" w:hanging="644"/>
        <w:spacing w:after="0" w:line="238"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89"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8"/>
          <w:szCs w:val="18"/>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20"/>
          <w:szCs w:val="20"/>
          <w:b w:val="1"/>
          <w:bCs w:val="1"/>
          <w:color w:val="auto"/>
        </w:rPr>
        <w:t>Indemnity and Insurance</w:t>
      </w:r>
    </w:p>
    <w:p>
      <w:pPr>
        <w:spacing w:after="0" w:line="229"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8"/>
          <w:szCs w:val="18"/>
          <w:color w:val="auto"/>
        </w:rPr>
        <w:t>Every Director and officer of the Company (which for the avoidance of doubt, shall not include auditors of the Company), together with every former Director and former officer of the Company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wilful default. No Indemnified Person shall be liable to the Company for any loss or damage incurred by the Company as a result (whether direct or indirect) of the carrying out of their functions unless that liability arises through the actual fraud or wilful default of such Indemnified Person. No person shall be found to have committed actual fraud or wilful default under this Article unless or until a court of competent jurisdiction shall have made a finding to that effect.</w:t>
      </w:r>
    </w:p>
    <w:p>
      <w:pPr>
        <w:spacing w:after="0" w:line="193" w:lineRule="exact"/>
        <w:rPr>
          <w:sz w:val="20"/>
          <w:szCs w:val="20"/>
          <w:color w:val="auto"/>
        </w:rPr>
      </w:pPr>
    </w:p>
    <w:p>
      <w:pPr>
        <w:jc w:val="both"/>
        <w:ind w:left="660" w:hanging="647"/>
        <w:spacing w:after="0" w:line="237" w:lineRule="auto"/>
        <w:tabs>
          <w:tab w:leader="none" w:pos="64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8"/>
          <w:szCs w:val="18"/>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w:t>
      </w:r>
    </w:p>
    <w:p>
      <w:pPr>
        <w:spacing w:after="0" w:line="299" w:lineRule="exact"/>
        <w:rPr>
          <w:sz w:val="20"/>
          <w:szCs w:val="20"/>
          <w:color w:val="auto"/>
        </w:rPr>
      </w:pPr>
    </w:p>
    <w:p>
      <w:pPr>
        <w:ind w:left="110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8" w:name="page209"/>
    <w:bookmarkEnd w:id="208"/>
    <w:p>
      <w:pPr>
        <w:ind w:left="652"/>
        <w:spacing w:after="0" w:line="246" w:lineRule="auto"/>
        <w:rPr>
          <w:sz w:val="20"/>
          <w:szCs w:val="20"/>
          <w:color w:val="auto"/>
        </w:rPr>
      </w:pPr>
      <w:r>
        <w:rPr>
          <w:rFonts w:ascii="Arial" w:cs="Arial" w:eastAsia="Arial" w:hAnsi="Arial"/>
          <w:sz w:val="18"/>
          <w:szCs w:val="18"/>
          <w:color w:val="auto"/>
        </w:rPr>
        <w:t>judgment, costs or expenses, then such party shall not be indemnified with respect to such judgment, costs or expenses and any advancement shall be returned to the Company (without interest) by the Indemnified Person.</w:t>
      </w:r>
    </w:p>
    <w:p>
      <w:pPr>
        <w:spacing w:after="0" w:line="183" w:lineRule="exact"/>
        <w:rPr>
          <w:sz w:val="20"/>
          <w:szCs w:val="20"/>
          <w:color w:val="auto"/>
        </w:rPr>
      </w:pPr>
    </w:p>
    <w:p>
      <w:pPr>
        <w:jc w:val="both"/>
        <w:ind w:left="652" w:hanging="647"/>
        <w:spacing w:after="0"/>
        <w:tabs>
          <w:tab w:leader="none" w:pos="632"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162" w:lineRule="exact"/>
        <w:rPr>
          <w:sz w:val="20"/>
          <w:szCs w:val="20"/>
          <w:color w:val="auto"/>
        </w:rPr>
      </w:pPr>
    </w:p>
    <w:p>
      <w:pPr>
        <w:ind w:left="652" w:hanging="652"/>
        <w:spacing w:after="0"/>
        <w:tabs>
          <w:tab w:leader="none" w:pos="652"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Year</w:t>
      </w:r>
    </w:p>
    <w:p>
      <w:pPr>
        <w:spacing w:after="0" w:line="228" w:lineRule="exact"/>
        <w:rPr>
          <w:rFonts w:ascii="Arial" w:cs="Arial" w:eastAsia="Arial" w:hAnsi="Arial"/>
          <w:sz w:val="20"/>
          <w:szCs w:val="20"/>
          <w:b w:val="1"/>
          <w:bCs w:val="1"/>
          <w:color w:val="auto"/>
        </w:rPr>
      </w:pPr>
    </w:p>
    <w:p>
      <w:pPr>
        <w:ind w:left="652"/>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56" w:lineRule="exact"/>
        <w:rPr>
          <w:rFonts w:ascii="Arial" w:cs="Arial" w:eastAsia="Arial" w:hAnsi="Arial"/>
          <w:sz w:val="20"/>
          <w:szCs w:val="20"/>
          <w:b w:val="1"/>
          <w:bCs w:val="1"/>
          <w:color w:val="auto"/>
        </w:rPr>
      </w:pPr>
    </w:p>
    <w:p>
      <w:pPr>
        <w:ind w:left="652" w:hanging="652"/>
        <w:spacing w:after="0"/>
        <w:tabs>
          <w:tab w:leader="none" w:pos="652"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Transfer by Way of Continuation</w:t>
      </w:r>
    </w:p>
    <w:p>
      <w:pPr>
        <w:spacing w:after="0" w:line="228" w:lineRule="exact"/>
        <w:rPr>
          <w:rFonts w:ascii="Arial" w:cs="Arial" w:eastAsia="Arial" w:hAnsi="Arial"/>
          <w:sz w:val="20"/>
          <w:szCs w:val="20"/>
          <w:b w:val="1"/>
          <w:bCs w:val="1"/>
          <w:color w:val="auto"/>
        </w:rPr>
      </w:pPr>
    </w:p>
    <w:p>
      <w:pPr>
        <w:jc w:val="both"/>
        <w:ind w:left="652"/>
        <w:spacing w:after="0"/>
        <w:rPr>
          <w:rFonts w:ascii="Arial" w:cs="Arial" w:eastAsia="Arial" w:hAnsi="Arial"/>
          <w:sz w:val="20"/>
          <w:szCs w:val="20"/>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62" w:lineRule="exact"/>
        <w:rPr>
          <w:rFonts w:ascii="Arial" w:cs="Arial" w:eastAsia="Arial" w:hAnsi="Arial"/>
          <w:sz w:val="20"/>
          <w:szCs w:val="20"/>
          <w:b w:val="1"/>
          <w:bCs w:val="1"/>
          <w:color w:val="auto"/>
        </w:rPr>
      </w:pPr>
    </w:p>
    <w:p>
      <w:pPr>
        <w:ind w:left="652" w:hanging="652"/>
        <w:spacing w:after="0"/>
        <w:tabs>
          <w:tab w:leader="none" w:pos="652"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Mergers and Consolidations</w:t>
      </w:r>
    </w:p>
    <w:p>
      <w:pPr>
        <w:spacing w:after="0" w:line="228" w:lineRule="exact"/>
        <w:rPr>
          <w:rFonts w:ascii="Arial" w:cs="Arial" w:eastAsia="Arial" w:hAnsi="Arial"/>
          <w:sz w:val="20"/>
          <w:szCs w:val="20"/>
          <w:b w:val="1"/>
          <w:bCs w:val="1"/>
          <w:color w:val="auto"/>
        </w:rPr>
      </w:pPr>
    </w:p>
    <w:p>
      <w:pPr>
        <w:jc w:val="both"/>
        <w:ind w:left="652"/>
        <w:spacing w:after="0"/>
        <w:rPr>
          <w:rFonts w:ascii="Arial" w:cs="Arial" w:eastAsia="Arial" w:hAnsi="Arial"/>
          <w:sz w:val="20"/>
          <w:szCs w:val="20"/>
          <w:b w:val="1"/>
          <w:bCs w:val="1"/>
          <w:color w:val="auto"/>
        </w:rPr>
      </w:pPr>
      <w:r>
        <w:rPr>
          <w:rFonts w:ascii="Arial" w:cs="Arial" w:eastAsia="Arial" w:hAnsi="Arial"/>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297" w:lineRule="exact"/>
        <w:rPr>
          <w:sz w:val="20"/>
          <w:szCs w:val="20"/>
          <w:color w:val="auto"/>
        </w:rPr>
      </w:pPr>
    </w:p>
    <w:p>
      <w:pPr>
        <w:ind w:left="10992"/>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Dated this 7th day of June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Maples Corporate Services Limited</w:t>
      </w:r>
    </w:p>
    <w:p>
      <w:pPr>
        <w:spacing w:after="0" w:line="234" w:lineRule="auto"/>
        <w:rPr>
          <w:sz w:val="20"/>
          <w:szCs w:val="20"/>
          <w:color w:val="auto"/>
        </w:rPr>
      </w:pPr>
      <w:r>
        <w:rPr>
          <w:rFonts w:ascii="Arial" w:cs="Arial" w:eastAsia="Arial" w:hAnsi="Arial"/>
          <w:sz w:val="18"/>
          <w:szCs w:val="18"/>
          <w:color w:val="auto"/>
        </w:rPr>
        <w:t>of PO Box 309, Ugland House</w:t>
      </w:r>
    </w:p>
    <w:p>
      <w:pPr>
        <w:spacing w:after="0" w:line="235" w:lineRule="auto"/>
        <w:rPr>
          <w:sz w:val="20"/>
          <w:szCs w:val="20"/>
          <w:color w:val="auto"/>
        </w:rPr>
      </w:pPr>
      <w:r>
        <w:rPr>
          <w:rFonts w:ascii="Arial" w:cs="Arial" w:eastAsia="Arial" w:hAnsi="Arial"/>
          <w:sz w:val="18"/>
          <w:szCs w:val="18"/>
          <w:color w:val="auto"/>
        </w:rPr>
        <w:t>Grand Cayman</w:t>
      </w:r>
    </w:p>
    <w:p>
      <w:pPr>
        <w:spacing w:after="0" w:line="235" w:lineRule="auto"/>
        <w:rPr>
          <w:sz w:val="20"/>
          <w:szCs w:val="20"/>
          <w:color w:val="auto"/>
        </w:rPr>
      </w:pPr>
      <w:r>
        <w:rPr>
          <w:rFonts w:ascii="Arial" w:cs="Arial" w:eastAsia="Arial" w:hAnsi="Arial"/>
          <w:sz w:val="18"/>
          <w:szCs w:val="18"/>
          <w:color w:val="auto"/>
        </w:rPr>
        <w:t>KY1-1104</w:t>
      </w:r>
    </w:p>
    <w:p>
      <w:pPr>
        <w:spacing w:after="0"/>
        <w:rPr>
          <w:sz w:val="20"/>
          <w:szCs w:val="20"/>
          <w:color w:val="auto"/>
        </w:rPr>
      </w:pPr>
      <w:r>
        <w:rPr>
          <w:rFonts w:ascii="Arial" w:cs="Arial" w:eastAsia="Arial" w:hAnsi="Arial"/>
          <w:sz w:val="18"/>
          <w:szCs w:val="18"/>
          <w:color w:val="auto"/>
        </w:rPr>
        <w:t>Cayman Islands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Marcia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2128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128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Marcia Borden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Ahmaree Piercy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2192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Ahmaree Piercy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Witness to the above signature</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10" w:name="page211"/>
    <w:bookmarkEnd w:id="210"/>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43"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auto"/>
        </w:rPr>
        <w:t>Principal Amount: $250,000</w:t>
      </w:r>
      <w:r>
        <w:rPr>
          <w:sz w:val="20"/>
          <w:szCs w:val="20"/>
          <w:color w:val="auto"/>
        </w:rPr>
        <w:tab/>
      </w:r>
      <w:r>
        <w:rPr>
          <w:rFonts w:ascii="Arial" w:cs="Arial" w:eastAsia="Arial" w:hAnsi="Arial"/>
          <w:sz w:val="15"/>
          <w:szCs w:val="15"/>
          <w:color w:val="auto"/>
        </w:rPr>
        <w:t>Dated as of June 10, 2019</w:t>
      </w:r>
    </w:p>
    <w:p>
      <w:pPr>
        <w:spacing w:after="0" w:line="235"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Silver Spike Acquisition Corp., a Cayman Islands exempted company and blank check company (the “</w:t>
      </w:r>
      <w:r>
        <w:rPr>
          <w:rFonts w:ascii="Arial" w:cs="Arial" w:eastAsia="Arial" w:hAnsi="Arial"/>
          <w:sz w:val="17"/>
          <w:szCs w:val="17"/>
          <w:b w:val="1"/>
          <w:bCs w:val="1"/>
          <w:color w:val="auto"/>
        </w:rPr>
        <w:t>Maker</w:t>
      </w:r>
      <w:r>
        <w:rPr>
          <w:rFonts w:ascii="Arial" w:cs="Arial" w:eastAsia="Arial" w:hAnsi="Arial"/>
          <w:sz w:val="17"/>
          <w:szCs w:val="17"/>
          <w:color w:val="auto"/>
        </w:rPr>
        <w:t>”), promises to pay to the order of Silver Spike Sponsor, LLC, or its registered assigns or successors in interest (the “</w:t>
      </w:r>
      <w:r>
        <w:rPr>
          <w:rFonts w:ascii="Arial" w:cs="Arial" w:eastAsia="Arial" w:hAnsi="Arial"/>
          <w:sz w:val="17"/>
          <w:szCs w:val="17"/>
          <w:b w:val="1"/>
          <w:bCs w:val="1"/>
          <w:color w:val="auto"/>
        </w:rPr>
        <w:t>Payee</w:t>
      </w:r>
      <w:r>
        <w:rPr>
          <w:rFonts w:ascii="Arial" w:cs="Arial" w:eastAsia="Arial" w:hAnsi="Arial"/>
          <w:sz w:val="17"/>
          <w:szCs w:val="17"/>
          <w:color w:val="auto"/>
        </w:rPr>
        <w:t>”), or order, the principal sum of two hundred and fifty thousand U.S. dollars ($ 250,000)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68" w:lineRule="exact"/>
        <w:rPr>
          <w:sz w:val="20"/>
          <w:szCs w:val="20"/>
          <w:color w:val="auto"/>
        </w:rPr>
      </w:pPr>
    </w:p>
    <w:p>
      <w:pPr>
        <w:ind w:right="60" w:firstLine="8"/>
        <w:spacing w:after="0" w:line="282" w:lineRule="auto"/>
        <w:tabs>
          <w:tab w:leader="none" w:pos="238"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on the earlier of: (i) January 31, 2020 or (ii) the date on which Maker consummates an</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public offering of its securities. The principal balance may be prepaid at any time.</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auto"/>
        </w:rPr>
      </w:pPr>
    </w:p>
    <w:p>
      <w:pPr>
        <w:jc w:val="both"/>
        <w:ind w:right="120" w:firstLine="8"/>
        <w:spacing w:after="0" w:line="266" w:lineRule="auto"/>
        <w:tabs>
          <w:tab w:leader="none" w:pos="225"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60" w:firstLine="8"/>
        <w:spacing w:after="0" w:line="277" w:lineRule="auto"/>
        <w:tabs>
          <w:tab w:leader="none" w:pos="29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right="80" w:firstLine="8"/>
        <w:spacing w:after="0" w:line="257"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ind w:right="680" w:firstLine="8"/>
        <w:spacing w:after="0" w:line="279" w:lineRule="auto"/>
        <w:tabs>
          <w:tab w:leader="none" w:pos="244"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Involuntary Bankruptcy, Etc</w:t>
      </w:r>
      <w:r>
        <w:rPr>
          <w:rFonts w:ascii="Arial" w:cs="Arial" w:eastAsia="Arial" w:hAnsi="Arial"/>
          <w:sz w:val="17"/>
          <w:szCs w:val="17"/>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firstLine="8"/>
        <w:spacing w:after="0" w:line="259" w:lineRule="auto"/>
        <w:tabs>
          <w:tab w:leader="none" w:pos="2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firstLine="8"/>
        <w:spacing w:after="0" w:line="308" w:lineRule="auto"/>
        <w:tabs>
          <w:tab w:leader="none" w:pos="26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42" w:lineRule="exact"/>
        <w:rPr>
          <w:sz w:val="20"/>
          <w:szCs w:val="20"/>
          <w:color w:val="auto"/>
        </w:rPr>
      </w:pPr>
    </w:p>
    <w:p>
      <w:pPr>
        <w:ind w:right="60" w:firstLine="8"/>
        <w:spacing w:after="0" w:line="294" w:lineRule="auto"/>
        <w:tabs>
          <w:tab w:leader="none" w:pos="18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59" w:lineRule="exact"/>
        <w:rPr>
          <w:rFonts w:ascii="Arial" w:cs="Arial" w:eastAsia="Arial" w:hAnsi="Arial"/>
          <w:sz w:val="16"/>
          <w:szCs w:val="16"/>
          <w:color w:val="auto"/>
        </w:rPr>
      </w:pPr>
    </w:p>
    <w:p>
      <w:pPr>
        <w:jc w:val="both"/>
        <w:ind w:firstLine="8"/>
        <w:spacing w:after="0" w:line="298" w:lineRule="auto"/>
        <w:tabs>
          <w:tab w:leader="none" w:pos="193"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color w:val="auto"/>
        </w:rPr>
      </w:pPr>
    </w:p>
    <w:p>
      <w:pPr>
        <w:ind w:right="180" w:firstLine="8"/>
        <w:spacing w:after="0" w:line="273" w:lineRule="auto"/>
        <w:tabs>
          <w:tab w:leader="none" w:pos="180"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Agreement shall be: (i) in writing and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1" w:lineRule="exact"/>
        <w:rPr>
          <w:rFonts w:ascii="Arial" w:cs="Arial" w:eastAsia="Arial" w:hAnsi="Arial"/>
          <w:sz w:val="17"/>
          <w:szCs w:val="17"/>
          <w:color w:val="auto"/>
        </w:rPr>
      </w:pPr>
    </w:p>
    <w:p>
      <w:pPr>
        <w:ind w:right="140" w:firstLine="8"/>
        <w:spacing w:after="0" w:line="282" w:lineRule="auto"/>
        <w:tabs>
          <w:tab w:leader="none" w:pos="238"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auto"/>
        </w:rPr>
      </w:pPr>
    </w:p>
    <w:p>
      <w:pPr>
        <w:jc w:val="both"/>
        <w:ind w:firstLine="8"/>
        <w:spacing w:after="0" w:line="266" w:lineRule="auto"/>
        <w:tabs>
          <w:tab w:leader="none" w:pos="315"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2" w:name="page213"/>
    <w:bookmarkEnd w:id="212"/>
    <w:p>
      <w:pPr>
        <w:ind w:left="-8" w:firstLine="8"/>
        <w:spacing w:after="0" w:line="256" w:lineRule="auto"/>
        <w:tabs>
          <w:tab w:leader="none" w:pos="255"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Trust Waiver. </w:t>
      </w:r>
      <w:r>
        <w:rPr>
          <w:rFonts w:ascii="Arial" w:cs="Arial" w:eastAsia="Arial" w:hAnsi="Arial"/>
          <w:sz w:val="18"/>
          <w:szCs w:val="18"/>
          <w:color w:val="auto"/>
        </w:rPr>
        <w:t>Notwithstanding anything herein to the contrary, the Payee hereby waives any and all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or to any distribution of or from the trust account to be established in which the proceeds of the initial public offering (the “ </w:t>
      </w:r>
      <w:r>
        <w:rPr>
          <w:rFonts w:ascii="Arial" w:cs="Arial" w:eastAsia="Arial" w:hAnsi="Arial"/>
          <w:sz w:val="18"/>
          <w:szCs w:val="18"/>
          <w:b w:val="1"/>
          <w:bCs w:val="1"/>
          <w:color w:val="auto"/>
        </w:rPr>
        <w:t>IPO</w:t>
      </w:r>
      <w:r>
        <w:rPr>
          <w:rFonts w:ascii="Arial" w:cs="Arial" w:eastAsia="Arial" w:hAnsi="Arial"/>
          <w:sz w:val="18"/>
          <w:szCs w:val="18"/>
          <w:color w:val="auto"/>
        </w:rPr>
        <w:t>”) conducted by the Maker (including the deferred underwriting discounts and commissions) and the proceeds of the sale of the warrants issued in a private placement to occur prior to the effectiveness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rFonts w:ascii="Arial" w:cs="Arial" w:eastAsia="Arial" w:hAnsi="Arial"/>
          <w:sz w:val="18"/>
          <w:szCs w:val="18"/>
          <w:color w:val="auto"/>
        </w:rPr>
      </w:pPr>
    </w:p>
    <w:p>
      <w:pPr>
        <w:ind w:left="-8" w:right="140" w:firstLine="8"/>
        <w:spacing w:after="0" w:line="282" w:lineRule="auto"/>
        <w:tabs>
          <w:tab w:leader="none" w:pos="307"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auto"/>
        </w:rPr>
      </w:pPr>
    </w:p>
    <w:p>
      <w:pPr>
        <w:ind w:left="-8" w:right="200" w:firstLine="8"/>
        <w:spacing w:after="0" w:line="347" w:lineRule="auto"/>
        <w:tabs>
          <w:tab w:leader="none" w:pos="307"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553" w:right="399" w:bottom="1440" w:gutter="0" w:footer="0" w:header="0"/>
        </w:sectPr>
      </w:pPr>
    </w:p>
    <w:bookmarkStart w:id="213" w:name="page214"/>
    <w:bookmarkEnd w:id="213"/>
    <w:p>
      <w:pPr>
        <w:ind w:right="2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Maker, intending to be legally bound hereby, has caused this Note to be duly executed by the undersigned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200" w:lineRule="exact"/>
        <w:rPr>
          <w:sz w:val="20"/>
          <w:szCs w:val="20"/>
          <w:color w:val="auto"/>
        </w:rPr>
      </w:pPr>
    </w:p>
    <w:p>
      <w:pPr>
        <w:spacing w:after="0" w:line="39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 Cayman Islands exempted company</w:t>
      </w:r>
    </w:p>
    <w:p>
      <w:pPr>
        <w:spacing w:after="0" w:line="200" w:lineRule="exact"/>
        <w:rPr>
          <w:sz w:val="20"/>
          <w:szCs w:val="20"/>
          <w:color w:val="auto"/>
        </w:rPr>
      </w:pPr>
    </w:p>
    <w:p>
      <w:pPr>
        <w:spacing w:after="0" w:line="213"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 Scott Gordon</w:t>
            </w:r>
          </w:p>
        </w:tc>
      </w:tr>
      <w:tr>
        <w:trPr>
          <w:trHeight w:val="195"/>
        </w:trPr>
        <w:tc>
          <w:tcPr>
            <w:tcW w:w="540" w:type="dxa"/>
            <w:vAlign w:val="bottom"/>
          </w:tcPr>
          <w:p>
            <w:pPr>
              <w:spacing w:after="0"/>
              <w:rPr>
                <w:sz w:val="16"/>
                <w:szCs w:val="16"/>
                <w:color w:val="auto"/>
              </w:rPr>
            </w:pPr>
          </w:p>
        </w:tc>
        <w:tc>
          <w:tcPr>
            <w:tcW w:w="80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200"/>
              <w:spacing w:after="0" w:line="195" w:lineRule="exact"/>
              <w:rPr>
                <w:sz w:val="20"/>
                <w:szCs w:val="20"/>
                <w:color w:val="auto"/>
              </w:rPr>
            </w:pPr>
            <w:r>
              <w:rPr>
                <w:rFonts w:ascii="Arial" w:cs="Arial" w:eastAsia="Arial" w:hAnsi="Arial"/>
                <w:sz w:val="18"/>
                <w:szCs w:val="18"/>
                <w:color w:val="auto"/>
              </w:rPr>
              <w:t>Scott Gordon</w:t>
            </w:r>
          </w:p>
        </w:tc>
      </w:tr>
      <w:tr>
        <w:trPr>
          <w:trHeight w:val="230"/>
        </w:trPr>
        <w:tc>
          <w:tcPr>
            <w:tcW w:w="54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Title:</w:t>
            </w:r>
          </w:p>
        </w:tc>
        <w:tc>
          <w:tcPr>
            <w:tcW w:w="4580" w:type="dxa"/>
            <w:vAlign w:val="bottom"/>
          </w:tcPr>
          <w:p>
            <w:pPr>
              <w:ind w:left="20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This Securities Purchase Agreement (this “Agreement”), effective as of June 11, 2019, is made and entered into by and between Silver Spike Acquisition Corp., a Cayman Islands exempted company (the “Company”), and Silver Spike Sponsor, LLC, a Delaware limited liability company (the “Buyer”).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Buyer wishes to subscribe for an aggregate of 7,187,500 Class B ordinary shares (the “Shares”), par value $0.0001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and the Company wishes to issue the Shares to the Buyer, on the terms and subject to the conditions set forth in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20" w:firstLine="648"/>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representations, warranties and the mutual covenants contained in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other good and valuable consideration, the receipt, sufficiency and adequacy of which are hereby acknowledged, the parties hereto agree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terms defined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for all purposes of this Agreement the respective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“Buyer”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B ordinary shares” 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“Closing”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“Closing Date”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“Consent” means any consent, approval, notification, waiver, or other similar action that is necessary or convenient.</w:t>
      </w:r>
    </w:p>
    <w:p>
      <w:pPr>
        <w:spacing w:after="0" w:line="225"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“Governmental Body” shall mean any legislature, agency, bureau, branch, department, division, commission, court, tribunal or other similar recognized organization or body of any federal, state, county, municipal, local or foreign government or other similar recognized organization or body exercising similar powers or authority.</w:t>
      </w:r>
    </w:p>
    <w:p>
      <w:pPr>
        <w:spacing w:after="0" w:line="184"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“Law” shall mean any law (statutory, common or otherwise), constitution, ordinance, rule, regulation, executive order or other similar authority enacted, adopted, promulgated or applied by any Governmental Body.</w:t>
      </w:r>
    </w:p>
    <w:p>
      <w:pPr>
        <w:spacing w:after="0" w:line="170"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“Lien” shall mean a mortgage, deed of trust, pledge, hypothecation, assignment, encumbrance, charge, restriction, lien (statutory or otherwise, including, without limitation, any lien for taxes), security interest, preference, participation interest, priority or security agreement or preferential arrangement of any kind or nature whatsoever, including, without limitation, any conditional sale or other title retention agreement, any financing lease having substantially the same economic effect as any of the foregoing and the filing of any document under the law of any applicable jurisdiction to evidence any of the foregoing, other than (i) statutory, mechanics’ or other Liens incurred in the Company’s ordinary course of business or (ii) Liens for taxes incurred but not yet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ind w:right="580" w:firstLine="648"/>
        <w:spacing w:after="0" w:line="277" w:lineRule="auto"/>
        <w:rPr>
          <w:sz w:val="20"/>
          <w:szCs w:val="20"/>
          <w:color w:val="auto"/>
        </w:rPr>
      </w:pPr>
      <w:r>
        <w:rPr>
          <w:rFonts w:ascii="Arial" w:cs="Arial" w:eastAsia="Arial" w:hAnsi="Arial"/>
          <w:sz w:val="18"/>
          <w:szCs w:val="18"/>
          <w:color w:val="auto"/>
        </w:rPr>
        <w:t>“Order” shall mean an order, ruling, decision, award, judgment, injunction or other similar determination or finding by, before or under the supervision of any Governmental Body or arbitrator.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 shall mean a permit, license, certificate, waiver, notice or similar authorization.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“Purchase Price”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 shall mean the United States Securities and Exchange Commission.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“Securities Act” shall mean the United States Securities Act of 1933, as amended, or any successor federal statute, and the applicable rules and regulations promulgated and in effect from time to time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shall have the meaning set forth in the recitals to this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OF THE SHARES</w:t>
      </w:r>
    </w:p>
    <w:p>
      <w:pPr>
        <w:spacing w:after="0" w:line="207" w:lineRule="exact"/>
        <w:rPr>
          <w:sz w:val="20"/>
          <w:szCs w:val="20"/>
          <w:color w:val="auto"/>
        </w:rPr>
      </w:pPr>
    </w:p>
    <w:p>
      <w:pPr>
        <w:ind w:right="440" w:firstLine="648"/>
        <w:spacing w:after="0" w:line="28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b w:val="1"/>
          <w:bCs w:val="1"/>
          <w:color w:val="auto"/>
        </w:rPr>
        <w:t>Purchase and Sale of the Shares</w:t>
      </w:r>
      <w:r>
        <w:rPr>
          <w:rFonts w:ascii="Arial" w:cs="Arial" w:eastAsia="Arial" w:hAnsi="Arial"/>
          <w:sz w:val="17"/>
          <w:szCs w:val="17"/>
          <w:color w:val="auto"/>
        </w:rPr>
        <w:t>. Subject to the terms and conditions hereof and in reliance upon the representations and warranties of the parties contained or incorporated by reference herein, simultaneous with the execution hereof, the Company shall issue to the Buyer, and the Buyer shall subscribe for the Shares, in consideration of the payment of the Purchase Price noted herein.</w:t>
      </w:r>
    </w:p>
    <w:p>
      <w:pPr>
        <w:spacing w:after="0" w:line="158"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color w:val="auto"/>
        </w:rPr>
        <w:t>Purchase Price</w:t>
      </w:r>
      <w:r>
        <w:rPr>
          <w:rFonts w:ascii="Arial" w:cs="Arial" w:eastAsia="Arial" w:hAnsi="Arial"/>
          <w:sz w:val="18"/>
          <w:szCs w:val="18"/>
          <w:color w:val="auto"/>
        </w:rPr>
        <w:t>. As payment in full for the Shares being purchased under this Agreement and against issue of such Shares, simultaneous with the execution hereof, the Buyer shall pay $ 25,000 on behalf of and at the direction of the Company by wire transfer of immediately available funds or by such other method as may be reasonably acceptable to the Company (the “Purchase Price”).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color w:val="auto"/>
        </w:rPr>
        <w:t>Closing</w:t>
      </w:r>
      <w:r>
        <w:rPr>
          <w:rFonts w:ascii="Arial" w:cs="Arial" w:eastAsia="Arial" w:hAnsi="Arial"/>
          <w:sz w:val="18"/>
          <w:szCs w:val="18"/>
          <w:color w:val="auto"/>
        </w:rPr>
        <w:t>. The closing of the purchase and sale of the Shares (the “Closing”) shall be held on the date of this Agreement (“Closing Date”) at the offices of Davis Polk &amp; Wardwell LLP, 450 Lexington Avenue, New York, New York 10017, or such other place as may be agreed upon by the parties 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color w:val="auto"/>
        </w:rPr>
        <w:t>Closing Deliveries</w:t>
      </w:r>
      <w:r>
        <w:rPr>
          <w:rFonts w:ascii="Arial" w:cs="Arial" w:eastAsia="Arial" w:hAnsi="Arial"/>
          <w:sz w:val="18"/>
          <w:szCs w:val="18"/>
          <w:color w:val="auto"/>
        </w:rPr>
        <w:t>. All actions taken at the Closing shall be deemed to have been taken simultaneously.</w:t>
      </w:r>
    </w:p>
    <w:p>
      <w:pPr>
        <w:spacing w:after="0" w:line="229" w:lineRule="exact"/>
        <w:rPr>
          <w:sz w:val="20"/>
          <w:szCs w:val="20"/>
          <w:color w:val="auto"/>
        </w:rPr>
      </w:pPr>
    </w:p>
    <w:p>
      <w:pPr>
        <w:ind w:left="900" w:hanging="244"/>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Buyer Deliveries</w:t>
      </w:r>
      <w:r>
        <w:rPr>
          <w:rFonts w:ascii="Arial" w:cs="Arial" w:eastAsia="Arial" w:hAnsi="Arial"/>
          <w:sz w:val="18"/>
          <w:szCs w:val="18"/>
          <w:color w:val="auto"/>
        </w:rPr>
        <w:t>. At the Closing the Buyer shall deliver to the Company the Purchase Price.</w:t>
      </w:r>
    </w:p>
    <w:p>
      <w:pPr>
        <w:spacing w:after="0" w:line="225" w:lineRule="exact"/>
        <w:rPr>
          <w:rFonts w:ascii="Arial" w:cs="Arial" w:eastAsia="Arial" w:hAnsi="Arial"/>
          <w:sz w:val="18"/>
          <w:szCs w:val="18"/>
          <w:color w:val="auto"/>
        </w:rPr>
      </w:pPr>
    </w:p>
    <w:p>
      <w:pPr>
        <w:ind w:right="140" w:firstLine="656"/>
        <w:spacing w:after="0" w:line="277" w:lineRule="auto"/>
        <w:tabs>
          <w:tab w:leader="none" w:pos="97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Company Deliveries</w:t>
      </w:r>
      <w:r>
        <w:rPr>
          <w:rFonts w:ascii="Arial" w:cs="Arial" w:eastAsia="Arial" w:hAnsi="Arial"/>
          <w:sz w:val="18"/>
          <w:szCs w:val="18"/>
          <w:color w:val="auto"/>
        </w:rPr>
        <w:t>. At the Closing, or within a reasonable time after the Closing, the Company shall issue to the Buyer the Shares and make the necessary entries in the Register of Members of the Company.</w:t>
      </w:r>
    </w:p>
    <w:p>
      <w:pPr>
        <w:spacing w:after="0" w:line="166"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b w:val="1"/>
          <w:bCs w:val="1"/>
          <w:color w:val="auto"/>
        </w:rPr>
        <w:t>Further Assurances</w:t>
      </w:r>
      <w:r>
        <w:rPr>
          <w:rFonts w:ascii="Arial" w:cs="Arial" w:eastAsia="Arial" w:hAnsi="Arial"/>
          <w:sz w:val="16"/>
          <w:szCs w:val="16"/>
          <w:color w:val="auto"/>
        </w:rPr>
        <w:t>. The parties hereto shall execute and deliver such additional documents and take such additional actions as any party reasonably may deem to be practical and necessary in order to consummate the transactions contemplated by this Agreement.</w:t>
      </w:r>
    </w:p>
    <w:p>
      <w:pPr>
        <w:spacing w:after="0" w:line="11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color w:val="auto"/>
        </w:rPr>
        <w:t>Legend</w:t>
      </w:r>
      <w:r>
        <w:rPr>
          <w:rFonts w:ascii="Arial" w:cs="Arial" w:eastAsia="Arial" w:hAnsi="Arial"/>
          <w:sz w:val="18"/>
          <w:szCs w:val="18"/>
          <w:color w:val="auto"/>
        </w:rPr>
        <w:t>. Any certificate evidencing the Shares and any certificate issued in exchange for or upon the transfer of any Shares shall be stamped or otherwise imprinted with a legend in substantially the following form:</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THE SECURITIES LAWS OF ANY STATE OR OTHER JURISDICTION, AND MAY NOT BE TRANSFERRED IN VIOLATION OF SUCH ACT AND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6" w:name="page217"/>
    <w:bookmarkEnd w:id="216"/>
    <w:p>
      <w:pPr>
        <w:ind w:right="300"/>
        <w:spacing w:after="0" w:line="286" w:lineRule="auto"/>
        <w:rPr>
          <w:sz w:val="20"/>
          <w:szCs w:val="20"/>
          <w:color w:val="auto"/>
        </w:rPr>
      </w:pPr>
      <w:r>
        <w:rPr>
          <w:rFonts w:ascii="Arial" w:cs="Arial" w:eastAsia="Arial" w:hAnsi="Arial"/>
          <w:sz w:val="17"/>
          <w:szCs w:val="17"/>
          <w:color w:val="auto"/>
        </w:rPr>
        <w:t>“THE SECURITIES REPRESENTED BY THIS CERTIFICATE ARE SUBJECT TO ADDITIONAL RESTRICTIONS ON TRANSFER SET FORTH IN THE LETTER AGREEMENT BY AND BETWEEN THE COMPANY AND THE SPONSOR. COPIES OF SUCH AGREEMENT MAY BE OBTAINED FROM THE COMPANY AT THE COMPANY’S PRINCIPAL PLACE OF BUSINESS WITHOUT CHARGE.”</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REPRESENTATIONS AND WARRANTIES OF THE BUYER</w:t>
      </w:r>
    </w:p>
    <w:p>
      <w:pPr>
        <w:spacing w:after="0" w:line="211"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 xml:space="preserve">The Buyer represents and warrants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correct and complete as of the date of this Agreement.</w:t>
      </w:r>
    </w:p>
    <w:p>
      <w:pPr>
        <w:spacing w:after="0" w:line="16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color w:val="auto"/>
        </w:rPr>
        <w:t>Organization and Good Standing</w:t>
      </w:r>
      <w:r>
        <w:rPr>
          <w:rFonts w:ascii="Arial" w:cs="Arial" w:eastAsia="Arial" w:hAnsi="Arial"/>
          <w:sz w:val="18"/>
          <w:szCs w:val="18"/>
          <w:color w:val="auto"/>
        </w:rPr>
        <w:t>. The Buyer is a limited liability company duly organized, validly existing, and in good standing under the laws of the state of Delaware.</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color w:val="auto"/>
        </w:rPr>
        <w:t>Power and Authority; Enforceability</w:t>
      </w:r>
      <w:r>
        <w:rPr>
          <w:rFonts w:ascii="Arial" w:cs="Arial" w:eastAsia="Arial" w:hAnsi="Arial"/>
          <w:sz w:val="18"/>
          <w:szCs w:val="18"/>
          <w:color w:val="auto"/>
        </w:rPr>
        <w:t>. This Agreement constitutes the legal, valid, and binding obligation of the Buyer, enforceable against the Buyer in accordance with its terms. The Buyer has full entity power and authority to execute and deliver this Agreement and to perform its obligations hereunder. The Buyer has taken all actions necessary to authorize the execution and delivery of this Agreement, the performance of its obligations hereunder and the consummation of the transactions contemplated hereby. This Agreement has been duly authorized, executed and delivered by, and is enforceable against, the Buyer.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color w:val="auto"/>
        </w:rPr>
        <w:t>Investment Representations.</w:t>
      </w:r>
    </w:p>
    <w:p>
      <w:pPr>
        <w:spacing w:after="0" w:line="229" w:lineRule="exact"/>
        <w:rPr>
          <w:sz w:val="20"/>
          <w:szCs w:val="20"/>
          <w:color w:val="auto"/>
        </w:rPr>
      </w:pPr>
    </w:p>
    <w:p>
      <w:pPr>
        <w:ind w:left="900" w:hanging="244"/>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Buyer is an “accredited investor” as defined in Rule 501 of Regulation D under the Securities Act.</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Buyer has received, has thoroughly read, is familiar with and understands the contents of this Agreement.</w:t>
      </w:r>
    </w:p>
    <w:p>
      <w:pPr>
        <w:spacing w:after="0" w:line="225" w:lineRule="exact"/>
        <w:rPr>
          <w:rFonts w:ascii="Arial" w:cs="Arial" w:eastAsia="Arial" w:hAnsi="Arial"/>
          <w:sz w:val="18"/>
          <w:szCs w:val="18"/>
          <w:color w:val="auto"/>
        </w:rPr>
      </w:pPr>
    </w:p>
    <w:p>
      <w:pPr>
        <w:ind w:firstLine="656"/>
        <w:spacing w:after="0" w:line="254" w:lineRule="auto"/>
        <w:tabs>
          <w:tab w:leader="none" w:pos="93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Buyer hereby acknowledges that an investment in the Shares involves certain significant risks. The Buyer acknowledges that there is a substantial risk that it will lose all or a portion of its investment and that it is financially capable of bearing the risk of such investment for an indefinite period of time. The Buyer has no need for liquidity in its investment in the Shares for the foreseeable future and is able to bear the risk of that investment for an indefinite period. The Buyer understands that there presently is no public market for the Shares and none is anticipated to develop in the foreseeable future. The Buyer’s present financial condition is such that the Buyer is under no present or contemplated future need to dispose of any portion of the Shares subscribed for hereby to satisfy any existing or contemplated undertaking, need or indebtedness. The Buyer’s overall commitment to investments which are not readily marketable is not disproportionate to its net worth and the investment in the Company will not cause such overall commitment to become excessive.</w:t>
      </w:r>
    </w:p>
    <w:p>
      <w:pPr>
        <w:spacing w:after="0" w:line="191" w:lineRule="exact"/>
        <w:rPr>
          <w:rFonts w:ascii="Arial" w:cs="Arial" w:eastAsia="Arial" w:hAnsi="Arial"/>
          <w:sz w:val="18"/>
          <w:szCs w:val="18"/>
          <w:color w:val="auto"/>
        </w:rPr>
      </w:pPr>
    </w:p>
    <w:p>
      <w:pPr>
        <w:ind w:right="40" w:firstLine="655"/>
        <w:spacing w:after="0" w:line="254" w:lineRule="auto"/>
        <w:tabs>
          <w:tab w:leader="none" w:pos="9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Buyer acknowledges that the Shares have not been and will not be registered under the Securities Act, or any state securities act, and are being sold on the basis of exemptions from registration under the Securities Act and applicable state securities acts, except those state securities acts that require registration of the Shares thereunder. Reliance on such exemptions, where applicable, is predicated in part on the accuracy of the Buyer’s representations and warranties set forth herein. The Buyer acknowledges and hereby agrees that the Shares will not be transferable under any circumstances unless the Buyer either registers the Shares in accordance with federal and state securities laws or finds and complies with an available exemption under such laws. Accordingly, the Buyer hereby acknowledges that there can be no assurance that it will be able to liquidate its investment in the Company.</w:t>
      </w:r>
    </w:p>
    <w:p>
      <w:pPr>
        <w:spacing w:after="0" w:line="194" w:lineRule="exact"/>
        <w:rPr>
          <w:rFonts w:ascii="Arial" w:cs="Arial" w:eastAsia="Arial" w:hAnsi="Arial"/>
          <w:sz w:val="18"/>
          <w:szCs w:val="18"/>
          <w:color w:val="auto"/>
        </w:rPr>
      </w:pPr>
    </w:p>
    <w:p>
      <w:pPr>
        <w:ind w:right="160" w:firstLine="655"/>
        <w:spacing w:after="0" w:line="263" w:lineRule="auto"/>
        <w:tabs>
          <w:tab w:leader="none" w:pos="93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There are substantial risk factors pertaining to an investment in the Company. The Buyer acknowledges that it has read the information set forth above regarding certain of such risks and is familiar with the nature and scope of all such risks, including, without limitation, risks arising from the fact that the Company is an entity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217" w:name="page218"/>
    <w:bookmarkEnd w:id="217"/>
    <w:p>
      <w:pPr>
        <w:ind w:right="600"/>
        <w:spacing w:after="0" w:line="277" w:lineRule="auto"/>
        <w:rPr>
          <w:sz w:val="20"/>
          <w:szCs w:val="20"/>
          <w:color w:val="auto"/>
        </w:rPr>
      </w:pPr>
      <w:r>
        <w:rPr>
          <w:rFonts w:ascii="Arial" w:cs="Arial" w:eastAsia="Arial" w:hAnsi="Arial"/>
          <w:sz w:val="18"/>
          <w:szCs w:val="18"/>
          <w:color w:val="auto"/>
        </w:rPr>
        <w:t>limited operating history and financial resources; and the Buyer is fully able to bear the economic risks of such investment for an indefinite period, and can afford a complete loss thereof.</w:t>
      </w:r>
    </w:p>
    <w:p>
      <w:pPr>
        <w:spacing w:after="0" w:line="170" w:lineRule="exact"/>
        <w:rPr>
          <w:sz w:val="20"/>
          <w:szCs w:val="20"/>
          <w:color w:val="auto"/>
        </w:rPr>
      </w:pPr>
    </w:p>
    <w:p>
      <w:pPr>
        <w:ind w:right="120" w:firstLine="656"/>
        <w:spacing w:after="0" w:line="272" w:lineRule="auto"/>
        <w:tabs>
          <w:tab w:leader="none" w:pos="91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Buyer has been given the opportunity to (i) ask questions of and receive answers from the Company and its designated representatives concerning the terms and conditions of the offering, the Company and the business and financial condition of the Company and (ii) obtain any additional information that the Company possesses or can acquire without unreasonable effort or expense that is necessary to assist the Buyer in evaluating the advisability of the purchase of the Shares and an investment in the Company. The Buyer further represents and warrants that, prior to signing this Agreement, it has asked such questions, received such answers and obtained such information as it has deemed necessary or advisable to evaluate the merits and risks of the purchase of the Shares and an investment in the Company. The Buyer is not relying on any oral representation made by any person as to the Company or its operations, financial condition or prospects.</w:t>
      </w:r>
    </w:p>
    <w:p>
      <w:pPr>
        <w:spacing w:after="0" w:line="177" w:lineRule="exact"/>
        <w:rPr>
          <w:rFonts w:ascii="Arial" w:cs="Arial" w:eastAsia="Arial" w:hAnsi="Arial"/>
          <w:sz w:val="17"/>
          <w:szCs w:val="17"/>
          <w:color w:val="auto"/>
        </w:rPr>
      </w:pPr>
    </w:p>
    <w:p>
      <w:pPr>
        <w:ind w:right="1000" w:firstLine="656"/>
        <w:spacing w:after="0" w:line="277" w:lineRule="auto"/>
        <w:tabs>
          <w:tab w:leader="none" w:pos="100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Buyer understands that no federal, state or other governmental authority has made any recommendation, findings or determination relating to the merits of an investment in the Company.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color w:val="auto"/>
        </w:rPr>
        <w:t>Incorporation and Good Standing</w:t>
      </w:r>
      <w:r>
        <w:rPr>
          <w:rFonts w:ascii="Arial" w:cs="Arial" w:eastAsia="Arial" w:hAnsi="Arial"/>
          <w:sz w:val="18"/>
          <w:szCs w:val="18"/>
          <w:color w:val="auto"/>
        </w:rPr>
        <w:t>. The Company is an exempted company duly incorporated, validly existing, and in good standing under the laws of the Cayman Islands.</w:t>
      </w:r>
    </w:p>
    <w:p>
      <w:pPr>
        <w:spacing w:after="0" w:line="162"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b w:val="1"/>
          <w:bCs w:val="1"/>
          <w:color w:val="auto"/>
        </w:rPr>
        <w:t>Power and Authority; Enforceability</w:t>
      </w:r>
      <w:r>
        <w:rPr>
          <w:rFonts w:ascii="Arial" w:cs="Arial" w:eastAsia="Arial" w:hAnsi="Arial"/>
          <w:sz w:val="18"/>
          <w:szCs w:val="18"/>
          <w:color w:val="auto"/>
        </w:rPr>
        <w:t>. This Agreement constitutes the legal, valid, and binding obligation of the Company, enforceable against the Company in accordance with its terms. The Company has full power and authority to execute and deliver this Agreement and to perform its obligations hereunder. The Company has taken all actions necessary to authorize the execution and delivery of this Agreement, the performance of its obligations hereunder, and the consummation of the transactions contemplated hereby. This Agreement has been duly authorized, executed, and delivered by, and is enforceable against, the Company.</w:t>
      </w:r>
    </w:p>
    <w:p>
      <w:pPr>
        <w:spacing w:after="0" w:line="18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b w:val="1"/>
          <w:bCs w:val="1"/>
          <w:color w:val="auto"/>
        </w:rPr>
        <w:t>No Violation; Necessary Approvals</w:t>
      </w:r>
      <w:r>
        <w:rPr>
          <w:rFonts w:ascii="Arial" w:cs="Arial" w:eastAsia="Arial" w:hAnsi="Arial"/>
          <w:sz w:val="16"/>
          <w:szCs w:val="16"/>
          <w:color w:val="auto"/>
        </w:rPr>
        <w:t>. Neither the execution and delivery of this Agreement by the Company, nor the consummation or performance by the Company of any of the transactions contemplated hereby, will: (a) with or without notice or lapse of time, constitute, create or result in a breach or violation of, default under, loss of benefit or right under or acceleration of performance of any obligation required under any Law, Order, contract or Permit to which the Company is a party or by which it is bound or any of its assets are subject, or any provision of the Company’s organizational documents as in effect on the Closing Date, (b) result in the imposition of any lien, claim or encumbrance upon any assets owned by the Company; (c) require any Consent under any contract or organizational document to which the Company is a party or by which it is bound; or (d) require any Permit under any Law or Order other than (i) required filings, if any, with the SEC and (ii) notifications or other filings with state or federal regulatory agencies after the Closing that are necessary or convenient and do not require approval of the agency as a condition to the validity of the transactions contemplated hereunder; or (e) trigger any rights of first refusal, preferential purchase or similar rights with respect to any of the Shares.</w:t>
      </w:r>
    </w:p>
    <w:p>
      <w:pPr>
        <w:spacing w:after="0" w:line="166" w:lineRule="exact"/>
        <w:rPr>
          <w:sz w:val="20"/>
          <w:szCs w:val="20"/>
          <w:color w:val="auto"/>
        </w:rPr>
      </w:pPr>
    </w:p>
    <w:p>
      <w:pPr>
        <w:ind w:right="240" w:firstLine="648"/>
        <w:spacing w:after="0" w:line="289"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b w:val="1"/>
          <w:bCs w:val="1"/>
          <w:color w:val="auto"/>
        </w:rPr>
        <w:t>Authorization of the Shares</w:t>
      </w:r>
      <w:r>
        <w:rPr>
          <w:rFonts w:ascii="Arial" w:cs="Arial" w:eastAsia="Arial" w:hAnsi="Arial"/>
          <w:sz w:val="17"/>
          <w:szCs w:val="17"/>
          <w:color w:val="auto"/>
        </w:rPr>
        <w:t>. The Shares have been duly authorized and, when issued in accordance with this Agreement, the Shares will be duly and validly issued, fully paid and non-assessable Class B ordinary shares of the Company and will be free and clear of all Liens and claims, other than restrictions on transfer imposed by the Securities Act and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18" w:name="page219"/>
    <w:bookmarkEnd w:id="218"/>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together with any certificates, documents, instruments and writings that are delivered pursuant hereto,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b w:val="1"/>
          <w:bCs w:val="1"/>
          <w:color w:val="auto"/>
        </w:rPr>
        <w:t>Successors</w:t>
      </w:r>
      <w:r>
        <w:rPr>
          <w:rFonts w:ascii="Arial" w:cs="Arial" w:eastAsia="Arial" w:hAnsi="Arial"/>
          <w:sz w:val="18"/>
          <w:szCs w:val="18"/>
          <w:color w:val="auto"/>
        </w:rPr>
        <w:t>. All of the terms, agreements, covenants, representations, warranties, and conditions of this Agreement are binding upon, and inure to the benefit of and are enforceable by, the parties hereto and their respective successors.</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color w:val="auto"/>
        </w:rPr>
        <w:t>Assignments</w:t>
      </w:r>
      <w:r>
        <w:rPr>
          <w:rFonts w:ascii="Arial" w:cs="Arial" w:eastAsia="Arial" w:hAnsi="Arial"/>
          <w:sz w:val="18"/>
          <w:szCs w:val="18"/>
          <w:color w:val="auto"/>
        </w:rPr>
        <w:t xml:space="preserve">. Except as otherwise provided herein, no party hereto may assign either this Agreement or any of its rights, interests, or obligations hereunder without the prior written approval of the other party. Any purported assignment in violation of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be void and ineffectual and shall not operate to transfer or assign any interest or title to the purported assignee.</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b w:val="1"/>
          <w:bCs w:val="1"/>
          <w:color w:val="auto"/>
        </w:rPr>
        <w:t>Waiver of Jury Trial</w:t>
      </w:r>
      <w:r>
        <w:rPr>
          <w:rFonts w:ascii="Arial" w:cs="Arial" w:eastAsia="Arial" w:hAnsi="Arial"/>
          <w:sz w:val="17"/>
          <w:szCs w:val="17"/>
          <w:color w:val="auto"/>
        </w:rPr>
        <w:t>. THE PARTIES HERETO EACH HEREBY AGREE TO WAIVE THEIR RESPECTIVE RIGHTS TO JURY TRIAL OF ANY DISPUTE BASED UPON OR ARISING OUT OF THIS AGREEMENT OR ANY OTHER AGREEMENTS RELATING HERETO OR ANY DEALINGS AMONG THEM RELATING TO THE TRANSACTIONS. THE SCOPE OF THIS WAIVER IS INTENDED TO BE ALL ENCOMPASSING OF ANY AND ALL ACTIONS THAT MAY BE FILED IN ANY COURT AND THAT RELATE TO THE SUBJECT MATTER OF THE TRANSACTIONS, INCLUDING, CONTRACT CLAIMS, TORT CLAIMS, BREACH OF DUTY CLAIMS, AND ALL OTHER COMMON LAW AND STATUTORY CLAIMS. THE PARTIES HERETO EACH ACKNOWLEDGE THAT THIS WAIVER IS A MATERIAL INDUCEMENT TO ENTER INTO A BUSINESS RELATIONSHIP AND THAT THEY WILL CONTINUE TO RELY ON THE WAIVER IN THEIR RELATED FUTURE DEALINGS. EACH PARTY HERETO FURTHER REPRESENTS AND WARRANTS THAT IT HAS REVIEWED THIS WAIVER WITH ITS LEGAL COUNSEL, AND THAT EACH KNOWINGLY AND VOLUNTARILY WAIVES ITS JURY TRIAL RIGHTS FOLLOWING CONSULTATION WITH LEGAL COUNSEL. NOTWITHSTANDING ANYTHING TO THE CONTRARY HEREIN, THIS WAIVER IS IRREVOCABLE, MEANING THAT IT MAY NOT BE MODIFIED ORALLY OR IN WRITING, AND THE WAIVER WILL APPLY TO ANY AMENDMENTS, RENEWALS, SUPPLEMENTS OR MODIFICATIONS TO THIS AGREEMENT OR TO ANY OTHER DOCUMENTS OR AGREEMENTS RELATING HERETO. IN THE EVENT OF AN ACTION, THIS AGREEMENT MAY BE FILED AS A WRITTEN CONSENT TO TRIAL BY A COURT.</w:t>
      </w:r>
    </w:p>
    <w:p>
      <w:pPr>
        <w:spacing w:after="0" w:line="176"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or more counterparts, each of which will be deemed an original but all of which together will constitute one and the same instrument.</w:t>
      </w:r>
    </w:p>
    <w:p>
      <w:pPr>
        <w:spacing w:after="0" w:line="162"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b w:val="1"/>
          <w:bCs w:val="1"/>
          <w:color w:val="auto"/>
        </w:rPr>
        <w:t>Headings</w:t>
      </w:r>
      <w:r>
        <w:rPr>
          <w:rFonts w:ascii="Arial" w:cs="Arial" w:eastAsia="Arial" w:hAnsi="Arial"/>
          <w:sz w:val="18"/>
          <w:szCs w:val="18"/>
          <w:color w:val="auto"/>
        </w:rPr>
        <w:t>. The article and section headings contained in this Agreement are inserted for convenience only and will not affect in any way the meaning or interpretation of this Agreement.</w:t>
      </w:r>
    </w:p>
    <w:p>
      <w:pPr>
        <w:spacing w:after="0" w:line="162"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the entire relationship of the parties hereto, and any litigation between the parties (whether grounded in contract, tort, statute, law or equity) shall be governed by, construed in accordance with, and interpreted pursuant to the laws of the State of Delaware, without giving effect to its choice of laws principles.</w:t>
      </w:r>
    </w:p>
    <w:p>
      <w:pPr>
        <w:spacing w:after="0" w:line="176"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b w:val="1"/>
          <w:bCs w:val="1"/>
          <w:color w:val="auto"/>
        </w:rPr>
        <w:t>Amendments</w:t>
      </w:r>
      <w:r>
        <w:rPr>
          <w:rFonts w:ascii="Arial" w:cs="Arial" w:eastAsia="Arial" w:hAnsi="Arial"/>
          <w:sz w:val="18"/>
          <w:szCs w:val="18"/>
          <w:color w:val="auto"/>
        </w:rPr>
        <w:t>. This Agreement may not be amended, modified or waived as to any particular provision, except by a written instrument executed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219" w:name="page220"/>
    <w:bookmarkEnd w:id="219"/>
    <w:p>
      <w:pPr>
        <w:ind w:right="140" w:firstLine="648"/>
        <w:spacing w:after="0" w:line="256"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b w:val="1"/>
          <w:bCs w:val="1"/>
          <w:color w:val="auto"/>
        </w:rPr>
        <w:t>Severability</w:t>
      </w:r>
      <w:r>
        <w:rPr>
          <w:rFonts w:ascii="Arial" w:cs="Arial" w:eastAsia="Arial" w:hAnsi="Arial"/>
          <w:sz w:val="18"/>
          <w:szCs w:val="18"/>
          <w:color w:val="auto"/>
        </w:rPr>
        <w:t>. The provisions of this Agreement will be deemed severable and the invalidity or unenforceability of any provision will not affect the validity or enforceability of the other provisions hereof; provided that if any provision of this Agreement, as applied to any party hereto or to any circumstance, is adjudged by a Governmental Body, arbitrator, or mediator not to be enforceable in accordance with its terms, the parties hereto agree that the Governmental Body,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b w:val="1"/>
          <w:bCs w:val="1"/>
          <w:color w:val="auto"/>
        </w:rPr>
        <w:t>Expenses</w:t>
      </w:r>
      <w:r>
        <w:rPr>
          <w:rFonts w:ascii="Arial" w:cs="Arial" w:eastAsia="Arial" w:hAnsi="Arial"/>
          <w:sz w:val="17"/>
          <w:szCs w:val="17"/>
          <w:color w:val="auto"/>
        </w:rPr>
        <w:t>. Except as otherwise expressly provided in this Agreement, each party hereto will bear its own costs and expenses incurred in connection with the preparation, execution and performance of this Agreement and the consummation of the transactions contemplated hereby, including all fees and expenses of agents, representatives, financial advisors, legal counsel and accountants.</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b w:val="1"/>
          <w:bCs w:val="1"/>
          <w:color w:val="auto"/>
        </w:rPr>
        <w:t>Construction</w:t>
      </w:r>
      <w:r>
        <w:rPr>
          <w:rFonts w:ascii="Arial" w:cs="Arial" w:eastAsia="Arial" w:hAnsi="Arial"/>
          <w:sz w:val="17"/>
          <w:szCs w:val="17"/>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Arial" w:cs="Arial" w:eastAsia="Arial" w:hAnsi="Arial"/>
          <w:sz w:val="17"/>
          <w:szCs w:val="17"/>
          <w:i w:val="1"/>
          <w:iCs w:val="1"/>
          <w:color w:val="auto"/>
        </w:rPr>
        <w:t>include,</w:t>
      </w:r>
      <w:r>
        <w:rPr>
          <w:rFonts w:ascii="Arial" w:cs="Arial" w:eastAsia="Arial" w:hAnsi="Arial"/>
          <w:sz w:val="17"/>
          <w:szCs w:val="17"/>
          <w:color w:val="auto"/>
        </w:rPr>
        <w:t>” “</w:t>
      </w:r>
      <w:r>
        <w:rPr>
          <w:rFonts w:ascii="Arial" w:cs="Arial" w:eastAsia="Arial" w:hAnsi="Arial"/>
          <w:sz w:val="17"/>
          <w:szCs w:val="17"/>
          <w:i w:val="1"/>
          <w:iCs w:val="1"/>
          <w:color w:val="auto"/>
        </w:rPr>
        <w:t>includes,”</w:t>
      </w:r>
      <w:r>
        <w:rPr>
          <w:rFonts w:ascii="Arial" w:cs="Arial" w:eastAsia="Arial" w:hAnsi="Arial"/>
          <w:sz w:val="17"/>
          <w:szCs w:val="17"/>
          <w:color w:val="auto"/>
        </w:rPr>
        <w:t xml:space="preserve"> and “</w:t>
      </w:r>
      <w:r>
        <w:rPr>
          <w:rFonts w:ascii="Arial" w:cs="Arial" w:eastAsia="Arial" w:hAnsi="Arial"/>
          <w:sz w:val="17"/>
          <w:szCs w:val="17"/>
          <w:i w:val="1"/>
          <w:iCs w:val="1"/>
          <w:color w:val="auto"/>
        </w:rPr>
        <w:t>including</w:t>
      </w:r>
      <w:r>
        <w:rPr>
          <w:rFonts w:ascii="Arial" w:cs="Arial" w:eastAsia="Arial" w:hAnsi="Arial"/>
          <w:sz w:val="17"/>
          <w:szCs w:val="17"/>
          <w:color w:val="auto"/>
        </w:rPr>
        <w:t xml:space="preserve"> ” will be deemed to be followed by “</w:t>
      </w:r>
      <w:r>
        <w:rPr>
          <w:rFonts w:ascii="Arial" w:cs="Arial" w:eastAsia="Arial" w:hAnsi="Arial"/>
          <w:sz w:val="17"/>
          <w:szCs w:val="17"/>
          <w:i w:val="1"/>
          <w:iCs w:val="1"/>
          <w:color w:val="auto"/>
        </w:rPr>
        <w:t>without limitation.</w:t>
      </w:r>
      <w:r>
        <w:rPr>
          <w:rFonts w:ascii="Arial" w:cs="Arial" w:eastAsia="Arial" w:hAnsi="Arial"/>
          <w:sz w:val="17"/>
          <w:szCs w:val="17"/>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7"/>
          <w:szCs w:val="17"/>
          <w:i w:val="1"/>
          <w:iCs w:val="1"/>
          <w:color w:val="auto"/>
        </w:rPr>
        <w:t>this Agreement,</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hereby,</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79"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b w:val="1"/>
          <w:bCs w:val="1"/>
          <w:color w:val="auto"/>
        </w:rPr>
        <w:t>Waiver</w:t>
      </w:r>
      <w:r>
        <w:rPr>
          <w:rFonts w:ascii="Arial" w:cs="Arial" w:eastAsia="Arial" w:hAnsi="Arial"/>
          <w:sz w:val="18"/>
          <w:szCs w:val="18"/>
          <w:color w:val="auto"/>
        </w:rPr>
        <w:t>. No waiver by any party hereto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occurrence.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20" w:name="page221"/>
    <w:bookmarkEnd w:id="22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executed this Agreement to be effective as of the date first set forth above.</w:t>
      </w:r>
    </w:p>
    <w:p>
      <w:pPr>
        <w:spacing w:after="0" w:line="200" w:lineRule="exact"/>
        <w:rPr>
          <w:sz w:val="20"/>
          <w:szCs w:val="20"/>
          <w:color w:val="auto"/>
        </w:rPr>
      </w:pPr>
    </w:p>
    <w:p>
      <w:pPr>
        <w:spacing w:after="0" w:line="26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08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14605</wp:posOffset>
            </wp:positionV>
            <wp:extent cx="30600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740" w:val="left"/>
        </w:tabs>
        <w:rPr>
          <w:sz w:val="20"/>
          <w:szCs w:val="20"/>
          <w:color w:val="auto"/>
        </w:rPr>
      </w:pPr>
      <w:r>
        <w:rPr>
          <w:rFonts w:ascii="Arial" w:cs="Arial" w:eastAsia="Arial" w:hAnsi="Arial"/>
          <w:sz w:val="18"/>
          <w:szCs w:val="18"/>
          <w:color w:val="auto"/>
        </w:rPr>
        <w:t>Name:</w:t>
        <w:tab/>
        <w:t>Scott Gordon</w:t>
      </w:r>
    </w:p>
    <w:p>
      <w:pPr>
        <w:spacing w:after="0" w:line="23" w:lineRule="exact"/>
        <w:rPr>
          <w:sz w:val="20"/>
          <w:szCs w:val="20"/>
          <w:color w:val="auto"/>
        </w:rPr>
      </w:pPr>
    </w:p>
    <w:p>
      <w:pPr>
        <w:ind w:left="5080"/>
        <w:spacing w:after="0"/>
        <w:tabs>
          <w:tab w:leader="none" w:pos="5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SILVER SPIKE SPONSOR, LLC</w:t>
      </w:r>
    </w:p>
    <w:p>
      <w:pPr>
        <w:spacing w:after="0" w:line="229" w:lineRule="exact"/>
        <w:rPr>
          <w:sz w:val="20"/>
          <w:szCs w:val="20"/>
          <w:color w:val="auto"/>
        </w:rPr>
      </w:pPr>
    </w:p>
    <w:p>
      <w:pPr>
        <w:ind w:left="508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14605</wp:posOffset>
            </wp:positionV>
            <wp:extent cx="30600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740" w:val="left"/>
        </w:tabs>
        <w:rPr>
          <w:sz w:val="20"/>
          <w:szCs w:val="20"/>
          <w:color w:val="auto"/>
        </w:rPr>
      </w:pPr>
      <w:r>
        <w:rPr>
          <w:rFonts w:ascii="Arial" w:cs="Arial" w:eastAsia="Arial" w:hAnsi="Arial"/>
          <w:sz w:val="18"/>
          <w:szCs w:val="18"/>
          <w:color w:val="auto"/>
        </w:rPr>
        <w:t>Name:</w:t>
        <w:tab/>
        <w:t>Scott Gordon</w:t>
      </w:r>
    </w:p>
    <w:p>
      <w:pPr>
        <w:spacing w:after="0" w:line="23" w:lineRule="exact"/>
        <w:rPr>
          <w:sz w:val="20"/>
          <w:szCs w:val="20"/>
          <w:color w:val="auto"/>
        </w:rPr>
      </w:pPr>
    </w:p>
    <w:p>
      <w:pPr>
        <w:ind w:left="5080"/>
        <w:spacing w:after="0"/>
        <w:tabs>
          <w:tab w:leader="none" w:pos="5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640080</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479"/>
      </w:cols>
      <w:pgMar w:left="980" w:top="7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1)"/>
      <w:numFmt w:val="decimal"/>
      <w:start w:val="1"/>
    </w:lvl>
  </w:abstractNum>
  <w:abstractNum w:abstractNumId="2">
    <w:nsid w:val="799D0247"/>
    <w:multiLevelType w:val="hybridMultilevel"/>
    <w:lvl w:ilvl="0">
      <w:lvlJc w:val="left"/>
      <w:lvlText w:val="(%1)"/>
      <w:numFmt w:val="upperLetter"/>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1)"/>
      <w:numFmt w:val="decimal"/>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1)"/>
      <w:numFmt w:val="upperLetter"/>
      <w:start w:val="2"/>
    </w:lvl>
  </w:abstractNum>
  <w:abstractNum w:abstractNumId="12">
    <w:nsid w:val="613EFDC5"/>
    <w:multiLevelType w:val="hybridMultilevel"/>
    <w:lvl w:ilvl="0">
      <w:lvlJc w:val="left"/>
      <w:lvlText w:val="(%1)"/>
      <w:numFmt w:val="decimal"/>
      <w:start w:val="2"/>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1)"/>
      <w:numFmt w:val="decimal"/>
      <w:start w:val="2"/>
    </w:lvl>
  </w:abstractNum>
  <w:abstractNum w:abstractNumId="18">
    <w:nsid w:val="1A32234B"/>
    <w:multiLevelType w:val="hybridMultilevel"/>
    <w:lvl w:ilvl="0">
      <w:lvlJc w:val="left"/>
      <w:lvlText w:val="(%1)"/>
      <w:numFmt w:val="decimal"/>
      <w:start w:val="2"/>
    </w:lvl>
    <w:lvl w:ilvl="1">
      <w:lvlJc w:val="left"/>
      <w:lvlText w:val="·"/>
      <w:numFmt w:val="bullet"/>
      <w:start w:val="1"/>
    </w:lvl>
  </w:abstractNum>
  <w:abstractNum w:abstractNumId="19">
    <w:nsid w:val="3B0FD379"/>
    <w:multiLevelType w:val="hybridMultilevel"/>
    <w:lvl w:ilvl="0">
      <w:lvlJc w:val="left"/>
      <w:lvlText w:val="(%1)"/>
      <w:numFmt w:val="upperLetter"/>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1)"/>
      <w:numFmt w:val="lowerRoman"/>
      <w:start w:val="1"/>
    </w:lvl>
  </w:abstractNum>
  <w:abstractNum w:abstractNumId="23">
    <w:nsid w:val="6A5EE64"/>
    <w:multiLevelType w:val="hybridMultilevel"/>
    <w:lvl w:ilvl="0">
      <w:lvlJc w:val="left"/>
      <w:lvlText w:val="(%1)"/>
      <w:numFmt w:val="decimal"/>
      <w:start w:val="3"/>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1)"/>
      <w:numFmt w:val="lowerRoman"/>
      <w:start w:val="2"/>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1)"/>
      <w:numFmt w:val="decimal"/>
      <w:start w:val="1"/>
    </w:lvl>
  </w:abstractNum>
  <w:abstractNum w:abstractNumId="31">
    <w:nsid w:val="6F6DD9AC"/>
    <w:multiLevelType w:val="hybridMultilevel"/>
    <w:lvl w:ilvl="0">
      <w:lvlJc w:val="left"/>
      <w:lvlText w:val="(%1)"/>
      <w:numFmt w:val="decimal"/>
      <w:start w:val="3"/>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1)"/>
      <w:numFmt w:val="decimal"/>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amp;"/>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1)"/>
      <w:numFmt w:val="lowerLetter"/>
      <w:start w:val="3"/>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1)"/>
      <w:numFmt w:val="decimal"/>
      <w:start w:val="1"/>
    </w:lvl>
  </w:abstractNum>
  <w:abstractNum w:abstractNumId="46">
    <w:nsid w:val="CC1016F"/>
    <w:multiLevelType w:val="hybridMultilevel"/>
    <w:lvl w:ilvl="0">
      <w:lvlJc w:val="left"/>
      <w:lvlText w:val="(%1)"/>
      <w:numFmt w:val="upperLetter"/>
      <w:start w:val="2"/>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1)"/>
      <w:numFmt w:val="upperLetter"/>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1)"/>
      <w:numFmt w:val="decimal"/>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1)"/>
      <w:numFmt w:val="decimal"/>
      <w:start w:val="4"/>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1)"/>
      <w:numFmt w:val="lowerRoman"/>
      <w:start w:val="10"/>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1)"/>
      <w:numFmt w:val="lowerLetter"/>
      <w:start w:val="1"/>
    </w:lvl>
  </w:abstractNum>
  <w:abstractNum w:abstractNumId="74">
    <w:nsid w:val="1D545C4D"/>
    <w:multiLevelType w:val="hybridMultilevel"/>
    <w:lvl w:ilvl="0">
      <w:lvlJc w:val="left"/>
      <w:lvlText w:val="(%1)"/>
      <w:numFmt w:val="lowerRoman"/>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1."/>
      <w:numFmt w:val="decimal"/>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1)"/>
      <w:numFmt w:val="decimal"/>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1)"/>
      <w:numFmt w:val="decimal"/>
      <w:start w:val="1"/>
    </w:lvl>
  </w:abstractNum>
  <w:abstractNum w:abstractNumId="88">
    <w:nsid w:val="E7FFA2B"/>
    <w:multiLevelType w:val="hybridMultilevel"/>
    <w:lvl w:ilvl="0">
      <w:lvlJc w:val="left"/>
      <w:lvlText w:val="(%1)"/>
      <w:numFmt w:val="decimal"/>
      <w:start w:val="1"/>
    </w:lvl>
  </w:abstractNum>
  <w:abstractNum w:abstractNumId="89">
    <w:nsid w:val="3C5991AA"/>
    <w:multiLevelType w:val="hybridMultilevel"/>
    <w:lvl w:ilvl="0">
      <w:lvlJc w:val="left"/>
      <w:lvlText w:val="(%1)"/>
      <w:numFmt w:val="decimal"/>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1)"/>
      <w:numFmt w:val="lowerLetter"/>
      <w:start w:val="1"/>
    </w:lvl>
  </w:abstractNum>
  <w:abstractNum w:abstractNumId="93">
    <w:nsid w:val="2B0D8DBE"/>
    <w:multiLevelType w:val="hybridMultilevel"/>
    <w:lvl w:ilvl="0">
      <w:lvlJc w:val="left"/>
      <w:lvlText w:val="*"/>
      <w:numFmt w:val="bullet"/>
      <w:start w:val="1"/>
    </w:lvl>
    <w:lvl w:ilvl="1">
      <w:lvlJc w:val="left"/>
      <w:lvlText w:val="%2"/>
      <w:numFmt w:val="decimal"/>
      <w:start w:val="24"/>
    </w:lvl>
  </w:abstractNum>
  <w:abstractNum w:abstractNumId="94">
    <w:nsid w:val="6C80EC70"/>
    <w:multiLevelType w:val="hybridMultilevel"/>
    <w:lvl w:ilvl="0">
      <w:lvlJc w:val="left"/>
      <w:lvlText w:val="(%1)"/>
      <w:numFmt w:val="lowerLetter"/>
      <w:start w:val="2"/>
    </w:lvl>
  </w:abstractNum>
  <w:abstractNum w:abstractNumId="95">
    <w:nsid w:val="379E21B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6">
    <w:nsid w:val="69E373"/>
    <w:multiLevelType w:val="hybridMultilevel"/>
    <w:lvl w:ilvl="0">
      <w:lvlJc w:val="left"/>
      <w:lvlText w:val="1"/>
      <w:numFmt w:val="bullet"/>
      <w:start w:val="1"/>
    </w:lvl>
  </w:abstractNum>
  <w:abstractNum w:abstractNumId="97">
    <w:nsid w:val="2C27173B"/>
    <w:multiLevelType w:val="hybridMultilevel"/>
    <w:lvl w:ilvl="0">
      <w:lvlJc w:val="left"/>
      <w:lvlText w:val="2"/>
      <w:numFmt w:val="bullet"/>
      <w:start w:val="1"/>
    </w:lvl>
  </w:abstractNum>
  <w:abstractNum w:abstractNumId="98">
    <w:nsid w:val="4C9B0904"/>
    <w:multiLevelType w:val="hybridMultilevel"/>
    <w:lvl w:ilvl="0">
      <w:lvlJc w:val="left"/>
      <w:lvlText w:val="3"/>
      <w:numFmt w:val="bullet"/>
      <w:start w:val="1"/>
    </w:lvl>
  </w:abstractNum>
  <w:abstractNum w:abstractNumId="99">
    <w:nsid w:val="6AA7B75C"/>
    <w:multiLevelType w:val="hybridMultilevel"/>
    <w:lvl w:ilvl="0">
      <w:lvlJc w:val="left"/>
      <w:lvlText w:val="4"/>
      <w:numFmt w:val="bullet"/>
      <w:start w:val="1"/>
    </w:lvl>
  </w:abstractNum>
  <w:abstractNum w:abstractNumId="100">
    <w:nsid w:val="1DF029D3"/>
    <w:multiLevelType w:val="hybridMultilevel"/>
    <w:lvl w:ilvl="0">
      <w:lvlJc w:val="left"/>
      <w:lvlText w:val="5"/>
      <w:numFmt w:val="bullet"/>
      <w:start w:val="1"/>
    </w:lvl>
  </w:abstractNum>
  <w:abstractNum w:abstractNumId="101">
    <w:nsid w:val="5675FF36"/>
    <w:multiLevelType w:val="hybridMultilevel"/>
    <w:lvl w:ilvl="0">
      <w:lvlJc w:val="left"/>
      <w:lvlText w:val="6"/>
      <w:numFmt w:val="bullet"/>
      <w:start w:val="1"/>
    </w:lvl>
  </w:abstractNum>
  <w:abstractNum w:abstractNumId="102">
    <w:nsid w:val="3DD15094"/>
    <w:multiLevelType w:val="hybridMultilevel"/>
    <w:lvl w:ilvl="0">
      <w:lvlJc w:val="left"/>
      <w:lvlText w:val="7"/>
      <w:numFmt w:val="bullet"/>
      <w:start w:val="1"/>
    </w:lvl>
  </w:abstractNum>
  <w:abstractNum w:abstractNumId="103">
    <w:nsid w:val="3DB012B3"/>
    <w:multiLevelType w:val="hybridMultilevel"/>
    <w:lvl w:ilvl="0">
      <w:lvlJc w:val="left"/>
      <w:lvlText w:val="1"/>
      <w:numFmt w:val="bullet"/>
      <w:start w:val="1"/>
    </w:lvl>
  </w:abstractNum>
  <w:abstractNum w:abstractNumId="104">
    <w:nsid w:val="2708C9AF"/>
    <w:multiLevelType w:val="hybridMultilevel"/>
    <w:lvl w:ilvl="0">
      <w:lvlJc w:val="left"/>
      <w:lvlText w:val="(%1)"/>
      <w:numFmt w:val="lowerLetter"/>
      <w:start w:val="1"/>
    </w:lvl>
  </w:abstractNum>
  <w:abstractNum w:abstractNumId="105">
    <w:nsid w:val="5B25ACE2"/>
    <w:multiLevelType w:val="hybridMultilevel"/>
    <w:lvl w:ilvl="0">
      <w:lvlJc w:val="left"/>
      <w:lvlText w:val="(%1)"/>
      <w:numFmt w:val="lowerLetter"/>
      <w:start w:val="12"/>
    </w:lvl>
  </w:abstractNum>
  <w:abstractNum w:abstractNumId="106">
    <w:nsid w:val="175DFCF0"/>
    <w:multiLevelType w:val="hybridMultilevel"/>
    <w:lvl w:ilvl="0">
      <w:lvlJc w:val="left"/>
      <w:lvlText w:val="2"/>
      <w:numFmt w:val="bullet"/>
      <w:start w:val="1"/>
    </w:lvl>
  </w:abstractNum>
  <w:abstractNum w:abstractNumId="107">
    <w:nsid w:val="4F97E3E4"/>
    <w:multiLevelType w:val="hybridMultilevel"/>
    <w:lvl w:ilvl="0">
      <w:lvlJc w:val="left"/>
      <w:lvlText w:val="3"/>
      <w:numFmt w:val="bullet"/>
      <w:start w:val="1"/>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4"/>
      <w:numFmt w:val="bullet"/>
      <w:start w:val="1"/>
    </w:lvl>
  </w:abstractNum>
  <w:abstractNum w:abstractNumId="110">
    <w:nsid w:val="5915FF32"/>
    <w:multiLevelType w:val="hybridMultilevel"/>
    <w:lvl w:ilvl="0">
      <w:lvlJc w:val="left"/>
      <w:lvlText w:val="5"/>
      <w:numFmt w:val="bullet"/>
      <w:start w:val="1"/>
    </w:lvl>
  </w:abstractNum>
  <w:abstractNum w:abstractNumId="111">
    <w:nsid w:val="56438D15"/>
    <w:multiLevelType w:val="hybridMultilevel"/>
    <w:lvl w:ilvl="0">
      <w:lvlJc w:val="left"/>
      <w:lvlText w:val="6"/>
      <w:numFmt w:val="bullet"/>
      <w:start w:val="1"/>
    </w:lvl>
  </w:abstractNum>
  <w:abstractNum w:abstractNumId="112">
    <w:nsid w:val="519E3149"/>
    <w:multiLevelType w:val="hybridMultilevel"/>
    <w:lvl w:ilvl="0">
      <w:lvlJc w:val="left"/>
      <w:lvlText w:val="7"/>
      <w:numFmt w:val="bullet"/>
      <w:start w:val="1"/>
    </w:lvl>
  </w:abstractNum>
  <w:abstractNum w:abstractNumId="113">
    <w:nsid w:val="2C6E4AFD"/>
    <w:multiLevelType w:val="hybridMultilevel"/>
    <w:lvl w:ilvl="0">
      <w:lvlJc w:val="left"/>
      <w:lvlText w:val="8"/>
      <w:numFmt w:val="bullet"/>
      <w:start w:val="1"/>
    </w:lvl>
  </w:abstractNum>
  <w:abstractNum w:abstractNumId="114">
    <w:nsid w:val="17A1B582"/>
    <w:multiLevelType w:val="hybridMultilevel"/>
    <w:lvl w:ilvl="0">
      <w:lvlJc w:val="left"/>
      <w:lvlText w:val="9"/>
      <w:numFmt w:val="bullet"/>
      <w:start w:val="1"/>
    </w:lvl>
  </w:abstractNum>
  <w:abstractNum w:abstractNumId="115">
    <w:nsid w:val="4DF72E4E"/>
    <w:multiLevelType w:val="hybridMultilevel"/>
    <w:lvl w:ilvl="0">
      <w:lvlJc w:val="left"/>
      <w:lvlText w:val="%1"/>
      <w:numFmt w:val="decimal"/>
      <w:start w:val="11"/>
    </w:lvl>
  </w:abstractNum>
  <w:abstractNum w:abstractNumId="116">
    <w:nsid w:val="5046B5A9"/>
    <w:multiLevelType w:val="hybridMultilevel"/>
    <w:lvl w:ilvl="0">
      <w:lvlJc w:val="left"/>
      <w:lvlText w:val="(%1)"/>
      <w:numFmt w:val="lowerLetter"/>
      <w:start w:val="1"/>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lowerLetter"/>
      <w:start w:val="3"/>
    </w:lvl>
  </w:abstractNum>
  <w:abstractNum w:abstractNumId="119">
    <w:nsid w:val="5EC6AFD4"/>
    <w:multiLevelType w:val="hybridMultilevel"/>
    <w:lvl w:ilvl="0">
      <w:lvlJc w:val="left"/>
      <w:lvlText w:val="%1"/>
      <w:numFmt w:val="decimal"/>
      <w:start w:val="19"/>
    </w:lvl>
  </w:abstractNum>
  <w:abstractNum w:abstractNumId="120">
    <w:nsid w:val="19E21BB2"/>
    <w:multiLevelType w:val="hybridMultilevel"/>
    <w:lvl w:ilvl="0">
      <w:lvlJc w:val="left"/>
      <w:lvlText w:val="(%1)"/>
      <w:numFmt w:val="lowerLetter"/>
      <w:start w:val="1"/>
    </w:lvl>
  </w:abstractNum>
  <w:abstractNum w:abstractNumId="121">
    <w:nsid w:val="75E0858A"/>
    <w:multiLevelType w:val="hybridMultilevel"/>
    <w:lvl w:ilvl="0">
      <w:lvlJc w:val="left"/>
      <w:lvlText w:val="%1"/>
      <w:numFmt w:val="decimal"/>
      <w:start w:val="25"/>
    </w:lvl>
  </w:abstractNum>
  <w:abstractNum w:abstractNumId="122">
    <w:nsid w:val="57A61A29"/>
    <w:multiLevelType w:val="hybridMultilevel"/>
    <w:lvl w:ilvl="0">
      <w:lvlJc w:val="left"/>
      <w:lvlText w:val="%1"/>
      <w:numFmt w:val="decimal"/>
      <w:start w:val="26"/>
    </w:lvl>
  </w:abstractNum>
  <w:abstractNum w:abstractNumId="123">
    <w:nsid w:val="5399C654"/>
    <w:multiLevelType w:val="hybridMultilevel"/>
    <w:lvl w:ilvl="0">
      <w:lvlJc w:val="left"/>
      <w:lvlText w:val="%1"/>
      <w:numFmt w:val="decimal"/>
      <w:start w:val="30"/>
    </w:lvl>
    <w:lvl w:ilvl="1">
      <w:lvlJc w:val="left"/>
      <w:lvlText w:val="(%2)"/>
      <w:numFmt w:val="lowerLetter"/>
      <w:start w:val="1"/>
    </w:lvl>
  </w:abstractNum>
  <w:abstractNum w:abstractNumId="124">
    <w:nsid w:val="20EE1348"/>
    <w:multiLevelType w:val="hybridMultilevel"/>
    <w:lvl w:ilvl="0">
      <w:lvlJc w:val="left"/>
      <w:lvlText w:val="%1"/>
      <w:numFmt w:val="decimal"/>
      <w:start w:val="32"/>
    </w:lvl>
  </w:abstractNum>
  <w:abstractNum w:abstractNumId="125">
    <w:nsid w:val="4427069A"/>
    <w:multiLevelType w:val="hybridMultilevel"/>
    <w:lvl w:ilvl="0">
      <w:lvlJc w:val="left"/>
      <w:lvlText w:val="%1"/>
      <w:numFmt w:val="decimal"/>
      <w:start w:val="34"/>
    </w:lvl>
  </w:abstractNum>
  <w:abstractNum w:abstractNumId="126">
    <w:nsid w:val="B37E80A"/>
    <w:multiLevelType w:val="hybridMultilevel"/>
    <w:lvl w:ilvl="0">
      <w:lvlJc w:val="left"/>
      <w:lvlText w:val="%1"/>
      <w:numFmt w:val="decimal"/>
      <w:start w:val="37"/>
    </w:lvl>
  </w:abstractNum>
  <w:abstractNum w:abstractNumId="127">
    <w:nsid w:val="2157F6BC"/>
    <w:multiLevelType w:val="hybridMultilevel"/>
    <w:lvl w:ilvl="0">
      <w:lvlJc w:val="left"/>
      <w:lvlText w:val="%1"/>
      <w:numFmt w:val="decimal"/>
      <w:start w:val="4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decimal"/>
      <w:start w:val="47"/>
    </w:lvl>
  </w:abstractNum>
  <w:abstractNum w:abstractNumId="130">
    <w:nsid w:val="BFFAE18"/>
    <w:multiLevelType w:val="hybridMultilevel"/>
    <w:lvl w:ilvl="0">
      <w:lvlJc w:val="left"/>
      <w:lvlText w:val="%1."/>
      <w:numFmt w:val="decimal"/>
      <w:start w:val="1"/>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decimal"/>
      <w:start w:val="5"/>
    </w:lvl>
  </w:abstractNum>
  <w:abstractNum w:abstractNumId="133">
    <w:nsid w:val="49D0FEAC"/>
    <w:multiLevelType w:val="hybridMultilevel"/>
    <w:lvl w:ilvl="0">
      <w:lvlJc w:val="left"/>
      <w:lvlText w:val="(%1)"/>
      <w:numFmt w:val="lowerLetter"/>
      <w:start w:val="1"/>
    </w:lvl>
  </w:abstractNum>
  <w:abstractNum w:abstractNumId="134">
    <w:nsid w:val="4BEE5A5B"/>
    <w:multiLevelType w:val="hybridMultilevel"/>
    <w:lvl w:ilvl="0">
      <w:lvlJc w:val="left"/>
      <w:lvlText w:val="%1."/>
      <w:numFmt w:val="decimal"/>
      <w:start w:val="6"/>
    </w:lvl>
  </w:abstractNum>
  <w:abstractNum w:abstractNumId="135">
    <w:nsid w:val="5551B9F3"/>
    <w:multiLevelType w:val="hybridMultilevel"/>
    <w:lvl w:ilvl="0">
      <w:lvlJc w:val="left"/>
      <w:lvlText w:val="%1."/>
      <w:numFmt w:val="decimal"/>
      <w:start w:val="11"/>
    </w:lvl>
  </w:abstractNum>
  <w:abstractNum w:abstractNumId="136">
    <w:nsid w:val="24F6AB8E"/>
    <w:multiLevelType w:val="hybridMultilevel"/>
    <w:lvl w:ilvl="0">
      <w:lvlJc w:val="left"/>
      <w:lvlText w:val="(%1)"/>
      <w:numFmt w:val="lowerLetter"/>
      <w:start w:val="1"/>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2020-03-14T20:47:34Z</dcterms:created>
  <dcterms:modified xsi:type="dcterms:W3CDTF">2020-03-14T20:47:34Z</dcterms:modified>
</cp:coreProperties>
</file>