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Executive Chair</w:t>
      </w:r>
    </w:p>
    <w:p>
      <w:pPr>
        <w:spacing w:after="0" w:line="459"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01/05/2023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481,927</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5,274,274</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12,431,818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8,469,191</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1,468,555</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600,618</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0" w:type="dxa"/>
            <w:vAlign w:val="bottom"/>
            <w:gridSpan w:val="17"/>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Francis Douglas</w:t>
              </w:r>
            </w:hyperlink>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76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92618</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Ghost Media Group,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IRVINE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92618</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78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7782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vest in two equal quarterly increments on May 15, 2023 and August 15, 2023, subject to the Reporting Person's Continuous Service (as defined in the Issuer's 2021 Equity Incentive Plan or award agreement), through each such vesting date.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3 below) held by such Class V Common Stock holder at the time of such vote.</w:t>
      </w:r>
    </w:p>
    <w:p>
      <w:pPr>
        <w:spacing w:after="0" w:line="20"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Ghost Media Group, LLC ("Ghost Media") is controlled by Mr. Francis. Accordingly, Mr. Francis may be deemed to be a beneficial owner of the shares held by Ghost Media Group, LLC.</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WM Founders Legacy I, LLC ("WM Founders") is controlled by Mr. Francis. Accordingly, Mr. Francis may be deemed to be a beneficial owner of the shares held by WM Founders.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Genco Incentives, LLC ("Genco") is controlled by Mr. Francis. Accordingly, Mr. Francis may be deemed to be a beneficial owner of the shares held by Genco.</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167" w:right="539" w:bottom="1440" w:gutter="0" w:footer="0" w:header="0"/>
        </w:sectPr>
      </w:pP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6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46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4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Ron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Genco Incentives,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4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46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20" w:space="40"/>
            <w:col w:w="2120"/>
          </w:cols>
          <w:pgMar w:left="480" w:top="167"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6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519966"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6" Type="http://schemas.openxmlformats.org/officeDocument/2006/relationships/hyperlink" Target="http://www.sec.gov/cgi-bin/browse-edgar?action=getcompany&amp;CIK=0001859724" TargetMode="External"/><Relationship Id="rId17" Type="http://schemas.openxmlformats.org/officeDocument/2006/relationships/hyperlink" Target="http://www.sec.gov/cgi-bin/browse-edgar?action=getcompany&amp;CIK=0001859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2023-01-09T17:04:15Z</dcterms:created>
  <dcterms:modified xsi:type="dcterms:W3CDTF">2023-01-09T17:04:15Z</dcterms:modified>
</cp:coreProperties>
</file>