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Silver Spike Acquisition Corp.</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Ordinary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G8136L106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February 28,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84"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G8136L106</w:t>
      </w:r>
    </w:p>
    <w:p>
      <w:pPr>
        <w:spacing w:after="0" w:line="171" w:lineRule="exact"/>
        <w:rPr>
          <w:sz w:val="20"/>
          <w:szCs w:val="20"/>
          <w:color w:val="auto"/>
        </w:rPr>
      </w:pPr>
    </w:p>
    <w:p>
      <w:pPr>
        <w:ind w:left="240"/>
        <w:spacing w:after="0"/>
        <w:tabs>
          <w:tab w:leader="none" w:pos="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4006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180"/>
              <w:spacing w:after="0"/>
              <w:rPr>
                <w:sz w:val="20"/>
                <w:szCs w:val="20"/>
                <w:color w:val="auto"/>
              </w:rPr>
            </w:pPr>
            <w:r>
              <w:rPr>
                <w:rFonts w:ascii="Arial" w:cs="Arial" w:eastAsia="Arial" w:hAnsi="Arial"/>
                <w:sz w:val="22"/>
                <w:szCs w:val="22"/>
                <w:color w:val="auto"/>
              </w:rPr>
              <w:t>Alger Associates, Inc. (13-3017981)</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10540" w:type="dxa"/>
            <w:vAlign w:val="bottom"/>
            <w:gridSpan w:val="4"/>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w w:val="90"/>
              </w:rPr>
              <w:t>(b)</w:t>
            </w:r>
          </w:p>
        </w:tc>
        <w:tc>
          <w:tcPr>
            <w:tcW w:w="93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54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54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540" w:type="dxa"/>
            <w:vAlign w:val="bottom"/>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200"/>
              <w:spacing w:after="0"/>
              <w:rPr>
                <w:sz w:val="20"/>
                <w:szCs w:val="20"/>
                <w:color w:val="auto"/>
              </w:rPr>
            </w:pPr>
            <w:r>
              <w:rPr>
                <w:rFonts w:ascii="Arial" w:cs="Arial" w:eastAsia="Arial" w:hAnsi="Arial"/>
                <w:sz w:val="22"/>
                <w:szCs w:val="22"/>
                <w:color w:val="auto"/>
              </w:rPr>
              <w:t>New York</w:t>
            </w: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1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4,310,772</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4"/>
                <w:szCs w:val="4"/>
                <w:color w:val="auto"/>
              </w:rPr>
            </w:pPr>
          </w:p>
        </w:tc>
        <w:tc>
          <w:tcPr>
            <w:tcW w:w="934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60" w:type="dxa"/>
            <w:vAlign w:val="bottom"/>
            <w:tcBorders>
              <w:right w:val="single" w:sz="8" w:color="auto"/>
            </w:tcBorders>
            <w:gridSpan w:val="2"/>
            <w:vMerge w:val="restart"/>
          </w:tcPr>
          <w:p>
            <w:pPr>
              <w:jc w:val="center"/>
              <w:ind w:right="142"/>
              <w:spacing w:after="0"/>
              <w:rPr>
                <w:sz w:val="20"/>
                <w:szCs w:val="20"/>
                <w:color w:val="auto"/>
              </w:rPr>
            </w:pPr>
            <w:r>
              <w:rPr>
                <w:rFonts w:ascii="Arial" w:cs="Arial" w:eastAsia="Arial" w:hAnsi="Arial"/>
                <w:sz w:val="18"/>
                <w:szCs w:val="18"/>
                <w:color w:val="auto"/>
                <w:w w:val="84"/>
              </w:rPr>
              <w:t>Shares</w:t>
            </w:r>
          </w:p>
        </w:tc>
        <w:tc>
          <w:tcPr>
            <w:tcW w:w="340" w:type="dxa"/>
            <w:vAlign w:val="bottom"/>
            <w:tcBorders>
              <w:right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80" w:type="dxa"/>
            <w:vAlign w:val="bottom"/>
          </w:tcPr>
          <w:p>
            <w:pPr>
              <w:spacing w:after="0"/>
              <w:rPr>
                <w:sz w:val="3"/>
                <w:szCs w:val="3"/>
                <w:color w:val="auto"/>
              </w:rPr>
            </w:pPr>
          </w:p>
        </w:tc>
        <w:tc>
          <w:tcPr>
            <w:tcW w:w="76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9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3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760" w:type="dxa"/>
            <w:vAlign w:val="bottom"/>
            <w:tcBorders>
              <w:right w:val="single" w:sz="8" w:color="auto"/>
            </w:tcBorders>
            <w:gridSpan w:val="2"/>
          </w:tcPr>
          <w:p>
            <w:pPr>
              <w:jc w:val="center"/>
              <w:ind w:right="142"/>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5"/>
                <w:szCs w:val="15"/>
                <w:color w:val="auto"/>
              </w:rPr>
            </w:pPr>
          </w:p>
        </w:tc>
        <w:tc>
          <w:tcPr>
            <w:tcW w:w="934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2"/>
              <w:spacing w:after="0"/>
              <w:rPr>
                <w:sz w:val="20"/>
                <w:szCs w:val="20"/>
                <w:color w:val="auto"/>
              </w:rPr>
            </w:pPr>
            <w:r>
              <w:rPr>
                <w:rFonts w:ascii="Arial" w:cs="Arial" w:eastAsia="Arial" w:hAnsi="Arial"/>
                <w:sz w:val="18"/>
                <w:szCs w:val="18"/>
                <w:color w:val="auto"/>
                <w:w w:val="84"/>
              </w:rPr>
              <w:t>Person</w:t>
            </w: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340" w:type="dxa"/>
            <w:vAlign w:val="bottom"/>
          </w:tcPr>
          <w:p>
            <w:pPr>
              <w:ind w:left="20"/>
              <w:spacing w:after="0" w:line="244" w:lineRule="exact"/>
              <w:rPr>
                <w:sz w:val="20"/>
                <w:szCs w:val="20"/>
                <w:color w:val="auto"/>
              </w:rPr>
            </w:pPr>
            <w:r>
              <w:rPr>
                <w:rFonts w:ascii="Arial" w:cs="Arial" w:eastAsia="Arial" w:hAnsi="Arial"/>
                <w:sz w:val="22"/>
                <w:szCs w:val="22"/>
                <w:color w:val="auto"/>
              </w:rPr>
              <w:t>4,310,772</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760" w:type="dxa"/>
            <w:vAlign w:val="bottom"/>
            <w:tcBorders>
              <w:right w:val="single" w:sz="8" w:color="auto"/>
            </w:tcBorders>
            <w:gridSpan w:val="2"/>
            <w:vMerge w:val="restart"/>
          </w:tcPr>
          <w:p>
            <w:pPr>
              <w:jc w:val="center"/>
              <w:ind w:right="142"/>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Pr>
          <w:p>
            <w:pPr>
              <w:spacing w:after="0"/>
              <w:rPr>
                <w:sz w:val="12"/>
                <w:szCs w:val="12"/>
                <w:color w:val="auto"/>
              </w:rPr>
            </w:pPr>
          </w:p>
        </w:tc>
        <w:tc>
          <w:tcPr>
            <w:tcW w:w="760" w:type="dxa"/>
            <w:vAlign w:val="bottom"/>
            <w:tcBorders>
              <w:right w:val="single" w:sz="8" w:color="auto"/>
            </w:tcBorders>
            <w:gridSpan w:val="2"/>
            <w:vMerge w:val="continue"/>
          </w:tcPr>
          <w:p>
            <w:pPr>
              <w:spacing w:after="0"/>
              <w:rPr>
                <w:sz w:val="12"/>
                <w:szCs w:val="12"/>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2"/>
                <w:szCs w:val="12"/>
                <w:color w:val="auto"/>
              </w:rPr>
            </w:pPr>
          </w:p>
        </w:tc>
        <w:tc>
          <w:tcPr>
            <w:tcW w:w="934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9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w w:val="96"/>
              </w:rPr>
              <w:t>Aggregate</w:t>
            </w:r>
          </w:p>
        </w:tc>
        <w:tc>
          <w:tcPr>
            <w:tcW w:w="954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3"/>
          </w:tcPr>
          <w:p>
            <w:pPr>
              <w:ind w:left="200"/>
              <w:spacing w:after="0"/>
              <w:rPr>
                <w:sz w:val="20"/>
                <w:szCs w:val="20"/>
                <w:color w:val="auto"/>
              </w:rPr>
            </w:pPr>
            <w:r>
              <w:rPr>
                <w:rFonts w:ascii="Arial" w:cs="Arial" w:eastAsia="Arial" w:hAnsi="Arial"/>
                <w:sz w:val="22"/>
                <w:szCs w:val="22"/>
                <w:color w:val="auto"/>
              </w:rPr>
              <w:t>4,310,772</w:t>
            </w: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19"/>
                <w:szCs w:val="19"/>
                <w:color w:val="auto"/>
              </w:rPr>
            </w:pPr>
          </w:p>
        </w:tc>
        <w:tc>
          <w:tcPr>
            <w:tcW w:w="10540" w:type="dxa"/>
            <w:vAlign w:val="bottom"/>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9"/>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54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200"/>
              <w:spacing w:after="0"/>
              <w:rPr>
                <w:sz w:val="20"/>
                <w:szCs w:val="20"/>
                <w:color w:val="auto"/>
              </w:rPr>
            </w:pPr>
            <w:r>
              <w:rPr>
                <w:rFonts w:ascii="Arial" w:cs="Arial" w:eastAsia="Arial" w:hAnsi="Arial"/>
                <w:sz w:val="22"/>
                <w:szCs w:val="22"/>
                <w:color w:val="auto"/>
              </w:rPr>
              <w:t>17.24%</w:t>
            </w:r>
          </w:p>
        </w:tc>
        <w:tc>
          <w:tcPr>
            <w:tcW w:w="20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19"/>
                <w:szCs w:val="19"/>
                <w:color w:val="auto"/>
              </w:rPr>
            </w:pPr>
          </w:p>
        </w:tc>
        <w:tc>
          <w:tcPr>
            <w:tcW w:w="1054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HC</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40" w:type="dxa"/>
            <w:vAlign w:val="bottom"/>
          </w:tcPr>
          <w:p>
            <w:pPr>
              <w:ind w:left="37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w:t>
      </w:r>
    </w:p>
    <w:p>
      <w:pPr>
        <w:spacing w:after="0" w:line="27" w:lineRule="exact"/>
        <w:rPr>
          <w:sz w:val="20"/>
          <w:szCs w:val="20"/>
          <w:color w:val="auto"/>
        </w:rPr>
      </w:pPr>
    </w:p>
    <w:p>
      <w:pPr>
        <w:ind w:left="1100" w:hanging="321"/>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Silver Spike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5715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Address of Issuer’s Principal Executive Offices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660 Madison Avenue, Suite 1600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New York 10065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5715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both"/>
        <w:ind w:left="1100" w:right="8220" w:hanging="321"/>
        <w:spacing w:after="0" w:line="290"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Person Filing Alger Associates, Inc.</w:t>
      </w:r>
    </w:p>
    <w:p>
      <w:pPr>
        <w:ind w:left="1100" w:right="5580" w:hanging="321"/>
        <w:spacing w:after="0" w:line="299"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360 Park Avenue South, New York, NY 10010</w:t>
      </w:r>
    </w:p>
    <w:p>
      <w:pPr>
        <w:ind w:left="1100" w:right="9040" w:hanging="321"/>
        <w:spacing w:after="0" w:line="299"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Citizenship New York</w:t>
      </w:r>
    </w:p>
    <w:p>
      <w:pPr>
        <w:ind w:left="1100" w:right="7940" w:hanging="321"/>
        <w:spacing w:after="0" w:line="299"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Class of Securities Class A Ordinary Shares</w:t>
      </w:r>
    </w:p>
    <w:p>
      <w:pPr>
        <w:ind w:left="1100" w:right="8720" w:hanging="321"/>
        <w:spacing w:after="0" w:line="342"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-1214755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-923290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-631825</wp:posOffset>
            </wp:positionV>
            <wp:extent cx="6292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-340360</wp:posOffset>
            </wp:positionV>
            <wp:extent cx="62922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-48895</wp:posOffset>
            </wp:positionV>
            <wp:extent cx="62922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88" w:lineRule="exact"/>
        <w:rPr>
          <w:sz w:val="20"/>
          <w:szCs w:val="20"/>
          <w:color w:val="auto"/>
        </w:rPr>
      </w:pPr>
    </w:p>
    <w:p>
      <w:pPr>
        <w:ind w:left="1100" w:hanging="321"/>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100" w:hanging="321"/>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100" w:hanging="321"/>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100" w:hanging="321"/>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100" w:hanging="321"/>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100" w:hanging="321"/>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100" w:hanging="321"/>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1100" w:hanging="321"/>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460" w:hanging="681"/>
        <w:spacing w:after="0" w:line="239"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100" w:hanging="321"/>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1460" w:right="180" w:hanging="681"/>
        <w:spacing w:after="0" w:line="239"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-24130</wp:posOffset>
            </wp:positionV>
            <wp:extent cx="11709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3" w:name="page4"/>
    <w:bookmarkEnd w:id="3"/>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6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Amount beneficially owned:</w:t>
      </w:r>
    </w:p>
    <w:p>
      <w:pPr>
        <w:spacing w:after="0" w:line="20" w:lineRule="exact"/>
        <w:rPr>
          <w:sz w:val="20"/>
          <w:szCs w:val="20"/>
          <w:color w:val="auto"/>
        </w:rPr>
      </w:pPr>
    </w:p>
    <w:p>
      <w:pPr>
        <w:jc w:val="center"/>
        <w:ind w:right="8040"/>
        <w:spacing w:after="0"/>
        <w:rPr>
          <w:sz w:val="20"/>
          <w:szCs w:val="20"/>
          <w:color w:val="auto"/>
        </w:rPr>
      </w:pPr>
      <w:r>
        <w:rPr>
          <w:rFonts w:ascii="Arial" w:cs="Arial" w:eastAsia="Arial" w:hAnsi="Arial"/>
          <w:sz w:val="22"/>
          <w:szCs w:val="22"/>
          <w:color w:val="auto"/>
        </w:rPr>
        <w:t>4,310,772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-3810</wp:posOffset>
            </wp:positionV>
            <wp:extent cx="63265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(b)  Percent of class:</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17.24%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-3810</wp:posOffset>
            </wp:positionV>
            <wp:extent cx="63265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(c)  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151765</wp:posOffset>
            </wp:positionV>
            <wp:extent cx="6326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spacing w:after="0" w:line="232" w:lineRule="exact"/>
        <w:rPr>
          <w:sz w:val="20"/>
          <w:szCs w:val="20"/>
          <w:color w:val="auto"/>
        </w:rPr>
      </w:pPr>
    </w:p>
    <w:p>
      <w:pPr>
        <w:ind w:left="2000" w:hanging="591"/>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4,310,772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-3810</wp:posOffset>
            </wp:positionV>
            <wp:extent cx="57175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ind w:left="2000" w:hanging="591"/>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-3810</wp:posOffset>
            </wp:positionV>
            <wp:extent cx="57175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ind w:left="2000" w:hanging="591"/>
        <w:spacing w:after="0"/>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4,310,772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-3810</wp:posOffset>
            </wp:positionV>
            <wp:extent cx="57175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ind w:left="2000" w:hanging="591"/>
        <w:spacing w:after="0"/>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-3810</wp:posOffset>
            </wp:positionV>
            <wp:extent cx="57175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754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securities reported herein are beneficially owned by one or more open-end investment companies or other managed accounts that are investment management clients of Fred Alger Management, LLC (“FAM”), a registered investment adviser. FAM is a 100% owned subsidiary of Alger Group Holdings, LLC (“AGH”), a holding company. AGH is a 100% owned subsidiary of Alger Associates, Inc., a holding company.</w:t>
      </w:r>
    </w:p>
    <w:p>
      <w:pPr>
        <w:spacing w:after="0" w:line="310" w:lineRule="exact"/>
        <w:rPr>
          <w:sz w:val="20"/>
          <w:szCs w:val="20"/>
          <w:color w:val="auto"/>
        </w:rPr>
      </w:pPr>
    </w:p>
    <w:p>
      <w:pPr>
        <w:ind w:left="760" w:right="80" w:hanging="768"/>
        <w:spacing w:after="0" w:line="282" w:lineRule="auto"/>
        <w:tabs>
          <w:tab w:leader="none" w:pos="74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See Exhibit A</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37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4" w:name="page5"/>
    <w:bookmarkEnd w:id="4"/>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Alger Associates, Inc.</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Hal Liebes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5715</wp:posOffset>
            </wp:positionV>
            <wp:extent cx="240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Hal Liebes</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Secretary</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March 10, 2021</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60"/>
          </w:cols>
          <w:pgMar w:left="440" w:top="270" w:right="999" w:bottom="1440" w:gutter="0" w:footer="0" w:header="0"/>
        </w:sectPr>
      </w:pPr>
    </w:p>
    <w:bookmarkStart w:id="5" w:name="page6"/>
    <w:bookmarkEnd w:id="5"/>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Alger Group Holdings, LLC* — HC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Fred Alger Management, LLC* — IA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  Entity beneficially owns 5% or greater of the outstanding shares of the security class being reported on this Schedule 13G.</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lowerRoman"/>
      <w:start w:val="3"/>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2021-03-10T15:45:11Z</dcterms:created>
  <dcterms:modified xsi:type="dcterms:W3CDTF">2021-03-10T15:45:11Z</dcterms:modified>
</cp:coreProperties>
</file>