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525780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405765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152400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6"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907"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213995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102235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64636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information in Item 5.02 on this Current Report on Form 8-K is hereby incorporated by reference.</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Severance Arrangements with Chief Financial Officer</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29, 2026, the Company entered into an executive employment agreement with Ms. Echard (the “Employment Agreement”), effective January 30, 2026. Under the Employment Agreement, Ms. Echard is eligible to receive (i) an annual base salary of $460,000, (ii) an annual target bonus equal to 65% of her annual base salary, and (iii) other benefits on the same basis as those benefits are made available to other similarly situated employees of the Company. In connection with the Employment Agreement, the Company terminated that certain Executive Services Agreement by and between the Company and SeatonHill Partners, LP (“SeatonHill”) dated July 16, 2023, as amended, by which SeatonHill previously provided the full-time services of a Ms. Echard, a partner of SeatonHill, as a Chief Financial Officer to the Company.</w:t>
      </w:r>
    </w:p>
    <w:p>
      <w:pPr>
        <w:spacing w:after="0" w:line="79" w:lineRule="exact"/>
        <w:rPr>
          <w:sz w:val="20"/>
          <w:szCs w:val="20"/>
          <w:color w:val="auto"/>
        </w:rPr>
      </w:pPr>
    </w:p>
    <w:p>
      <w:pPr>
        <w:jc w:val="both"/>
        <w:ind w:firstLine="734"/>
        <w:spacing w:after="0" w:line="252" w:lineRule="auto"/>
        <w:rPr>
          <w:sz w:val="20"/>
          <w:szCs w:val="20"/>
          <w:color w:val="auto"/>
        </w:rPr>
      </w:pPr>
      <w:r>
        <w:rPr>
          <w:rFonts w:ascii="Times New Roman" w:cs="Times New Roman" w:eastAsia="Times New Roman" w:hAnsi="Times New Roman"/>
          <w:sz w:val="18"/>
          <w:szCs w:val="18"/>
          <w:color w:val="auto"/>
        </w:rPr>
        <w:t>The Compensation Committee of the Board also designated Ms. Echard as eligible to receive severance benefits as an “Eligible Employee” pursuant to the Company’s Amended and Restated Severance and Change in Control Plan (the “Severance Plan”) in the event of a “change in control termination” or a “regular termination” (each as described below). Upon a change in control termination, Ms. Echard will be eligible to receive (i) a lump sum payment equal to 12 months of her base salary, (ii) a lump sum payment equal to 100% of her annual target cash bonus, (iii) full vesting acceleration of all outstanding equity awards (with any performance-based vesting awards deemed achieved at target level), and (iv) payment of group health insurance premiums for 12 months. Upon a regular termination, Ms. Echard will be eligible to receive (i) continued payment of her base salary for 9 months, (ii) a lump sum payment equal to 75% of her annual target cash bonus, and (iii) payment of group health insurance premiums for 9 months. All benefits under the Severance Plan are subject to Ms. Echard’s execution of an effective release of claims against the Company. For purposes of the Severance Plan, a “change in control termination” is a termination of Ms. Echard’s employment by the Company without “cause” (and not as a result of death or disability) or a resignation by Ms. Echard for “good reason” (each, as defined in the Severance Plan), that occurs during the period of time beginning three months before the closing of, and ending 12 months following the closing of, a “change in control” (as defined in the Severance Plan), referred to as the “change in control period.” A “regular termination” is a termination of Ms. Echard’s employment by the Company without cause that does not occur during a change in control period. No benefits are payable pursuant to the Severance Plan in the event of Ms. Echard’s retirement or voluntary resignation without good reason.</w:t>
      </w:r>
    </w:p>
    <w:p>
      <w:pPr>
        <w:spacing w:after="0" w:line="89" w:lineRule="exact"/>
        <w:rPr>
          <w:sz w:val="20"/>
          <w:szCs w:val="20"/>
          <w:color w:val="auto"/>
        </w:rPr>
      </w:pPr>
    </w:p>
    <w:p>
      <w:pPr>
        <w:jc w:val="both"/>
        <w:ind w:firstLine="734"/>
        <w:spacing w:after="0" w:line="266" w:lineRule="auto"/>
        <w:rPr>
          <w:sz w:val="20"/>
          <w:szCs w:val="20"/>
          <w:color w:val="auto"/>
        </w:rPr>
      </w:pPr>
      <w:r>
        <w:rPr>
          <w:rFonts w:ascii="Times New Roman" w:cs="Times New Roman" w:eastAsia="Times New Roman" w:hAnsi="Times New Roman"/>
          <w:sz w:val="18"/>
          <w:szCs w:val="18"/>
          <w:color w:val="auto"/>
        </w:rPr>
        <w:t>The foregoing summary descriptions of the Employment Agreement and the Severance Plan do not purport to be complete and are qualified in their entirety by reference to the full text of the Employment Agreement and the Severance Plan, copies of which are filed as Exhibit 10.1 and Exhibit 10.2, respectively, to this Current Report on Form 8-K and are incorporated herein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Mr. DeMott and Mr. Cox to the Company’s Board of Directors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29, 2026, upon the recommendation of the Nominating and Corporate Governance Committee of the Board, the Board appointed Harry DeMott and Brent Cox to fill existing vacancies on the Board and to serve on the Board as a Class II directors until the Company’s 2026 annual meeting of stockholders and until their successor is duly appointed and qualified, or until their earlier death, resignation or removal, effective on February 1, 2026.</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Messrs. DeMott and Cox and any other persons pursuant to which either was selected as a director. The Board has also determined that each of Messrs. DeMott and Cox is an “independent director” as determined in accordance with Rule 5605(a)</w:t>
      </w:r>
    </w:p>
    <w:p>
      <w:pPr>
        <w:ind w:firstLine="8"/>
        <w:spacing w:after="0" w:line="260"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Nasdaq Rules and listing standards. Additionally, there are no transactions involving the Company and Messrs. DeMott and Cox that the Company would be required to report pursuant to Item 404(a) of Regulation S-K.</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Messrs. DeMott and Cox’s appointments to the Board and pursuant to the Company’s Amended Non-Employee Director Compensation Policy, which is filed as Exhibit 10.3 to this Current Report, each of Messrs. DeMott and Cox was awarded an initial, one-time grant of restricted stock units with a value of approximately $400,000, vesting in three equal annual installments on the date of each of the first three annual meetings of the Company’s stockholders following the date of Messrs. DeMott and Cox’s appointment.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aforementioned appointment to the Board, the Company entered into its standard indemnification agreement with Messrs.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DeMott and Cox, which is filed as Exhibit 10.6# to the Company’s Current Report on Form 8-K (File No. 001-39021) filed with the SEC on June 21, 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3, 2026, the Company issued a press release announcing the appointment of Messrs. DeMott and Cox to the Board and the entry into an employment agreement with Ms. Echard. A copy of the Company’s press release announcing the appointment is attached hereto as Exhibit 99.1.</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section, nor shall such information be deemed incorporated by reference in any filing under the Securities Act of 1933, as amended, or the Exchange Act, except as shall be expressly set forth by specific reference in such a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Non-Employee Director Compensation Policy</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29, 2026, as part of the Company’s regular review of the corporate governance and compensation practices of the Company and upon recommendation from the Compensation Committee, the Board approved, the Board approved an Amended and Restated Non-Employee Director Compensation Policy (the “Amended Non-Employee Director Compensation Policy”).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Amended Non-Employee Director Compensation Policy is to provide a total compensation package that enables the Company</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attract and retain, on a long-term basis, high-caliber directors who are not employees or officers of the Company or its subsidiaries. The Amended Non-Employee Director Compensation Policy is effective as of January 1, 2026 (the “Effective Date”).</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Non-Employee Director Compensation Policy is not complete and is subject to and qualified in its entirety by reference to the Amended Non-Employee Director Compensation Policy, a copy of which is attached hereto as Exhibit 10.3 and is incorporated herein by reference.</w:t>
      </w:r>
    </w:p>
    <w:p>
      <w:pPr>
        <w:spacing w:after="0" w:line="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57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8"/>
          <w:szCs w:val="18"/>
          <w:u w:val="single" w:color="auto"/>
          <w:color w:val="0000FF"/>
        </w:rPr>
        <w:t>Employment Agreement, effective January 30, 2026, by and between the Company and Susan Echard</w:t>
      </w:r>
    </w:p>
    <w:p>
      <w:pPr>
        <w:spacing w:after="0" w:line="63"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10.2</w:t>
      </w:r>
      <w:r>
        <w:rPr>
          <w:sz w:val="20"/>
          <w:szCs w:val="20"/>
          <w:color w:val="auto"/>
        </w:rPr>
        <w:tab/>
      </w:r>
      <w:r>
        <w:rPr>
          <w:rFonts w:ascii="Times New Roman" w:cs="Times New Roman" w:eastAsia="Times New Roman" w:hAnsi="Times New Roman"/>
          <w:sz w:val="18"/>
          <w:szCs w:val="18"/>
          <w:u w:val="single" w:color="auto"/>
          <w:color w:val="0000FF"/>
        </w:rPr>
        <w:t>Amended and Restated Severance and Change in Control Plan</w:t>
      </w:r>
    </w:p>
    <w:p>
      <w:pPr>
        <w:spacing w:after="0" w:line="63"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10.3</w:t>
      </w:r>
      <w:r>
        <w:rPr>
          <w:sz w:val="20"/>
          <w:szCs w:val="20"/>
          <w:color w:val="auto"/>
        </w:rPr>
        <w:tab/>
      </w:r>
      <w:r>
        <w:rPr>
          <w:rFonts w:ascii="Times New Roman" w:cs="Times New Roman" w:eastAsia="Times New Roman" w:hAnsi="Times New Roman"/>
          <w:sz w:val="17"/>
          <w:szCs w:val="17"/>
          <w:u w:val="single" w:color="auto"/>
          <w:color w:val="0000FF"/>
        </w:rPr>
        <w:t>Amended Non-Employee Director Compensation Policy</w:t>
      </w:r>
    </w:p>
    <w:p>
      <w:pPr>
        <w:spacing w:after="0" w:line="63"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2579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2026</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98"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Ghost Management Group, LLC</w:t>
      </w:r>
    </w:p>
    <w:p>
      <w:pPr>
        <w:spacing w:after="0" w:line="16" w:lineRule="exact"/>
        <w:rPr>
          <w:sz w:val="20"/>
          <w:szCs w:val="20"/>
          <w:color w:val="auto"/>
        </w:rPr>
      </w:pPr>
    </w:p>
    <w:p>
      <w:pPr>
        <w:ind w:left="5360" w:hanging="218"/>
        <w:spacing w:after="0"/>
        <w:tabs>
          <w:tab w:leader="none" w:pos="5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ind w:left="4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29,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Susan Echard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Offer of Employment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Susan:</w:t>
      </w:r>
    </w:p>
    <w:p>
      <w:pPr>
        <w:spacing w:after="0" w:line="23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auto"/>
        </w:rPr>
        <w:t>This letter is to memorialize the offer of employment (the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made to you by Ghost Management Group,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to set forth the specific terms and conditions of your employment with the Company.</w:t>
      </w:r>
    </w:p>
    <w:p>
      <w:pPr>
        <w:spacing w:after="0" w:line="196" w:lineRule="exact"/>
        <w:rPr>
          <w:sz w:val="20"/>
          <w:szCs w:val="20"/>
          <w:color w:val="auto"/>
        </w:rPr>
      </w:pPr>
    </w:p>
    <w:p>
      <w:pPr>
        <w:ind w:right="180" w:firstLine="8"/>
        <w:spacing w:after="0" w:line="255" w:lineRule="auto"/>
        <w:tabs>
          <w:tab w:leader="none" w:pos="36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The Company offers you the full-time, exempt position of Chief Financial Officer. In this position, you will report to Douglas Francis, unless notified otherwise. You will work remotely from your residence in Scottsdale, Arizona.</w:t>
      </w:r>
    </w:p>
    <w:p>
      <w:pPr>
        <w:spacing w:after="0" w:line="199" w:lineRule="exact"/>
        <w:rPr>
          <w:rFonts w:ascii="Times New Roman" w:cs="Times New Roman" w:eastAsia="Times New Roman" w:hAnsi="Times New Roman"/>
          <w:sz w:val="20"/>
          <w:szCs w:val="20"/>
          <w:color w:val="auto"/>
        </w:rPr>
      </w:pPr>
    </w:p>
    <w:p>
      <w:pPr>
        <w:ind w:left="660" w:right="20" w:hanging="652"/>
        <w:spacing w:after="0" w:line="233" w:lineRule="auto"/>
        <w:tabs>
          <w:tab w:leader="none" w:pos="3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xml:space="preserve">. Subject to the terms and conditions of this Offer, the Company agrees to employ you and you agree to be employed by the Company commencing no later than </w:t>
      </w:r>
      <w:r>
        <w:rPr>
          <w:rFonts w:ascii="Times New Roman" w:cs="Times New Roman" w:eastAsia="Times New Roman" w:hAnsi="Times New Roman"/>
          <w:sz w:val="20"/>
          <w:szCs w:val="20"/>
          <w:b w:val="1"/>
          <w:bCs w:val="1"/>
          <w:color w:val="auto"/>
        </w:rPr>
        <w:t>January 30, 2026</w:t>
      </w:r>
      <w:r>
        <w:rPr>
          <w:rFonts w:ascii="Times New Roman" w:cs="Times New Roman" w:eastAsia="Times New Roman" w:hAnsi="Times New Roman"/>
          <w:sz w:val="20"/>
          <w:szCs w:val="20"/>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advance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Chief Executive Officer of the Company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any such modification to this at-will employment policy must be in a written agreement signed by both you and the CEO. This constitutes an integrated agreement with respect to the at-will nature of the employment relationship, and there may be no implied or oral agreements that in any way modify this at-will employment policy.</w:t>
      </w:r>
    </w:p>
    <w:p>
      <w:pPr>
        <w:spacing w:after="0" w:line="223" w:lineRule="exact"/>
        <w:rPr>
          <w:rFonts w:ascii="Times New Roman" w:cs="Times New Roman" w:eastAsia="Times New Roman" w:hAnsi="Times New Roman"/>
          <w:sz w:val="20"/>
          <w:szCs w:val="20"/>
          <w:color w:val="auto"/>
        </w:rPr>
      </w:pPr>
    </w:p>
    <w:p>
      <w:pPr>
        <w:ind w:left="660" w:right="80" w:hanging="652"/>
        <w:spacing w:after="0" w:line="237" w:lineRule="auto"/>
        <w:tabs>
          <w:tab w:leader="none" w:pos="37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Duties</w:t>
      </w:r>
      <w:r>
        <w:rPr>
          <w:rFonts w:ascii="Times New Roman" w:cs="Times New Roman" w:eastAsia="Times New Roman" w:hAnsi="Times New Roman"/>
          <w:sz w:val="20"/>
          <w:szCs w:val="20"/>
          <w:color w:val="auto"/>
        </w:rPr>
        <w:t>. In your role,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ectPr>
          <w:pgSz w:w="11900" w:h="16838" w:orient="portrait"/>
          <w:cols w:equalWidth="0" w:num="1">
            <w:col w:w="11240"/>
          </w:cols>
          <w:pgMar w:left="320" w:top="3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Employment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ind w:left="1140" w:right="40" w:hanging="484"/>
        <w:spacing w:after="0" w:line="235" w:lineRule="auto"/>
        <w:tabs>
          <w:tab w:leader="none" w:pos="112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xml:space="preserve">. You will receive a base salary at the rate of </w:t>
      </w:r>
      <w:r>
        <w:rPr>
          <w:rFonts w:ascii="Times New Roman" w:cs="Times New Roman" w:eastAsia="Times New Roman" w:hAnsi="Times New Roman"/>
          <w:sz w:val="20"/>
          <w:szCs w:val="20"/>
          <w:b w:val="1"/>
          <w:bCs w:val="1"/>
          <w:color w:val="auto"/>
        </w:rPr>
        <w:t>Four Hundred Sixty Thousand Dollars ($460,000)</w:t>
      </w:r>
      <w:r>
        <w:rPr>
          <w:rFonts w:ascii="Times New Roman" w:cs="Times New Roman" w:eastAsia="Times New Roman" w:hAnsi="Times New Roman"/>
          <w:sz w:val="20"/>
          <w:szCs w:val="20"/>
          <w:color w:val="auto"/>
        </w:rPr>
        <w:t xml:space="preserve"> annualized, payable in accordance with the Company’s normal payroll practices. In addition, you may be eligible to earn an annual bonus for each calendar year of employment with a bonus target of </w:t>
      </w:r>
      <w:r>
        <w:rPr>
          <w:rFonts w:ascii="Times New Roman" w:cs="Times New Roman" w:eastAsia="Times New Roman" w:hAnsi="Times New Roman"/>
          <w:sz w:val="20"/>
          <w:szCs w:val="20"/>
          <w:b w:val="1"/>
          <w:bCs w:val="1"/>
          <w:color w:val="auto"/>
        </w:rPr>
        <w:t>sixty-five percent (65%)</w:t>
      </w:r>
      <w:r>
        <w:rPr>
          <w:rFonts w:ascii="Times New Roman" w:cs="Times New Roman" w:eastAsia="Times New Roman" w:hAnsi="Times New Roman"/>
          <w:sz w:val="20"/>
          <w:szCs w:val="20"/>
          <w:color w:val="auto"/>
        </w:rPr>
        <w:t xml:space="preserve"> of your annual base salary (which shall consist of base wages or salary and overtime pay and any utilized vacation and sick time, excluding any accrued but not used vacation time or sick time, relocation allowances, bonuses, awards, equity grants or any other form of compensation), with the attainment of such bonus being based upon the achievement of goals that will be established by the CEO and the Compensation Committee of the Company’s Board of Director. The bonus may be modified or terminated by the Company in its sole discretion at any time. The bonus is not earned until paid and no prorated amount will be paid if your employment terminates prior to the bonus payment date. Any bonus payable hereunder shall be paid within the “short-term deferral” period provided under Treasury Regulation Section 1.409A-(b)(4).</w:t>
      </w:r>
    </w:p>
    <w:p>
      <w:pPr>
        <w:spacing w:after="0" w:line="222" w:lineRule="exact"/>
        <w:rPr>
          <w:rFonts w:ascii="Times New Roman" w:cs="Times New Roman" w:eastAsia="Times New Roman" w:hAnsi="Times New Roman"/>
          <w:sz w:val="20"/>
          <w:szCs w:val="20"/>
          <w:color w:val="auto"/>
        </w:rPr>
      </w:pPr>
    </w:p>
    <w:p>
      <w:pPr>
        <w:ind w:left="1140" w:right="40" w:hanging="484"/>
        <w:spacing w:after="0" w:line="255" w:lineRule="auto"/>
        <w:tabs>
          <w:tab w:leader="none" w:pos="10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Withholdings and Deductions</w:t>
      </w:r>
      <w:r>
        <w:rPr>
          <w:rFonts w:ascii="Times New Roman" w:cs="Times New Roman" w:eastAsia="Times New Roman" w:hAnsi="Times New Roman"/>
          <w:sz w:val="20"/>
          <w:szCs w:val="20"/>
          <w:color w:val="auto"/>
        </w:rPr>
        <w:t>. All payments made under this Offer by the Company shall be subject to all required federal, state, and local withholdings and such other deductions as you may properly instruct the Company to take.</w:t>
      </w:r>
    </w:p>
    <w:p>
      <w:pPr>
        <w:spacing w:after="0" w:line="186" w:lineRule="exact"/>
        <w:rPr>
          <w:rFonts w:ascii="Times New Roman" w:cs="Times New Roman" w:eastAsia="Times New Roman" w:hAnsi="Times New Roman"/>
          <w:sz w:val="20"/>
          <w:szCs w:val="20"/>
          <w:color w:val="auto"/>
        </w:rPr>
      </w:pPr>
    </w:p>
    <w:p>
      <w:pPr>
        <w:ind w:left="1140" w:hanging="484"/>
        <w:spacing w:after="0" w:line="237" w:lineRule="auto"/>
        <w:tabs>
          <w:tab w:leader="none" w:pos="9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5" w:lineRule="exact"/>
        <w:rPr>
          <w:rFonts w:ascii="Times New Roman" w:cs="Times New Roman" w:eastAsia="Times New Roman" w:hAnsi="Times New Roman"/>
          <w:sz w:val="20"/>
          <w:szCs w:val="20"/>
          <w:color w:val="auto"/>
        </w:rPr>
      </w:pPr>
    </w:p>
    <w:p>
      <w:pPr>
        <w:ind w:left="1140" w:right="80" w:hanging="484"/>
        <w:spacing w:after="0" w:line="244" w:lineRule="auto"/>
        <w:tabs>
          <w:tab w:leader="none" w:pos="10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You will receive paid vacation according to the Company’s Vacation policy set forth in the Company’s Employee Handbook as may be amended from time to time (the “</w:t>
      </w:r>
      <w:r>
        <w:rPr>
          <w:rFonts w:ascii="Times New Roman" w:cs="Times New Roman" w:eastAsia="Times New Roman" w:hAnsi="Times New Roman"/>
          <w:sz w:val="20"/>
          <w:szCs w:val="20"/>
          <w:b w:val="1"/>
          <w:bCs w:val="1"/>
          <w:color w:val="auto"/>
        </w:rPr>
        <w:t>Employee Handbook</w:t>
      </w:r>
      <w:r>
        <w:rPr>
          <w:rFonts w:ascii="Times New Roman" w:cs="Times New Roman" w:eastAsia="Times New Roman" w:hAnsi="Times New Roman"/>
          <w:sz w:val="20"/>
          <w:szCs w:val="20"/>
          <w:color w:val="auto"/>
        </w:rPr>
        <w:t>”). You will be eligible to accrue paid vacation at the rate set forth in the Employee Handbook. Payment of any accrued but unused vacation will be made upon termination of employment.</w:t>
      </w:r>
    </w:p>
    <w:p>
      <w:pPr>
        <w:spacing w:after="0" w:line="198" w:lineRule="exact"/>
        <w:rPr>
          <w:rFonts w:ascii="Times New Roman" w:cs="Times New Roman" w:eastAsia="Times New Roman" w:hAnsi="Times New Roman"/>
          <w:sz w:val="20"/>
          <w:szCs w:val="20"/>
          <w:color w:val="auto"/>
        </w:rPr>
      </w:pPr>
    </w:p>
    <w:p>
      <w:pPr>
        <w:ind w:left="1140" w:right="860" w:hanging="484"/>
        <w:spacing w:after="0" w:line="269" w:lineRule="auto"/>
        <w:tabs>
          <w:tab w:leader="none" w:pos="9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Paid Sick Leave</w:t>
      </w:r>
      <w:r>
        <w:rPr>
          <w:rFonts w:ascii="Times New Roman" w:cs="Times New Roman" w:eastAsia="Times New Roman" w:hAnsi="Times New Roman"/>
          <w:sz w:val="20"/>
          <w:szCs w:val="20"/>
          <w:color w:val="auto"/>
        </w:rPr>
        <w:t>. You will be eligible for paid sick leave according to the Company’s Sick Leave policy set forth in the Employee Handbook.</w:t>
      </w:r>
    </w:p>
    <w:p>
      <w:pPr>
        <w:spacing w:after="0" w:line="172" w:lineRule="exact"/>
        <w:rPr>
          <w:rFonts w:ascii="Times New Roman" w:cs="Times New Roman" w:eastAsia="Times New Roman" w:hAnsi="Times New Roman"/>
          <w:sz w:val="20"/>
          <w:szCs w:val="20"/>
          <w:color w:val="auto"/>
        </w:rPr>
      </w:pPr>
    </w:p>
    <w:p>
      <w:pPr>
        <w:ind w:left="1140" w:right="620" w:hanging="484"/>
        <w:spacing w:after="0" w:line="255" w:lineRule="auto"/>
        <w:tabs>
          <w:tab w:leader="none" w:pos="967"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Compensation</w:t>
      </w:r>
      <w:r>
        <w:rPr>
          <w:rFonts w:ascii="Times New Roman" w:cs="Times New Roman" w:eastAsia="Times New Roman" w:hAnsi="Times New Roman"/>
          <w:sz w:val="20"/>
          <w:szCs w:val="20"/>
          <w:color w:val="auto"/>
        </w:rPr>
        <w:t xml:space="preserve">. You agree that your compensation under this </w:t>
      </w: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xml:space="preserve"> section constitutes the complete, full and exclusive consideration and compensation for all services rendered by you under this Offer.</w:t>
      </w:r>
    </w:p>
    <w:p>
      <w:pPr>
        <w:spacing w:after="0" w:line="199" w:lineRule="exact"/>
        <w:rPr>
          <w:rFonts w:ascii="Times New Roman" w:cs="Times New Roman" w:eastAsia="Times New Roman" w:hAnsi="Times New Roman"/>
          <w:sz w:val="20"/>
          <w:szCs w:val="20"/>
          <w:color w:val="auto"/>
        </w:rPr>
      </w:pPr>
    </w:p>
    <w:p>
      <w:pPr>
        <w:ind w:left="1140" w:right="140" w:hanging="484"/>
        <w:spacing w:after="0" w:line="237" w:lineRule="auto"/>
        <w:tabs>
          <w:tab w:leader="none" w:pos="10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Cause</w:t>
      </w:r>
      <w:r>
        <w:rPr>
          <w:rFonts w:ascii="Times New Roman" w:cs="Times New Roman" w:eastAsia="Times New Roman" w:hAnsi="Times New Roman"/>
          <w:sz w:val="20"/>
          <w:szCs w:val="20"/>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Employment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40" w:right="20"/>
        <w:spacing w:after="0" w:line="247" w:lineRule="auto"/>
        <w:rPr>
          <w:sz w:val="20"/>
          <w:szCs w:val="20"/>
          <w:color w:val="auto"/>
        </w:rPr>
      </w:pPr>
      <w:r>
        <w:rPr>
          <w:rFonts w:ascii="Times New Roman" w:cs="Times New Roman" w:eastAsia="Times New Roman" w:hAnsi="Times New Roman"/>
          <w:sz w:val="20"/>
          <w:szCs w:val="20"/>
          <w:color w:val="auto"/>
        </w:rPr>
        <w:t>Mutual Agreement to Arbitrate All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194" w:lineRule="exact"/>
        <w:rPr>
          <w:sz w:val="20"/>
          <w:szCs w:val="20"/>
          <w:color w:val="auto"/>
        </w:rPr>
      </w:pPr>
    </w:p>
    <w:p>
      <w:pPr>
        <w:ind w:left="1140" w:right="80" w:hanging="484"/>
        <w:spacing w:after="0" w:line="237" w:lineRule="auto"/>
        <w:tabs>
          <w:tab w:leader="none" w:pos="10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216"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Employment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40" w:right="680" w:hanging="484"/>
        <w:spacing w:after="0" w:line="247" w:lineRule="auto"/>
        <w:tabs>
          <w:tab w:leader="none" w:pos="98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Policies and Procedures</w:t>
      </w:r>
      <w:r>
        <w:rPr>
          <w:rFonts w:ascii="Times New Roman" w:cs="Times New Roman" w:eastAsia="Times New Roman" w:hAnsi="Times New Roman"/>
          <w:sz w:val="20"/>
          <w:szCs w:val="20"/>
          <w:color w:val="auto"/>
        </w:rPr>
        <w:t>.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194" w:lineRule="exact"/>
        <w:rPr>
          <w:rFonts w:ascii="Times New Roman" w:cs="Times New Roman" w:eastAsia="Times New Roman" w:hAnsi="Times New Roman"/>
          <w:sz w:val="20"/>
          <w:szCs w:val="20"/>
          <w:color w:val="auto"/>
        </w:rPr>
      </w:pPr>
    </w:p>
    <w:p>
      <w:pPr>
        <w:ind w:left="1140" w:right="20" w:hanging="484"/>
        <w:spacing w:after="0" w:line="244" w:lineRule="auto"/>
        <w:tabs>
          <w:tab w:leader="none" w:pos="10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Background Check and Eligibility</w:t>
      </w:r>
      <w:r>
        <w:rPr>
          <w:rFonts w:ascii="Times New Roman" w:cs="Times New Roman" w:eastAsia="Times New Roman" w:hAnsi="Times New Roman"/>
          <w:sz w:val="20"/>
          <w:szCs w:val="20"/>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for the purpose of completing such background check.</w:t>
      </w:r>
    </w:p>
    <w:p>
      <w:pPr>
        <w:spacing w:after="0" w:line="198" w:lineRule="exact"/>
        <w:rPr>
          <w:rFonts w:ascii="Times New Roman" w:cs="Times New Roman" w:eastAsia="Times New Roman" w:hAnsi="Times New Roman"/>
          <w:sz w:val="20"/>
          <w:szCs w:val="20"/>
          <w:color w:val="auto"/>
        </w:rPr>
      </w:pPr>
    </w:p>
    <w:p>
      <w:pPr>
        <w:ind w:left="1140" w:right="80" w:hanging="484"/>
        <w:spacing w:after="0" w:line="239" w:lineRule="auto"/>
        <w:tabs>
          <w:tab w:leader="none" w:pos="98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Work</w:t>
      </w:r>
      <w:r>
        <w:rPr>
          <w:rFonts w:ascii="Times New Roman" w:cs="Times New Roman" w:eastAsia="Times New Roman" w:hAnsi="Times New Roman"/>
          <w:sz w:val="20"/>
          <w:szCs w:val="20"/>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 For further information, please visit https://www.uscis.gov/i-9.</w:t>
      </w:r>
    </w:p>
    <w:p>
      <w:pPr>
        <w:spacing w:after="0" w:line="217" w:lineRule="exact"/>
        <w:rPr>
          <w:rFonts w:ascii="Times New Roman" w:cs="Times New Roman" w:eastAsia="Times New Roman" w:hAnsi="Times New Roman"/>
          <w:sz w:val="20"/>
          <w:szCs w:val="20"/>
          <w:color w:val="auto"/>
        </w:rPr>
      </w:pPr>
    </w:p>
    <w:p>
      <w:pPr>
        <w:ind w:left="1140" w:right="300" w:hanging="484"/>
        <w:spacing w:after="0" w:line="266" w:lineRule="auto"/>
        <w:tabs>
          <w:tab w:leader="none" w:pos="100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Non-Solicitation and Inventions Assignment Agreement</w:t>
      </w:r>
      <w:r>
        <w:rPr>
          <w:rFonts w:ascii="Times New Roman" w:cs="Times New Roman" w:eastAsia="Times New Roman" w:hAnsi="Times New Roman"/>
          <w:sz w:val="19"/>
          <w:szCs w:val="19"/>
          <w:color w:val="auto"/>
        </w:rPr>
        <w:t>. Enclosed is the Company’s Confidential Information, Non-Solicitation and Inventions Assignment Agreement, which you are required to sign as a condition of your employment. Upon your acceptance of this Offer, please return to the Company a signed copy of that agreement.</w:t>
      </w:r>
    </w:p>
    <w:p>
      <w:pPr>
        <w:spacing w:after="0" w:line="178" w:lineRule="exact"/>
        <w:rPr>
          <w:rFonts w:ascii="Times New Roman" w:cs="Times New Roman" w:eastAsia="Times New Roman" w:hAnsi="Times New Roman"/>
          <w:sz w:val="19"/>
          <w:szCs w:val="19"/>
          <w:color w:val="auto"/>
        </w:rPr>
      </w:pPr>
    </w:p>
    <w:p>
      <w:pPr>
        <w:ind w:left="1140" w:right="120" w:hanging="484"/>
        <w:spacing w:after="0" w:line="247" w:lineRule="auto"/>
        <w:tabs>
          <w:tab w:leader="none" w:pos="98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 Agreement</w:t>
      </w:r>
      <w:r>
        <w:rPr>
          <w:rFonts w:ascii="Times New Roman" w:cs="Times New Roman" w:eastAsia="Times New Roman" w:hAnsi="Times New Roman"/>
          <w:sz w:val="20"/>
          <w:szCs w:val="20"/>
          <w:color w:val="auto"/>
        </w:rPr>
        <w:t>. Enclosed is the Company’s Mutual Agreement to Arbitrate All Disputes, which you are required to sign as a condition of your employment. Upon your acceptance of this Offer, please return to the Company a signed copy of that agreement.</w:t>
      </w:r>
    </w:p>
    <w:p>
      <w:pPr>
        <w:spacing w:after="0" w:line="194" w:lineRule="exact"/>
        <w:rPr>
          <w:rFonts w:ascii="Times New Roman" w:cs="Times New Roman" w:eastAsia="Times New Roman" w:hAnsi="Times New Roman"/>
          <w:sz w:val="20"/>
          <w:szCs w:val="20"/>
          <w:color w:val="auto"/>
        </w:rPr>
      </w:pPr>
    </w:p>
    <w:p>
      <w:pPr>
        <w:ind w:left="1140" w:right="300" w:hanging="484"/>
        <w:spacing w:after="0" w:line="295" w:lineRule="auto"/>
        <w:tabs>
          <w:tab w:leader="none" w:pos="967"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Modification</w:t>
      </w:r>
      <w:r>
        <w:rPr>
          <w:rFonts w:ascii="Times New Roman" w:cs="Times New Roman" w:eastAsia="Times New Roman" w:hAnsi="Times New Roman"/>
          <w:sz w:val="19"/>
          <w:szCs w:val="19"/>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51" w:lineRule="exact"/>
        <w:rPr>
          <w:rFonts w:ascii="Times New Roman" w:cs="Times New Roman" w:eastAsia="Times New Roman" w:hAnsi="Times New Roman"/>
          <w:sz w:val="19"/>
          <w:szCs w:val="19"/>
          <w:color w:val="auto"/>
        </w:rPr>
      </w:pPr>
    </w:p>
    <w:p>
      <w:pPr>
        <w:ind w:left="1140" w:hanging="484"/>
        <w:spacing w:after="0" w:line="269" w:lineRule="auto"/>
        <w:tabs>
          <w:tab w:leader="none" w:pos="10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Reliance</w:t>
      </w:r>
      <w:r>
        <w:rPr>
          <w:rFonts w:ascii="Times New Roman" w:cs="Times New Roman" w:eastAsia="Times New Roman" w:hAnsi="Times New Roman"/>
          <w:sz w:val="20"/>
          <w:szCs w:val="20"/>
          <w:color w:val="auto"/>
        </w:rPr>
        <w:t>. You acknowledge that you are not relocating your residence or resigning employment in reliance on any promise or representation by the Company regarding the</w:t>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Employment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kind, character, or existence of such work, or the length of time such work will last, or the compensation therefore.</w:t>
      </w:r>
    </w:p>
    <w:p>
      <w:pPr>
        <w:spacing w:after="0" w:line="229" w:lineRule="exact"/>
        <w:rPr>
          <w:sz w:val="20"/>
          <w:szCs w:val="20"/>
          <w:color w:val="auto"/>
        </w:rPr>
      </w:pPr>
    </w:p>
    <w:p>
      <w:pPr>
        <w:ind w:left="1000" w:hanging="344"/>
        <w:spacing w:after="0"/>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Agreements</w:t>
      </w:r>
      <w:r>
        <w:rPr>
          <w:rFonts w:ascii="Times New Roman" w:cs="Times New Roman" w:eastAsia="Times New Roman" w:hAnsi="Times New Roman"/>
          <w:sz w:val="20"/>
          <w:szCs w:val="20"/>
          <w:color w:val="auto"/>
        </w:rPr>
        <w:t>. This letter supersedes any prior agreements regarding your employment or engagement with the Company.</w:t>
      </w:r>
    </w:p>
    <w:p>
      <w:pPr>
        <w:spacing w:after="0" w:line="242" w:lineRule="exact"/>
        <w:rPr>
          <w:rFonts w:ascii="Times New Roman" w:cs="Times New Roman" w:eastAsia="Times New Roman" w:hAnsi="Times New Roman"/>
          <w:sz w:val="20"/>
          <w:szCs w:val="20"/>
          <w:color w:val="auto"/>
        </w:rPr>
      </w:pPr>
    </w:p>
    <w:p>
      <w:pPr>
        <w:ind w:left="1140" w:right="100" w:hanging="484"/>
        <w:spacing w:after="0" w:line="239" w:lineRule="auto"/>
        <w:tabs>
          <w:tab w:leader="none" w:pos="95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Severability</w:t>
      </w:r>
      <w:r>
        <w:rPr>
          <w:rFonts w:ascii="Times New Roman" w:cs="Times New Roman" w:eastAsia="Times New Roman" w:hAnsi="Times New Roman"/>
          <w:sz w:val="20"/>
          <w:szCs w:val="20"/>
          <w:color w:val="auto"/>
        </w:rPr>
        <w:t>. The validity, interpretation, construction and performance of this letter will be governed by the laws of the state in which you are employed, without regard for the state’s conflict of laws provisions. The invalidity or unenforceability of any provision or provisions of this letter will not affect the validity or enforceability of any other provision hereof, which will remain in full force and effect.</w:t>
      </w:r>
    </w:p>
    <w:p>
      <w:pPr>
        <w:spacing w:after="0" w:line="217" w:lineRule="exact"/>
        <w:rPr>
          <w:rFonts w:ascii="Times New Roman" w:cs="Times New Roman" w:eastAsia="Times New Roman" w:hAnsi="Times New Roman"/>
          <w:sz w:val="20"/>
          <w:szCs w:val="20"/>
          <w:color w:val="auto"/>
        </w:rPr>
      </w:pPr>
    </w:p>
    <w:p>
      <w:pPr>
        <w:ind w:left="1140" w:right="40" w:hanging="484"/>
        <w:spacing w:after="0"/>
        <w:tabs>
          <w:tab w:leader="none" w:pos="95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Remainder of this Page is Intentionally Left Blank]</w:t>
      </w:r>
    </w:p>
    <w:p>
      <w:pPr>
        <w:sectPr>
          <w:pgSz w:w="11900" w:h="16838" w:orient="portrait"/>
          <w:cols w:equalWidth="0" w:num="1">
            <w:col w:w="11240"/>
          </w:cols>
          <w:pgMar w:left="320" w:top="10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Employment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60"/>
        <w:spacing w:after="0" w:line="255" w:lineRule="auto"/>
        <w:rPr>
          <w:sz w:val="20"/>
          <w:szCs w:val="20"/>
          <w:color w:val="auto"/>
        </w:rPr>
      </w:pPr>
      <w:r>
        <w:rPr>
          <w:rFonts w:ascii="Times New Roman" w:cs="Times New Roman" w:eastAsia="Times New Roman" w:hAnsi="Times New Roman"/>
          <w:sz w:val="20"/>
          <w:szCs w:val="20"/>
          <w:color w:val="auto"/>
        </w:rPr>
        <w:t xml:space="preserve">If you accept the terms of the foregoing offer of employment, please so indicate by signing and dating below and returning it to the Company’s attention </w:t>
      </w:r>
      <w:r>
        <w:rPr>
          <w:rFonts w:ascii="Times New Roman" w:cs="Times New Roman" w:eastAsia="Times New Roman" w:hAnsi="Times New Roman"/>
          <w:sz w:val="20"/>
          <w:szCs w:val="20"/>
          <w:i w:val="1"/>
          <w:iCs w:val="1"/>
          <w:color w:val="auto"/>
        </w:rPr>
        <w:t>no later than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January 29, 2026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GHOST MANAGEMENT GROUP, LLC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95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Douglas Francis</w:t>
      </w:r>
    </w:p>
    <w:p>
      <w:pPr>
        <w:ind w:left="41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Susan Echard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Susan Echard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01/29/2026</w:t>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WM Technology,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Severance and Change in Control Plan</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INTRODUCTION.</w:t>
      </w:r>
    </w:p>
    <w:p>
      <w:pPr>
        <w:spacing w:after="0" w:line="17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The WM Technology, Inc. Severance and Change in Control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hereby established by the Board of Directors of WM Technology,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upon the Effective Date (as defined below). The purpose of the Plan is to provide for the payment of severance and/or Change in Control (as defined below) benefits to eligible employees of the Company Group (as defined below). This Plan document also is the Summary Plan Description for the Plan.</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purposes of the Plan, the following terms are defined as follows:</w:t>
      </w:r>
    </w:p>
    <w:p>
      <w:pPr>
        <w:spacing w:after="0" w:line="171" w:lineRule="exact"/>
        <w:rPr>
          <w:sz w:val="20"/>
          <w:szCs w:val="20"/>
          <w:color w:val="auto"/>
        </w:rPr>
      </w:pPr>
    </w:p>
    <w:p>
      <w:pPr>
        <w:jc w:val="both"/>
        <w:ind w:firstLine="1304"/>
        <w:spacing w:after="0" w:line="263" w:lineRule="auto"/>
        <w:tabs>
          <w:tab w:leader="none" w:pos="1932"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 405 promulgated under the Securities Act. The Board of Directors of the Company may determine the time or times at which “parent” or “subsidiary” status is determined within the foregoing definition.</w:t>
      </w:r>
    </w:p>
    <w:p>
      <w:pPr>
        <w:spacing w:after="0" w:line="121"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43"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07" w:lineRule="exact"/>
        <w:rPr>
          <w:rFonts w:ascii="Times New Roman" w:cs="Times New Roman" w:eastAsia="Times New Roman" w:hAnsi="Times New Roman"/>
          <w:sz w:val="20"/>
          <w:szCs w:val="20"/>
          <w:b w:val="1"/>
          <w:bCs w:val="1"/>
          <w:color w:val="auto"/>
        </w:rPr>
      </w:pPr>
    </w:p>
    <w:p>
      <w:pPr>
        <w:jc w:val="both"/>
        <w:ind w:firstLine="1304"/>
        <w:spacing w:after="0" w:line="260" w:lineRule="auto"/>
        <w:tabs>
          <w:tab w:leader="none" w:pos="193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with respect to a particular employee, the meaning ascribed to such term in any written employment agreement, offer letter or similar agreement between such employee and the Company Group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123" w:lineRule="exact"/>
        <w:rPr>
          <w:rFonts w:ascii="Times New Roman" w:cs="Times New Roman" w:eastAsia="Times New Roman" w:hAnsi="Times New Roman"/>
          <w:sz w:val="20"/>
          <w:szCs w:val="20"/>
          <w:b w:val="1"/>
          <w:bCs w:val="1"/>
          <w:color w:val="auto"/>
        </w:rPr>
      </w:pPr>
    </w:p>
    <w:p>
      <w:pPr>
        <w:jc w:val="both"/>
        <w:ind w:firstLine="1304"/>
        <w:spacing w:after="0" w:line="255" w:lineRule="auto"/>
        <w:tabs>
          <w:tab w:leader="none" w:pos="1943"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has the meaning ascribed to such term in the Equity Plan; except that no transaction, event, or series of transactions or events will be a Change in Control under the Plan if after completion of the transaction, event, or series of transactions or events Doug Francis Owns, directly or indirectly, securities of the Company representing at least 15% of the combined voting power of the Company’s then outstanding securities.</w:t>
      </w:r>
    </w:p>
    <w:p>
      <w:pPr>
        <w:spacing w:after="0" w:line="129" w:lineRule="exact"/>
        <w:rPr>
          <w:rFonts w:ascii="Times New Roman" w:cs="Times New Roman" w:eastAsia="Times New Roman" w:hAnsi="Times New Roman"/>
          <w:sz w:val="20"/>
          <w:szCs w:val="20"/>
          <w:b w:val="1"/>
          <w:bCs w:val="1"/>
          <w:color w:val="auto"/>
        </w:rPr>
      </w:pPr>
    </w:p>
    <w:p>
      <w:pPr>
        <w:ind w:firstLine="1304"/>
        <w:spacing w:after="0" w:line="287" w:lineRule="auto"/>
        <w:tabs>
          <w:tab w:leader="none" w:pos="193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 Period</w:t>
      </w:r>
      <w:r>
        <w:rPr>
          <w:rFonts w:ascii="Times New Roman" w:cs="Times New Roman" w:eastAsia="Times New Roman" w:hAnsi="Times New Roman"/>
          <w:sz w:val="20"/>
          <w:szCs w:val="20"/>
          <w:color w:val="auto"/>
        </w:rPr>
        <w:t>” means the period commencing three months prior to the Closing of a Change in Control and ending 12 months following the Closing of a Change in Control.</w:t>
      </w:r>
    </w:p>
    <w:p>
      <w:pPr>
        <w:spacing w:after="0" w:line="84"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39"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121"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including any applicable regulations and guidance</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thereunder.</w:t>
      </w:r>
    </w:p>
    <w:p>
      <w:pPr>
        <w:spacing w:after="0" w:line="142"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Board of Directors or the Compensation Committee of the Board of Directors of the</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Company.</w:t>
      </w:r>
    </w:p>
    <w:p>
      <w:pPr>
        <w:spacing w:after="0" w:line="142"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WM Technology, Inc. or, following a Change in Control, the surviving entity resulting from such</w:t>
      </w:r>
    </w:p>
    <w:p>
      <w:pPr>
        <w:spacing w:after="0" w:line="43"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10" w:name="page11"/>
    <w:bookmarkEnd w:id="10"/>
    <w:p>
      <w:pPr>
        <w:spacing w:after="0" w:line="131" w:lineRule="exact"/>
        <w:rPr>
          <w:sz w:val="20"/>
          <w:szCs w:val="20"/>
          <w:color w:val="auto"/>
        </w:rPr>
      </w:pPr>
    </w:p>
    <w:p>
      <w:pPr>
        <w:ind w:left="1940" w:hanging="636"/>
        <w:spacing w:after="0"/>
        <w:tabs>
          <w:tab w:leader="none" w:pos="194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means the Company and its Affiliates.</w:t>
      </w:r>
    </w:p>
    <w:p>
      <w:pPr>
        <w:spacing w:after="0" w:line="175" w:lineRule="exact"/>
        <w:rPr>
          <w:rFonts w:ascii="Times New Roman" w:cs="Times New Roman" w:eastAsia="Times New Roman" w:hAnsi="Times New Roman"/>
          <w:sz w:val="20"/>
          <w:szCs w:val="20"/>
          <w:b w:val="1"/>
          <w:bCs w:val="1"/>
          <w:color w:val="auto"/>
        </w:rPr>
      </w:pPr>
    </w:p>
    <w:p>
      <w:pPr>
        <w:ind w:firstLine="1304"/>
        <w:spacing w:after="0" w:line="273" w:lineRule="auto"/>
        <w:tabs>
          <w:tab w:leader="none" w:pos="1943"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Confidentiality Agreement</w:t>
      </w:r>
      <w:r>
        <w:rPr>
          <w:rFonts w:ascii="Times New Roman" w:cs="Times New Roman" w:eastAsia="Times New Roman" w:hAnsi="Times New Roman"/>
          <w:sz w:val="20"/>
          <w:szCs w:val="20"/>
          <w:color w:val="auto"/>
        </w:rPr>
        <w:t>” means the Company Group’s standard form of Confidential Information, Non-Solicitation and Inventions Assignment Agreement or any similar or successor document.</w:t>
      </w:r>
    </w:p>
    <w:p>
      <w:pPr>
        <w:spacing w:after="0" w:line="111"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42"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Termination</w:t>
      </w:r>
      <w:r>
        <w:rPr>
          <w:rFonts w:ascii="Times New Roman" w:cs="Times New Roman" w:eastAsia="Times New Roman" w:hAnsi="Times New Roman"/>
          <w:sz w:val="20"/>
          <w:szCs w:val="20"/>
          <w:color w:val="auto"/>
        </w:rPr>
        <w:t>” means, with respect to an employee, a termination of employment that is due to (1) a termination by the Company Group without Cause (other than as a result of the employee’s death or Disability) or (2) (i) a resignation for Good Reason at any time if the employee is the Company’s Chief Executive Officer and (ii) a resignation for Good Reason during a the Change in Control Period if the employee is not the Company’s Chief Executive Officer, and in either case of (1) or (2), results in such employee’s Separation from Service.</w:t>
      </w:r>
    </w:p>
    <w:p>
      <w:pPr>
        <w:spacing w:after="0" w:line="133" w:lineRule="exact"/>
        <w:rPr>
          <w:rFonts w:ascii="Times New Roman" w:cs="Times New Roman" w:eastAsia="Times New Roman" w:hAnsi="Times New Roman"/>
          <w:sz w:val="20"/>
          <w:szCs w:val="20"/>
          <w:b w:val="1"/>
          <w:bCs w:val="1"/>
          <w:color w:val="auto"/>
        </w:rPr>
      </w:pPr>
    </w:p>
    <w:p>
      <w:pPr>
        <w:jc w:val="both"/>
        <w:ind w:firstLine="1304"/>
        <w:spacing w:after="0" w:line="260" w:lineRule="auto"/>
        <w:tabs>
          <w:tab w:leader="none" w:pos="1944"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any physical or mental condition which renders an employee incapable of performing the work for which he or she was employed by the Company or similar work offered by the Company Group. The Disability of an employee shall be established if (i) the employee satisfies the requirements for benefits under the Company Group’s long-term disability plan or (ii) if no long-term disability plan, the employee satisfies the requirements for Social Security disability benefits.</w:t>
      </w:r>
    </w:p>
    <w:p>
      <w:pPr>
        <w:spacing w:after="0" w:line="110"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December 11, 2021.</w:t>
      </w:r>
    </w:p>
    <w:p>
      <w:pPr>
        <w:spacing w:after="0" w:line="175" w:lineRule="exact"/>
        <w:rPr>
          <w:rFonts w:ascii="Times New Roman" w:cs="Times New Roman" w:eastAsia="Times New Roman" w:hAnsi="Times New Roman"/>
          <w:sz w:val="20"/>
          <w:szCs w:val="20"/>
          <w:b w:val="1"/>
          <w:bCs w:val="1"/>
          <w:color w:val="auto"/>
        </w:rPr>
      </w:pPr>
    </w:p>
    <w:p>
      <w:pPr>
        <w:ind w:firstLine="1304"/>
        <w:spacing w:after="0" w:line="273" w:lineRule="auto"/>
        <w:tabs>
          <w:tab w:leader="none" w:pos="1932"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Employee</w:t>
      </w:r>
      <w:r>
        <w:rPr>
          <w:rFonts w:ascii="Times New Roman" w:cs="Times New Roman" w:eastAsia="Times New Roman" w:hAnsi="Times New Roman"/>
          <w:sz w:val="20"/>
          <w:szCs w:val="20"/>
          <w:color w:val="auto"/>
        </w:rPr>
        <w:t>” means an employee of the Company Group that meets the requirements to be eligible to receive Plan benefits as set forth in Section 2.</w:t>
      </w:r>
    </w:p>
    <w:p>
      <w:pPr>
        <w:spacing w:after="0" w:line="111"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means the WM Technology, Inc. 2021 Equity Incentive Plan, as amended from time to time, or any</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successor plan thereto.</w:t>
      </w:r>
    </w:p>
    <w:p>
      <w:pPr>
        <w:spacing w:after="0" w:line="142" w:lineRule="exact"/>
        <w:rPr>
          <w:rFonts w:ascii="Times New Roman" w:cs="Times New Roman" w:eastAsia="Times New Roman" w:hAnsi="Times New Roman"/>
          <w:sz w:val="20"/>
          <w:szCs w:val="20"/>
          <w:b w:val="1"/>
          <w:bCs w:val="1"/>
          <w:color w:val="auto"/>
        </w:rPr>
      </w:pPr>
    </w:p>
    <w:p>
      <w:pPr>
        <w:jc w:val="both"/>
        <w:ind w:firstLine="1304"/>
        <w:spacing w:after="0" w:line="260" w:lineRule="auto"/>
        <w:tabs>
          <w:tab w:leader="none" w:pos="1943"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for an employee’s resignation has such meaning, with respect to a particular employee, as is ascribed to such term in any written employment agreement, offer letter or similar agreement between such employee and the Company Group defining such term, and, in the absence of such agreement, means the undertaking of any of the following by the Company Group without the employee’s written consent:</w:t>
      </w:r>
    </w:p>
    <w:p>
      <w:pPr>
        <w:spacing w:after="0" w:line="114" w:lineRule="exact"/>
        <w:rPr>
          <w:rFonts w:ascii="Times New Roman" w:cs="Times New Roman" w:eastAsia="Times New Roman" w:hAnsi="Times New Roman"/>
          <w:sz w:val="20"/>
          <w:szCs w:val="20"/>
          <w:b w:val="1"/>
          <w:bCs w:val="1"/>
          <w:color w:val="auto"/>
        </w:rPr>
      </w:pPr>
    </w:p>
    <w:p>
      <w:pPr>
        <w:jc w:val="both"/>
        <w:ind w:left="80" w:firstLine="1953"/>
        <w:spacing w:after="0" w:line="268" w:lineRule="auto"/>
        <w:tabs>
          <w:tab w:leader="none" w:pos="2579"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material reduction in a such employee’s base salary (unless pursuant to a salary reduction program affecting substantially all of the similarly situated employees of the Company Group and that does not adversely affect the employee to a greater extent than other similarly situated employees);</w:t>
      </w:r>
    </w:p>
    <w:p>
      <w:pPr>
        <w:spacing w:after="0" w:line="107"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material diminution of the employee’s authority, duties or responsibilities;</w:t>
      </w:r>
    </w:p>
    <w:p>
      <w:pPr>
        <w:spacing w:after="0" w:line="175" w:lineRule="exact"/>
        <w:rPr>
          <w:rFonts w:ascii="Times New Roman" w:cs="Times New Roman" w:eastAsia="Times New Roman" w:hAnsi="Times New Roman"/>
          <w:sz w:val="20"/>
          <w:szCs w:val="20"/>
          <w:b w:val="1"/>
          <w:bCs w:val="1"/>
          <w:color w:val="auto"/>
        </w:rPr>
      </w:pPr>
    </w:p>
    <w:p>
      <w:pPr>
        <w:jc w:val="both"/>
        <w:ind w:left="80" w:firstLine="1953"/>
        <w:spacing w:after="0" w:line="251" w:lineRule="auto"/>
        <w:tabs>
          <w:tab w:leader="none" w:pos="2579"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relocation of such employee’s principal place of employment with the Company Group (or successor to the Company, if applicable) to a place that increases such employee’s one-way commute by more than 50 miles as compared to such employee’s then-current principal place of employment immediately prior to such relocation (excluding regular travel in the ordinary course of business); provided that (i) if such employee’s principal place of employment is his or her personal residence, this clause (3) shall not apply and (ii) if the employee works remotely during any period in which such employee’s regular principal office location is a Company Group office that is closed, then neither the employee’s relocation to remote work or back to the office from remote work will be considered a relocation of such employee’s principal office location for purposes of this definition;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5" w:lineRule="exact"/>
        <w:rPr>
          <w:sz w:val="20"/>
          <w:szCs w:val="20"/>
          <w:color w:val="auto"/>
        </w:rPr>
      </w:pPr>
    </w:p>
    <w:p>
      <w:pPr>
        <w:jc w:val="both"/>
        <w:ind w:left="80" w:firstLine="1953"/>
        <w:spacing w:after="0" w:line="251" w:lineRule="auto"/>
        <w:tabs>
          <w:tab w:leader="none" w:pos="2579"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material breach by the Company Group of any provision of this Plan or any other material agreement between such employee and the Company Group concerning the terms and conditions of such employee’s employment with the Company Group. Notwithstanding the foregoing, in order for the employee’s resignation to be deemed to have been for Good Reason, the employee must (a) provide written notice to the Company Group of such employee’s intent to resign for Good Reason within 30 days after the first occurrence of the event giving rise to Good Reason, which notice shall describe the event(s) the employee believes give rise to Good Reason; (b) allow the Company Group at least 30 days from receipt of the written notice to cure the event (such period, the “</w:t>
      </w:r>
      <w:r>
        <w:rPr>
          <w:rFonts w:ascii="Times New Roman" w:cs="Times New Roman" w:eastAsia="Times New Roman" w:hAnsi="Times New Roman"/>
          <w:sz w:val="20"/>
          <w:szCs w:val="20"/>
          <w:b w:val="1"/>
          <w:bCs w:val="1"/>
          <w:i w:val="1"/>
          <w:iCs w:val="1"/>
          <w:color w:val="auto"/>
        </w:rPr>
        <w:t>Cure Period</w:t>
      </w:r>
      <w:r>
        <w:rPr>
          <w:rFonts w:ascii="Times New Roman" w:cs="Times New Roman" w:eastAsia="Times New Roman" w:hAnsi="Times New Roman"/>
          <w:sz w:val="20"/>
          <w:szCs w:val="20"/>
          <w:color w:val="auto"/>
        </w:rPr>
        <w:t>”), and (c) if the event is not reasonably cured within the Cure Period, the employee’s resignation from all positions held with the Company Group is effective not later than 30 days after the expiration of the Cure Period.</w:t>
      </w:r>
    </w:p>
    <w:p>
      <w:pPr>
        <w:spacing w:after="0" w:line="137"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 has the meaning ascribed to such term in the Equity Plan.</w:t>
      </w:r>
    </w:p>
    <w:p>
      <w:pPr>
        <w:spacing w:after="0" w:line="161" w:lineRule="exact"/>
        <w:rPr>
          <w:rFonts w:ascii="Times New Roman" w:cs="Times New Roman" w:eastAsia="Times New Roman" w:hAnsi="Times New Roman"/>
          <w:sz w:val="20"/>
          <w:szCs w:val="20"/>
          <w:b w:val="1"/>
          <w:bCs w:val="1"/>
          <w:color w:val="auto"/>
        </w:rPr>
      </w:pPr>
    </w:p>
    <w:p>
      <w:pPr>
        <w:jc w:val="both"/>
        <w:ind w:firstLine="1304"/>
        <w:spacing w:after="0" w:line="270" w:lineRule="auto"/>
        <w:tabs>
          <w:tab w:leader="none" w:pos="1937"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Participation Agreement</w:t>
      </w:r>
      <w:r>
        <w:rPr>
          <w:rFonts w:ascii="Times New Roman" w:cs="Times New Roman" w:eastAsia="Times New Roman" w:hAnsi="Times New Roman"/>
          <w:sz w:val="20"/>
          <w:szCs w:val="20"/>
          <w:color w:val="auto"/>
        </w:rPr>
        <w:t xml:space="preserve">” means an agreement between an employee and the Company in substantially the form of </w:t>
      </w:r>
      <w:r>
        <w:rPr>
          <w:rFonts w:ascii="Times New Roman" w:cs="Times New Roman" w:eastAsia="Times New Roman" w:hAnsi="Times New Roman"/>
          <w:sz w:val="20"/>
          <w:szCs w:val="20"/>
          <w:b w:val="1"/>
          <w:bCs w:val="1"/>
          <w:color w:val="auto"/>
        </w:rPr>
        <w:t xml:space="preserve">APPENDIX A </w:t>
      </w:r>
      <w:r>
        <w:rPr>
          <w:rFonts w:ascii="Times New Roman" w:cs="Times New Roman" w:eastAsia="Times New Roman" w:hAnsi="Times New Roman"/>
          <w:sz w:val="20"/>
          <w:szCs w:val="20"/>
          <w:color w:val="auto"/>
        </w:rPr>
        <w:t>attached hereto, and which may include such other terms as the Committee deems necessary or advisable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the Plan.</w:t>
      </w:r>
    </w:p>
    <w:p>
      <w:pPr>
        <w:spacing w:after="0" w:line="101"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Administrator</w:t>
      </w:r>
      <w:r>
        <w:rPr>
          <w:rFonts w:ascii="Times New Roman" w:cs="Times New Roman" w:eastAsia="Times New Roman" w:hAnsi="Times New Roman"/>
          <w:sz w:val="20"/>
          <w:szCs w:val="20"/>
          <w:color w:val="auto"/>
        </w:rPr>
        <w:t>” means the Committee prior to the Closing and the Representative upon and following the</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Closing, as applicable.</w:t>
      </w:r>
    </w:p>
    <w:p>
      <w:pPr>
        <w:spacing w:after="0" w:line="142" w:lineRule="exact"/>
        <w:rPr>
          <w:rFonts w:ascii="Times New Roman" w:cs="Times New Roman" w:eastAsia="Times New Roman" w:hAnsi="Times New Roman"/>
          <w:sz w:val="20"/>
          <w:szCs w:val="20"/>
          <w:b w:val="1"/>
          <w:bCs w:val="1"/>
          <w:color w:val="auto"/>
        </w:rPr>
      </w:pPr>
    </w:p>
    <w:p>
      <w:pPr>
        <w:jc w:val="both"/>
        <w:ind w:firstLine="1304"/>
        <w:spacing w:after="0" w:line="270" w:lineRule="auto"/>
        <w:tabs>
          <w:tab w:leader="none" w:pos="1943"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Representative</w:t>
      </w:r>
      <w:r>
        <w:rPr>
          <w:rFonts w:ascii="Times New Roman" w:cs="Times New Roman" w:eastAsia="Times New Roman" w:hAnsi="Times New Roman"/>
          <w:sz w:val="20"/>
          <w:szCs w:val="20"/>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9(a).</w:t>
      </w:r>
    </w:p>
    <w:p>
      <w:pPr>
        <w:spacing w:after="0" w:line="101" w:lineRule="exact"/>
        <w:rPr>
          <w:rFonts w:ascii="Times New Roman" w:cs="Times New Roman" w:eastAsia="Times New Roman" w:hAnsi="Times New Roman"/>
          <w:sz w:val="20"/>
          <w:szCs w:val="20"/>
          <w:b w:val="1"/>
          <w:bCs w:val="1"/>
          <w:color w:val="auto"/>
        </w:rPr>
      </w:pPr>
    </w:p>
    <w:p>
      <w:pPr>
        <w:ind w:firstLine="1304"/>
        <w:spacing w:after="0" w:line="287" w:lineRule="auto"/>
        <w:tabs>
          <w:tab w:leader="none" w:pos="1932"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the treasury regulations and other guidance thereunder and any state law of similar effect.</w:t>
      </w:r>
    </w:p>
    <w:p>
      <w:pPr>
        <w:spacing w:after="0" w:line="84" w:lineRule="exact"/>
        <w:rPr>
          <w:rFonts w:ascii="Times New Roman" w:cs="Times New Roman" w:eastAsia="Times New Roman" w:hAnsi="Times New Roman"/>
          <w:sz w:val="20"/>
          <w:szCs w:val="20"/>
          <w:b w:val="1"/>
          <w:bCs w:val="1"/>
          <w:color w:val="auto"/>
        </w:rPr>
      </w:pPr>
    </w:p>
    <w:p>
      <w:pPr>
        <w:ind w:firstLine="1304"/>
        <w:spacing w:after="0" w:line="287" w:lineRule="auto"/>
        <w:tabs>
          <w:tab w:leader="none" w:pos="1935"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means a “separation from service” within the meaning of Treasury Regulations Section 1.409A-1(h), without regard to any alternative definition thereunder.</w:t>
      </w:r>
    </w:p>
    <w:p>
      <w:pPr>
        <w:spacing w:after="0" w:line="84"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932"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Target Bonus</w:t>
      </w:r>
      <w:r>
        <w:rPr>
          <w:rFonts w:ascii="Times New Roman" w:cs="Times New Roman" w:eastAsia="Times New Roman" w:hAnsi="Times New Roman"/>
          <w:sz w:val="20"/>
          <w:szCs w:val="20"/>
          <w:color w:val="auto"/>
        </w:rPr>
        <w:t>” means the cash bonus payable to an Eligible Employee pursuant to an annual performance bonus or annual variable compensation plan following completion of the applicable plan year and based on achievement of specified performance goals for the year in which such Covered Termination occurs, as if all the applicable performance goals for such year were attained at a level of 100%. If at the time of the Covered Termination, an Eligible Employee is eligible for a Target Bonus, but no target percentage or target dollar amount is specified for the year in which such Covered Termination occurs, the Target Bonus amount will be the target bonus percentage established for such eligible employee in the preceding year (but adjusted if necessary for your position for the year in which the Covered Termination occurs). The Target Bonus shall not include any bonus paid in installments during the applicable plan year.</w:t>
      </w:r>
    </w:p>
    <w:p>
      <w:pPr>
        <w:spacing w:after="0" w:line="13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ELIGIBILITY FOR BENEFITS.</w:t>
      </w:r>
    </w:p>
    <w:p>
      <w:pPr>
        <w:spacing w:after="0" w:line="162" w:lineRule="exact"/>
        <w:rPr>
          <w:sz w:val="20"/>
          <w:szCs w:val="20"/>
          <w:color w:val="auto"/>
        </w:rPr>
      </w:pPr>
    </w:p>
    <w:p>
      <w:pPr>
        <w:jc w:val="both"/>
        <w:ind w:firstLine="1304"/>
        <w:spacing w:after="0" w:line="254" w:lineRule="auto"/>
        <w:tabs>
          <w:tab w:leader="none" w:pos="1932"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Eligible Employee</w:t>
      </w:r>
      <w:r>
        <w:rPr>
          <w:rFonts w:ascii="Times New Roman" w:cs="Times New Roman" w:eastAsia="Times New Roman" w:hAnsi="Times New Roman"/>
          <w:sz w:val="20"/>
          <w:szCs w:val="20"/>
          <w:color w:val="auto"/>
        </w:rPr>
        <w:t>. An employee of the Company Group is eligible to participate in the Plan if (i)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has designated such employee as eligible to participate in the Plan by providing such employee a Participation Agreement; (ii) such employee has signed and returned such Participation Agreement to the Company Group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1" w:lineRule="exact"/>
        <w:rPr>
          <w:sz w:val="20"/>
          <w:szCs w:val="20"/>
          <w:color w:val="auto"/>
        </w:rPr>
      </w:pPr>
    </w:p>
    <w:p>
      <w:pPr>
        <w:jc w:val="both"/>
        <w:ind w:left="-180" w:firstLine="1304"/>
        <w:spacing w:after="0" w:line="260" w:lineRule="auto"/>
        <w:tabs>
          <w:tab w:leader="none" w:pos="1763"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Release Requirement. </w:t>
      </w:r>
      <w:r>
        <w:rPr>
          <w:rFonts w:ascii="Times New Roman" w:cs="Times New Roman" w:eastAsia="Times New Roman" w:hAnsi="Times New Roman"/>
          <w:sz w:val="20"/>
          <w:szCs w:val="20"/>
          <w:color w:val="auto"/>
        </w:rPr>
        <w:t>Except as otherwise provided in an individual Participation Agreement, in order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eligible to receive benefits under the Plan, the employee also must execute a general waiver and release, in such a form as provided by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110" w:lineRule="exact"/>
        <w:rPr>
          <w:rFonts w:ascii="Times New Roman" w:cs="Times New Roman" w:eastAsia="Times New Roman" w:hAnsi="Times New Roman"/>
          <w:sz w:val="20"/>
          <w:szCs w:val="20"/>
          <w:b w:val="1"/>
          <w:bCs w:val="1"/>
          <w:color w:val="auto"/>
        </w:rPr>
      </w:pPr>
    </w:p>
    <w:p>
      <w:pPr>
        <w:jc w:val="both"/>
        <w:ind w:left="-180" w:firstLine="1304"/>
        <w:spacing w:after="0" w:line="254" w:lineRule="auto"/>
        <w:tabs>
          <w:tab w:leader="none" w:pos="1754"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Benefits Provided In Lieu of Any Previous Benefits. </w:t>
      </w:r>
      <w:r>
        <w:rPr>
          <w:rFonts w:ascii="Times New Roman" w:cs="Times New Roman" w:eastAsia="Times New Roman" w:hAnsi="Times New Roman"/>
          <w:sz w:val="20"/>
          <w:szCs w:val="20"/>
          <w:color w:val="auto"/>
        </w:rPr>
        <w:t>Except as otherwise provided in an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Agreement, this Plan shall supersede any change in control or severance benefit plan, policy or practice previously maintained by the Company Group with respect to an Eligible Employee and any change in control or severance benefits in any individually negotiated employment contract or other agreement between the Company Group and an Eligible Employee. Notwithstanding the foregoing, the Eligible Employee’s outstanding equity awards shall remain subject to the terms of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118" w:lineRule="exact"/>
        <w:rPr>
          <w:rFonts w:ascii="Times New Roman" w:cs="Times New Roman" w:eastAsia="Times New Roman" w:hAnsi="Times New Roman"/>
          <w:sz w:val="20"/>
          <w:szCs w:val="20"/>
          <w:b w:val="1"/>
          <w:bCs w:val="1"/>
          <w:color w:val="auto"/>
        </w:rPr>
      </w:pPr>
    </w:p>
    <w:p>
      <w:pPr>
        <w:ind w:left="-180" w:firstLine="1304"/>
        <w:spacing w:after="0" w:line="287" w:lineRule="auto"/>
        <w:tabs>
          <w:tab w:leader="none" w:pos="1763"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Exceptions to Severance Benefit Entitlement. </w:t>
      </w:r>
      <w:r>
        <w:rPr>
          <w:rFonts w:ascii="Times New Roman" w:cs="Times New Roman" w:eastAsia="Times New Roman" w:hAnsi="Times New Roman"/>
          <w:sz w:val="20"/>
          <w:szCs w:val="20"/>
          <w:color w:val="auto"/>
        </w:rPr>
        <w:t>An employee who otherwise is an Eligible Employee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benefits under the Plan in the following circumstances, as determined by the Plan Administrator in its sole discretion:</w:t>
      </w:r>
    </w:p>
    <w:p>
      <w:pPr>
        <w:spacing w:after="0" w:line="88" w:lineRule="exact"/>
        <w:rPr>
          <w:rFonts w:ascii="Times New Roman" w:cs="Times New Roman" w:eastAsia="Times New Roman" w:hAnsi="Times New Roman"/>
          <w:sz w:val="20"/>
          <w:szCs w:val="20"/>
          <w:b w:val="1"/>
          <w:bCs w:val="1"/>
          <w:color w:val="auto"/>
        </w:rPr>
      </w:pPr>
    </w:p>
    <w:p>
      <w:pPr>
        <w:jc w:val="both"/>
        <w:ind w:left="-100" w:firstLine="1953"/>
        <w:spacing w:after="0" w:line="268" w:lineRule="auto"/>
        <w:tabs>
          <w:tab w:leader="none" w:pos="2399"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 is terminated by the Company Group for any reason or voluntarily terminates employment with the Company Group in any manner, and in either case, such termination does not constitute a Covered Termination. Voluntary terminations include, but are not limited to, resignation, retirement or failure to return from a leave of absence on the scheduled date.</w:t>
      </w:r>
    </w:p>
    <w:p>
      <w:pPr>
        <w:spacing w:after="0" w:line="107" w:lineRule="exact"/>
        <w:rPr>
          <w:rFonts w:ascii="Times New Roman" w:cs="Times New Roman" w:eastAsia="Times New Roman" w:hAnsi="Times New Roman"/>
          <w:sz w:val="20"/>
          <w:szCs w:val="20"/>
          <w:b w:val="1"/>
          <w:bCs w:val="1"/>
          <w:color w:val="auto"/>
        </w:rPr>
      </w:pPr>
    </w:p>
    <w:p>
      <w:pPr>
        <w:ind w:left="-100" w:firstLine="1953"/>
        <w:spacing w:after="0" w:line="283" w:lineRule="auto"/>
        <w:tabs>
          <w:tab w:leader="none" w:pos="2399"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 voluntarily terminates employment with the Company Group in order to accept employment with another entity that is wholly or partly owned (directly or indirectly) by the Company Group.</w:t>
      </w:r>
    </w:p>
    <w:p>
      <w:pPr>
        <w:spacing w:after="0" w:line="92" w:lineRule="exact"/>
        <w:rPr>
          <w:rFonts w:ascii="Times New Roman" w:cs="Times New Roman" w:eastAsia="Times New Roman" w:hAnsi="Times New Roman"/>
          <w:sz w:val="20"/>
          <w:szCs w:val="20"/>
          <w:b w:val="1"/>
          <w:bCs w:val="1"/>
          <w:color w:val="auto"/>
        </w:rPr>
      </w:pPr>
    </w:p>
    <w:p>
      <w:pPr>
        <w:jc w:val="both"/>
        <w:ind w:left="-100" w:firstLine="1953"/>
        <w:spacing w:after="0" w:line="261" w:lineRule="auto"/>
        <w:tabs>
          <w:tab w:leader="none" w:pos="2399"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 is offered an identical or substantially equivalent or comparable position with the Company Group.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127" w:lineRule="exact"/>
        <w:rPr>
          <w:rFonts w:ascii="Times New Roman" w:cs="Times New Roman" w:eastAsia="Times New Roman" w:hAnsi="Times New Roman"/>
          <w:sz w:val="20"/>
          <w:szCs w:val="20"/>
          <w:b w:val="1"/>
          <w:bCs w:val="1"/>
          <w:color w:val="auto"/>
        </w:rPr>
      </w:pPr>
    </w:p>
    <w:p>
      <w:pPr>
        <w:jc w:val="both"/>
        <w:ind w:left="-100" w:firstLine="1953"/>
        <w:spacing w:after="0" w:line="251" w:lineRule="auto"/>
        <w:tabs>
          <w:tab w:leader="none" w:pos="2399"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41" w:lineRule="exact"/>
        <w:rPr>
          <w:rFonts w:ascii="Times New Roman" w:cs="Times New Roman" w:eastAsia="Times New Roman" w:hAnsi="Times New Roman"/>
          <w:sz w:val="20"/>
          <w:szCs w:val="20"/>
          <w:b w:val="1"/>
          <w:bCs w:val="1"/>
          <w:color w:val="auto"/>
        </w:rPr>
      </w:pPr>
    </w:p>
    <w:p>
      <w:pPr>
        <w:ind w:left="-100" w:right="20" w:firstLine="1953"/>
        <w:spacing w:after="0" w:line="269" w:lineRule="auto"/>
        <w:tabs>
          <w:tab w:leader="none" w:pos="2399"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 is rehired by the Company Group and recommences employment prior to the date severance benefits under the Plan are scheduled to commence.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440" w:right="339" w:bottom="1440" w:gutter="0" w:footer="0" w:header="0"/>
        </w:sectPr>
      </w:pPr>
    </w:p>
    <w:bookmarkStart w:id="13" w:name="page14"/>
    <w:bookmarkEnd w:id="13"/>
    <w:p>
      <w:pPr>
        <w:spacing w:after="0" w:line="131" w:lineRule="exact"/>
        <w:rPr>
          <w:sz w:val="20"/>
          <w:szCs w:val="20"/>
          <w:color w:val="auto"/>
        </w:rPr>
      </w:pPr>
    </w:p>
    <w:p>
      <w:pPr>
        <w:jc w:val="both"/>
        <w:ind w:firstLine="1304"/>
        <w:spacing w:after="0" w:line="263" w:lineRule="auto"/>
        <w:tabs>
          <w:tab w:leader="none" w:pos="1934"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Severance Benefits</w:t>
      </w:r>
      <w:r>
        <w:rPr>
          <w:rFonts w:ascii="Times New Roman" w:cs="Times New Roman" w:eastAsia="Times New Roman" w:hAnsi="Times New Roman"/>
          <w:sz w:val="20"/>
          <w:szCs w:val="20"/>
          <w:color w:val="auto"/>
        </w:rPr>
        <w:t>. An Eligible Employee’s right to receive severance benefits under this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terminate immediately if, at any time prior to or during the period for which the Eligible Employee is receiving severance benefits under the Plan, the Eligible Employee</w:t>
      </w:r>
    </w:p>
    <w:p>
      <w:pPr>
        <w:spacing w:after="0" w:line="125" w:lineRule="exact"/>
        <w:rPr>
          <w:rFonts w:ascii="Times New Roman" w:cs="Times New Roman" w:eastAsia="Times New Roman" w:hAnsi="Times New Roman"/>
          <w:sz w:val="20"/>
          <w:szCs w:val="20"/>
          <w:b w:val="1"/>
          <w:bCs w:val="1"/>
          <w:color w:val="auto"/>
        </w:rPr>
      </w:pPr>
    </w:p>
    <w:p>
      <w:pPr>
        <w:jc w:val="both"/>
        <w:ind w:left="80" w:firstLine="1953"/>
        <w:spacing w:after="0" w:line="258" w:lineRule="auto"/>
        <w:tabs>
          <w:tab w:leader="none" w:pos="2579"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willfully breaches any material statutory, common law, or contractual obligation to the Company Group (including, without limitation, the contractual obligations set forth in the Confidentiality Agreement and any other confidentiality, non-disclosure and developments agreement, non-competition, non-solicitation, or similar type agreement between the Eligible Employee and the Company Group, as applicable);</w:t>
      </w:r>
    </w:p>
    <w:p>
      <w:pPr>
        <w:spacing w:after="0" w:line="118"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fails to enter into the terms of the Confidentiality Agreement; or</w:t>
      </w:r>
    </w:p>
    <w:p>
      <w:pPr>
        <w:spacing w:after="0" w:line="175" w:lineRule="exact"/>
        <w:rPr>
          <w:rFonts w:ascii="Times New Roman" w:cs="Times New Roman" w:eastAsia="Times New Roman" w:hAnsi="Times New Roman"/>
          <w:sz w:val="20"/>
          <w:szCs w:val="20"/>
          <w:b w:val="1"/>
          <w:bCs w:val="1"/>
          <w:color w:val="auto"/>
        </w:rPr>
      </w:pPr>
    </w:p>
    <w:p>
      <w:pPr>
        <w:jc w:val="both"/>
        <w:ind w:left="80" w:firstLine="1953"/>
        <w:spacing w:after="0" w:line="249" w:lineRule="auto"/>
        <w:tabs>
          <w:tab w:leader="none" w:pos="2579"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without the prior written approval of the Plan Administrator, engages in a Prohibited Action (as defined below). In addition, if benefits under the Plan have already been paid to the Eligible Employee and the Eligible Employee subsequently engages in a Prohibited Action during the Prohibited Period (or it is determined that the Eligible Employee engaged in a Prohibited Action prior to receipt of such benefits), any benefits previously paid to the Eligible Employee shall be subject to recoupment by the Company Group on such terms and conditions as shall be determined by the Plan Administrator, in its sole discretion. The “</w:t>
      </w:r>
      <w:r>
        <w:rPr>
          <w:rFonts w:ascii="Times New Roman" w:cs="Times New Roman" w:eastAsia="Times New Roman" w:hAnsi="Times New Roman"/>
          <w:sz w:val="20"/>
          <w:szCs w:val="20"/>
          <w:b w:val="1"/>
          <w:bCs w:val="1"/>
          <w:i w:val="1"/>
          <w:iCs w:val="1"/>
          <w:color w:val="auto"/>
        </w:rPr>
        <w:t>Prohibited Period</w:t>
      </w:r>
      <w:r>
        <w:rPr>
          <w:rFonts w:ascii="Times New Roman" w:cs="Times New Roman" w:eastAsia="Times New Roman" w:hAnsi="Times New Roman"/>
          <w:sz w:val="20"/>
          <w:szCs w:val="20"/>
          <w:color w:val="auto"/>
        </w:rPr>
        <w:t>” shall commence on the date of the Eligible Employee’s Covered Termination and continue for the number of months corresponding to the Severance Period set forth in such Eligible Employee’s Participation Agreement. A “</w:t>
      </w:r>
      <w:r>
        <w:rPr>
          <w:rFonts w:ascii="Times New Roman" w:cs="Times New Roman" w:eastAsia="Times New Roman" w:hAnsi="Times New Roman"/>
          <w:sz w:val="20"/>
          <w:szCs w:val="20"/>
          <w:b w:val="1"/>
          <w:bCs w:val="1"/>
          <w:i w:val="1"/>
          <w:iCs w:val="1"/>
          <w:color w:val="auto"/>
        </w:rPr>
        <w:t>Prohibited Action</w:t>
      </w:r>
      <w:r>
        <w:rPr>
          <w:rFonts w:ascii="Times New Roman" w:cs="Times New Roman" w:eastAsia="Times New Roman" w:hAnsi="Times New Roman"/>
          <w:sz w:val="20"/>
          <w:szCs w:val="20"/>
          <w:color w:val="auto"/>
        </w:rPr>
        <w:t>” shall occur if the Eligible Employee: (i) breaches a material provision of the Confidentiality Agreement and/or any obligations of confidentiality, non-solicitation, non-disparagement, no conflicts or non-competition set forth in the Eligible Employee’s employment agreement, offer letter, any other written agreement between the Eligible Employee and the Company Group, or under applicable law; (ii) encourages or solicits any of the Company Group’s then current employees to leave the Company Group’s employ for any reason or interferes in any other manner with employment relationships at the time existing between the Company Group and its then current employees; or (iii) induces any of the Company Group’s then current clients, customers, suppliers, vendors, distributors, licensors, licensees, or other third parties to terminate their existing business relationship with the Company Group or interferes in any other manner with any existing business relationship between the Company Group and any then current client, customer, supplier, vendor, distributor, licensor, licensee, or other third parties.</w:t>
      </w:r>
    </w:p>
    <w:p>
      <w:pPr>
        <w:spacing w:after="0" w:line="1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AMOUNT OF BENEFITS.</w:t>
      </w:r>
    </w:p>
    <w:p>
      <w:pPr>
        <w:spacing w:after="0" w:line="162" w:lineRule="exact"/>
        <w:rPr>
          <w:sz w:val="20"/>
          <w:szCs w:val="20"/>
          <w:color w:val="auto"/>
        </w:rPr>
      </w:pPr>
    </w:p>
    <w:p>
      <w:pPr>
        <w:ind w:firstLine="1304"/>
        <w:spacing w:after="0" w:line="287" w:lineRule="auto"/>
        <w:tabs>
          <w:tab w:leader="none" w:pos="1932"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Benefits in Participation Agreement. </w:t>
      </w:r>
      <w:r>
        <w:rPr>
          <w:rFonts w:ascii="Times New Roman" w:cs="Times New Roman" w:eastAsia="Times New Roman" w:hAnsi="Times New Roman"/>
          <w:sz w:val="20"/>
          <w:szCs w:val="20"/>
          <w:color w:val="auto"/>
        </w:rPr>
        <w:t>Benefits under the Plan shall be provided to an Eligible Employee as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Participation Agreement.</w:t>
      </w:r>
    </w:p>
    <w:p>
      <w:pPr>
        <w:spacing w:after="0" w:line="84"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43"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Additional Benefits. </w:t>
      </w:r>
      <w:r>
        <w:rPr>
          <w:rFonts w:ascii="Times New Roman" w:cs="Times New Roman" w:eastAsia="Times New Roman" w:hAnsi="Times New Roman"/>
          <w:sz w:val="20"/>
          <w:szCs w:val="20"/>
          <w:color w:val="auto"/>
        </w:rPr>
        <w:t>Notwithstanding the foregoing, the Committee may, in its sole discretion, provide benefits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individuals who are not Eligible Employees (“</w:t>
      </w:r>
      <w:r>
        <w:rPr>
          <w:rFonts w:ascii="Times New Roman" w:cs="Times New Roman" w:eastAsia="Times New Roman" w:hAnsi="Times New Roman"/>
          <w:sz w:val="20"/>
          <w:szCs w:val="20"/>
          <w:b w:val="1"/>
          <w:bCs w:val="1"/>
          <w:i w:val="1"/>
          <w:iCs w:val="1"/>
          <w:color w:val="auto"/>
        </w:rPr>
        <w:t>Non-Eligible Employees</w:t>
      </w:r>
      <w:r>
        <w:rPr>
          <w:rFonts w:ascii="Times New Roman" w:cs="Times New Roman" w:eastAsia="Times New Roman" w:hAnsi="Times New Roman"/>
          <w:sz w:val="20"/>
          <w:szCs w:val="20"/>
          <w:color w:val="auto"/>
        </w:rPr>
        <w:t>”) chosen by the Plan Administrator, in its sole discretion, and the provision of any such benefits to a Non-Eligible Employee shall in no way obligate the Company Group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113" w:lineRule="exact"/>
        <w:rPr>
          <w:rFonts w:ascii="Times New Roman" w:cs="Times New Roman" w:eastAsia="Times New Roman" w:hAnsi="Times New Roman"/>
          <w:sz w:val="20"/>
          <w:szCs w:val="20"/>
          <w:b w:val="1"/>
          <w:bCs w:val="1"/>
          <w:color w:val="auto"/>
        </w:rPr>
      </w:pPr>
    </w:p>
    <w:p>
      <w:pPr>
        <w:jc w:val="both"/>
        <w:ind w:firstLine="1304"/>
        <w:spacing w:after="0" w:line="260" w:lineRule="auto"/>
        <w:tabs>
          <w:tab w:leader="none" w:pos="1934"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Certain Reductions. </w:t>
      </w:r>
      <w:r>
        <w:rPr>
          <w:rFonts w:ascii="Times New Roman" w:cs="Times New Roman" w:eastAsia="Times New Roman" w:hAnsi="Times New Roman"/>
          <w:sz w:val="20"/>
          <w:szCs w:val="20"/>
          <w:color w:val="auto"/>
        </w:rPr>
        <w:t>In addition to Section 2(e) above, the Company, in its sole discretion, shall have the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reduce an 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Group that become payable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Eligible Employee’s termination of employment pursuant to (i) any applicable legal requirement, including, without limitation, the Worker Adjustment and Retraining Notification Act or any other similar state law or (ii) any Company Group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142" w:lineRule="exact"/>
        <w:rPr>
          <w:sz w:val="20"/>
          <w:szCs w:val="20"/>
          <w:color w:val="auto"/>
        </w:rPr>
      </w:pPr>
    </w:p>
    <w:p>
      <w:pPr>
        <w:jc w:val="both"/>
        <w:ind w:firstLine="1304"/>
        <w:spacing w:after="0" w:line="264" w:lineRule="auto"/>
        <w:tabs>
          <w:tab w:leader="none" w:pos="1943" w:val="left"/>
        </w:tabs>
        <w:numPr>
          <w:ilvl w:val="1"/>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Parachute Payments. </w:t>
      </w:r>
      <w:r>
        <w:rPr>
          <w:rFonts w:ascii="Times New Roman" w:cs="Times New Roman" w:eastAsia="Times New Roman" w:hAnsi="Times New Roman"/>
          <w:sz w:val="19"/>
          <w:szCs w:val="19"/>
          <w:color w:val="auto"/>
        </w:rPr>
        <w:t>Except as otherwise provided in an individual Participation Agreement, if any payment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 an Eligible Employee will or may receive from the Company Group or otherwise (a “</w:t>
      </w:r>
      <w:r>
        <w:rPr>
          <w:rFonts w:ascii="Times New Roman" w:cs="Times New Roman" w:eastAsia="Times New Roman" w:hAnsi="Times New Roman"/>
          <w:sz w:val="19"/>
          <w:szCs w:val="19"/>
          <w:b w:val="1"/>
          <w:bCs w:val="1"/>
          <w:i w:val="1"/>
          <w:iCs w:val="1"/>
          <w:color w:val="auto"/>
        </w:rPr>
        <w:t>Payment</w:t>
      </w:r>
      <w:r>
        <w:rPr>
          <w:rFonts w:ascii="Times New Roman" w:cs="Times New Roman" w:eastAsia="Times New Roman" w:hAnsi="Times New Roman"/>
          <w:sz w:val="19"/>
          <w:szCs w:val="19"/>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then any such Payment shall be equal to the Reduced Amount. The “</w:t>
      </w:r>
      <w:r>
        <w:rPr>
          <w:rFonts w:ascii="Times New Roman" w:cs="Times New Roman" w:eastAsia="Times New Roman" w:hAnsi="Times New Roman"/>
          <w:sz w:val="19"/>
          <w:szCs w:val="19"/>
          <w:b w:val="1"/>
          <w:bCs w:val="1"/>
          <w:i w:val="1"/>
          <w:iCs w:val="1"/>
          <w:color w:val="auto"/>
        </w:rPr>
        <w:t>Reduced Amount</w:t>
      </w:r>
      <w:r>
        <w:rPr>
          <w:rFonts w:ascii="Times New Roman" w:cs="Times New Roman" w:eastAsia="Times New Roman" w:hAnsi="Times New Roman"/>
          <w:sz w:val="19"/>
          <w:szCs w:val="19"/>
          <w:color w:val="auto"/>
        </w:rPr>
        <w:t>” shall be either</w:t>
      </w:r>
    </w:p>
    <w:p>
      <w:pPr>
        <w:spacing w:after="0" w:line="3" w:lineRule="exact"/>
        <w:rPr>
          <w:rFonts w:ascii="Times New Roman" w:cs="Times New Roman" w:eastAsia="Times New Roman" w:hAnsi="Times New Roman"/>
          <w:sz w:val="19"/>
          <w:szCs w:val="19"/>
          <w:b w:val="1"/>
          <w:bCs w:val="1"/>
          <w:color w:val="auto"/>
        </w:rPr>
      </w:pPr>
    </w:p>
    <w:p>
      <w:pPr>
        <w:ind w:left="300" w:hanging="292"/>
        <w:spacing w:after="0"/>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largest portion of the Payment that would result in no portion of the Payment (after reduction) being subject to the Excise Tax or</w:t>
      </w:r>
    </w:p>
    <w:p>
      <w:pPr>
        <w:spacing w:after="0" w:line="13" w:lineRule="exact"/>
        <w:rPr>
          <w:rFonts w:ascii="Times New Roman" w:cs="Times New Roman" w:eastAsia="Times New Roman" w:hAnsi="Times New Roman"/>
          <w:sz w:val="20"/>
          <w:szCs w:val="20"/>
          <w:color w:val="auto"/>
        </w:rPr>
      </w:pPr>
    </w:p>
    <w:p>
      <w:pPr>
        <w:jc w:val="both"/>
        <w:ind w:firstLine="8"/>
        <w:spacing w:after="0" w:line="264" w:lineRule="auto"/>
        <w:tabs>
          <w:tab w:leader="none" w:pos="30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9"/>
          <w:szCs w:val="19"/>
          <w:b w:val="1"/>
          <w:bCs w:val="1"/>
          <w:i w:val="1"/>
          <w:iCs w:val="1"/>
          <w:color w:val="auto"/>
        </w:rPr>
        <w:t>Reduction Method</w:t>
      </w:r>
      <w:r>
        <w:rPr>
          <w:rFonts w:ascii="Times New Roman" w:cs="Times New Roman" w:eastAsia="Times New Roman" w:hAnsi="Times New Roman"/>
          <w:sz w:val="19"/>
          <w:szCs w:val="19"/>
          <w:color w:val="auto"/>
        </w:rPr>
        <w:t>”) that results in the greatest economic benefit for the Eligible Employee. If more than one method of reduction will result in the same economic benefit, the items so reduced will be reduced pro rata (the “</w:t>
      </w:r>
      <w:r>
        <w:rPr>
          <w:rFonts w:ascii="Times New Roman" w:cs="Times New Roman" w:eastAsia="Times New Roman" w:hAnsi="Times New Roman"/>
          <w:sz w:val="19"/>
          <w:szCs w:val="19"/>
          <w:b w:val="1"/>
          <w:bCs w:val="1"/>
          <w:i w:val="1"/>
          <w:iCs w:val="1"/>
          <w:color w:val="auto"/>
        </w:rPr>
        <w:t>Pro Rata Reduction Method</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 (x) above and the Internal Revenue Service determines thereafter that some portion of the Payment is subject to the Excise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Tax, Eligible Employee agrees to promptly return to the Company a sufficient amount of the Payment (after reduction pursuant to clause (x) above) so that no portion of the remaining Payment is subject to the Excise Tax. If the Reduced Amount was determined pursuant to clause</w:t>
      </w:r>
    </w:p>
    <w:p>
      <w:pPr>
        <w:spacing w:after="0"/>
        <w:rPr>
          <w:sz w:val="20"/>
          <w:szCs w:val="20"/>
          <w:color w:val="auto"/>
        </w:rPr>
      </w:pPr>
      <w:r>
        <w:rPr>
          <w:rFonts w:ascii="Times New Roman" w:cs="Times New Roman" w:eastAsia="Times New Roman" w:hAnsi="Times New Roman"/>
          <w:sz w:val="20"/>
          <w:szCs w:val="20"/>
          <w:color w:val="auto"/>
        </w:rPr>
        <w:t>(y) above, the Eligible Employee shall have no obligation to return any portion of the Payment pursuant to the preceding sentence.</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RETURN OF COMPANY PROPERTY.</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An Eligible Employee will not be entitled to any severance benefit under the Plan unless and until the Eligible Employee returns all Company Property. For this purpose, “</w:t>
      </w:r>
      <w:r>
        <w:rPr>
          <w:rFonts w:ascii="Times New Roman" w:cs="Times New Roman" w:eastAsia="Times New Roman" w:hAnsi="Times New Roman"/>
          <w:sz w:val="20"/>
          <w:szCs w:val="20"/>
          <w:b w:val="1"/>
          <w:bCs w:val="1"/>
          <w:i w:val="1"/>
          <w:iCs w:val="1"/>
          <w:color w:val="auto"/>
        </w:rPr>
        <w:t>Company Property</w:t>
      </w:r>
      <w:r>
        <w:rPr>
          <w:rFonts w:ascii="Times New Roman" w:cs="Times New Roman" w:eastAsia="Times New Roman" w:hAnsi="Times New Roman"/>
          <w:sz w:val="20"/>
          <w:szCs w:val="20"/>
          <w:color w:val="auto"/>
        </w:rPr>
        <w:t>” means all paper and electronic Company Group documents (and all copies thereof) and other Company Group property which the Eligible Employee had in his or her possession or control at any time, including, but not limited to, Company Group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Group (and all reproductions thereof in whole or in part). As a condition to receiving benefits under the Plan, an Eligible Employee must not make or retain copies, reproductions or summaries of any such Company Group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TIME OF PAYMENT AND FORM OF BENEFITS.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(4), 1.409A-1(b)(5) and 1.409A-1(b)(9)(iii), and (iii) any such benefits consisting of premium payments for group health insurance continuation coverage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Times New Roman" w:cs="Times New Roman" w:eastAsia="Times New Roman" w:hAnsi="Times New Roman"/>
          <w:sz w:val="20"/>
          <w:szCs w:val="20"/>
          <w:b w:val="1"/>
          <w:bCs w:val="1"/>
          <w:i w:val="1"/>
          <w:iCs w:val="1"/>
          <w:color w:val="auto"/>
        </w:rPr>
        <w:t>Delayed Initial Payment Date</w:t>
      </w:r>
      <w:r>
        <w:rPr>
          <w:rFonts w:ascii="Times New Roman" w:cs="Times New Roman" w:eastAsia="Times New Roman" w:hAnsi="Times New Roman"/>
          <w:sz w:val="20"/>
          <w:szCs w:val="20"/>
          <w:color w:val="auto"/>
        </w:rPr>
        <w:t>”), and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Company shall (1) pay the Eligible Employee a lump sum amount equal to the sum of the severance benefit payments that the 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1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 (the “</w:t>
      </w:r>
      <w:r>
        <w:rPr>
          <w:rFonts w:ascii="Times New Roman" w:cs="Times New Roman" w:eastAsia="Times New Roman" w:hAnsi="Times New Roman"/>
          <w:sz w:val="20"/>
          <w:szCs w:val="20"/>
          <w:b w:val="1"/>
          <w:bCs w:val="1"/>
          <w:i w:val="1"/>
          <w:iCs w:val="1"/>
          <w:color w:val="auto"/>
        </w:rPr>
        <w:t>Release Deadline</w:t>
      </w:r>
      <w:r>
        <w:rPr>
          <w:rFonts w:ascii="Times New Roman" w:cs="Times New Roman" w:eastAsia="Times New Roman" w:hAnsi="Times New Roman"/>
          <w:sz w:val="20"/>
          <w:szCs w:val="20"/>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1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TRANSFER AND ASSIGNMENT.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Group without regard to whether or not such entity or person actively assumes the obligations hereunder and without regard to whether or not a Change in Control occurs.</w:t>
      </w:r>
    </w:p>
    <w:p>
      <w:pPr>
        <w:spacing w:after="0" w:line="1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MITIGATION.</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 Group.</w:t>
      </w:r>
    </w:p>
    <w:p>
      <w:pPr>
        <w:spacing w:after="0" w:line="1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CLAWBACK; RECOVERY.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as the Plan Administrator determines necessary or appropriate, including but not limited to a reacquisition right in respect of previously acquired shares of common stock of the Company or other cash or property upon the occurrence of a termination of employment for Cause. No recovery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compensation under such a clawback policy will be an event giving rise to a right to resign for Good Reason, constructive termination, or any similar term under any plan of or agreement with the Company Group.</w:t>
      </w:r>
    </w:p>
    <w:p>
      <w:pPr>
        <w:spacing w:after="0" w:line="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RIGHT TO INTERPRET AND ADMINISTER PLAN; AMENDMENT AND TERMINATION.</w:t>
      </w:r>
    </w:p>
    <w:p>
      <w:pPr>
        <w:spacing w:after="0" w:line="175" w:lineRule="exact"/>
        <w:rPr>
          <w:sz w:val="20"/>
          <w:szCs w:val="20"/>
          <w:color w:val="auto"/>
        </w:rPr>
      </w:pPr>
    </w:p>
    <w:p>
      <w:pPr>
        <w:jc w:val="both"/>
        <w:ind w:firstLine="1304"/>
        <w:spacing w:after="0" w:line="252" w:lineRule="auto"/>
        <w:tabs>
          <w:tab w:leader="none" w:pos="1932"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Interpretation and Administration. </w:t>
      </w:r>
      <w:r>
        <w:rPr>
          <w:rFonts w:ascii="Times New Roman" w:cs="Times New Roman" w:eastAsia="Times New Roman" w:hAnsi="Times New Roman"/>
          <w:sz w:val="20"/>
          <w:szCs w:val="20"/>
          <w:color w:val="auto"/>
        </w:rPr>
        <w:t>Prior to the Closing, the Committee shall be the Plan Administrator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121"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43"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 </w:t>
      </w:r>
      <w:r>
        <w:rPr>
          <w:rFonts w:ascii="Times New Roman" w:cs="Times New Roman" w:eastAsia="Times New Roman" w:hAnsi="Times New Roman"/>
          <w:sz w:val="20"/>
          <w:szCs w:val="20"/>
          <w:color w:val="auto"/>
        </w:rPr>
        <w:t>The Plan Administrator reserves the right to amend this Plan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of the Plan will not be effective as to a particular employee who is or may be adversely impacted by such amendment or termination and has an effective Participation Agreement without the written consent of such employee.</w:t>
      </w:r>
    </w:p>
    <w:p>
      <w:pPr>
        <w:spacing w:after="0" w:line="121"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34"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Plan will remain in effect until terminated by the Plan Administrator. Any outstanding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(if any) will remain outstanding following termination of the Plan until satisfied by the Company (or successor to the Company, if applicable).</w:t>
      </w:r>
    </w:p>
    <w:p>
      <w:pPr>
        <w:spacing w:after="0" w:line="1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NO IMPLIED EMPLOYMENT CONTRACT.</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The Plan shall not be deemed (i) to give any employee or other person any right to be retained in the employ of the Company Group or (ii) to interfere with the right of the Company Group to discharge any employee or other person at any time, with or without cause, which right is hereby reserved. This Plan does not modify the at-will employment status of any Eligible Employee.</w:t>
      </w:r>
    </w:p>
    <w:p>
      <w:pPr>
        <w:spacing w:after="0" w:line="12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LEGAL CONSTRUCTION.</w:t>
      </w:r>
    </w:p>
    <w:p>
      <w:pPr>
        <w:spacing w:after="0" w:line="17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This Plan is intended to be governed by and shall be construed in accordance with the Employee Retirement Income Security Act of 1974 (“</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and, to the extent not preempted by ERISA, the laws of the State of California.</w:t>
      </w:r>
    </w:p>
    <w:p>
      <w:pPr>
        <w:spacing w:after="0" w:line="1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CLAIMS, INQUIRIES AND APPEALS.</w:t>
      </w:r>
    </w:p>
    <w:p>
      <w:pPr>
        <w:spacing w:after="0" w:line="162" w:lineRule="exact"/>
        <w:rPr>
          <w:sz w:val="20"/>
          <w:szCs w:val="20"/>
          <w:color w:val="auto"/>
        </w:rPr>
      </w:pPr>
    </w:p>
    <w:p>
      <w:pPr>
        <w:jc w:val="both"/>
        <w:ind w:firstLine="1304"/>
        <w:spacing w:after="0" w:line="270" w:lineRule="auto"/>
        <w:tabs>
          <w:tab w:leader="none" w:pos="1932"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Applications for Benefits and Inquiries. </w:t>
      </w:r>
      <w:r>
        <w:rPr>
          <w:rFonts w:ascii="Times New Roman" w:cs="Times New Roman" w:eastAsia="Times New Roman" w:hAnsi="Times New Roman"/>
          <w:sz w:val="20"/>
          <w:szCs w:val="20"/>
          <w:color w:val="auto"/>
        </w:rPr>
        <w:t>Any application for benefits, inquiries about the Plan or inquiries about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present or future rights under the Plan must be submitted to the Plan Administrator in writing by an applicant (or his or her authorized representative). The Plan Administrator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WM Technology,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Compensation Committee of the Board of Directors or Representative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Attention to: Corporate Secretary</w:t>
      </w:r>
    </w:p>
    <w:p>
      <w:pPr>
        <w:spacing w:after="0" w:line="67" w:lineRule="exact"/>
        <w:rPr>
          <w:sz w:val="20"/>
          <w:szCs w:val="20"/>
          <w:color w:val="auto"/>
        </w:rPr>
      </w:pPr>
    </w:p>
    <w:p>
      <w:pPr>
        <w:ind w:left="5340" w:hanging="246"/>
        <w:spacing w:after="0"/>
        <w:tabs>
          <w:tab w:leader="none" w:pos="534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w:t>
      </w:r>
    </w:p>
    <w:p>
      <w:pPr>
        <w:spacing w:after="0" w:line="53" w:lineRule="exact"/>
        <w:rPr>
          <w:rFonts w:ascii="Times New Roman" w:cs="Times New Roman" w:eastAsia="Times New Roman" w:hAnsi="Times New Roman"/>
          <w:sz w:val="20"/>
          <w:szCs w:val="20"/>
          <w:color w:val="auto"/>
        </w:rPr>
      </w:pPr>
    </w:p>
    <w:p>
      <w:pPr>
        <w:ind w:left="4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Irvine, California 92618</w:t>
      </w:r>
    </w:p>
    <w:p>
      <w:pPr>
        <w:spacing w:after="0" w:line="171"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3"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Denial of Claims. </w:t>
      </w:r>
      <w:r>
        <w:rPr>
          <w:rFonts w:ascii="Times New Roman" w:cs="Times New Roman" w:eastAsia="Times New Roman" w:hAnsi="Times New Roman"/>
          <w:sz w:val="20"/>
          <w:szCs w:val="20"/>
          <w:color w:val="auto"/>
        </w:rPr>
        <w:t>In the event that any application for benefits is denied in whole or in part, the 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14"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specific reason or reasons for the denial;</w:t>
      </w:r>
    </w:p>
    <w:p>
      <w:pPr>
        <w:spacing w:after="0" w:line="175"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references to the specific Plan provisions upon which the denial is based;</w:t>
      </w:r>
    </w:p>
    <w:p>
      <w:pPr>
        <w:spacing w:after="0" w:line="175" w:lineRule="exact"/>
        <w:rPr>
          <w:rFonts w:ascii="Times New Roman" w:cs="Times New Roman" w:eastAsia="Times New Roman" w:hAnsi="Times New Roman"/>
          <w:sz w:val="20"/>
          <w:szCs w:val="20"/>
          <w:b w:val="1"/>
          <w:bCs w:val="1"/>
          <w:color w:val="auto"/>
        </w:rPr>
      </w:pPr>
    </w:p>
    <w:p>
      <w:pPr>
        <w:ind w:left="80" w:firstLine="1953"/>
        <w:spacing w:after="0" w:line="269"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description of any additional information or material that the Plan Administrator needs to complete the review and an explanation of why such information or material is necessary; and</w:t>
      </w:r>
    </w:p>
    <w:p>
      <w:pPr>
        <w:spacing w:after="0" w:line="118" w:lineRule="exact"/>
        <w:rPr>
          <w:rFonts w:ascii="Times New Roman" w:cs="Times New Roman" w:eastAsia="Times New Roman" w:hAnsi="Times New Roman"/>
          <w:sz w:val="20"/>
          <w:szCs w:val="20"/>
          <w:b w:val="1"/>
          <w:bCs w:val="1"/>
          <w:color w:val="auto"/>
        </w:rPr>
      </w:pPr>
    </w:p>
    <w:p>
      <w:pPr>
        <w:jc w:val="both"/>
        <w:ind w:left="80" w:firstLine="1953"/>
        <w:spacing w:after="0" w:line="261" w:lineRule="auto"/>
        <w:tabs>
          <w:tab w:leader="none" w:pos="2579"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spacing w:after="0" w:line="1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3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This notice of extension will describe the special circumstances necessitating the additional time and the date by which the Plan Administrator is to render its decision on the application.</w:t>
      </w:r>
    </w:p>
    <w:p>
      <w:pPr>
        <w:spacing w:after="0" w:line="115" w:lineRule="exact"/>
        <w:rPr>
          <w:sz w:val="20"/>
          <w:szCs w:val="20"/>
          <w:color w:val="auto"/>
        </w:rPr>
      </w:pPr>
    </w:p>
    <w:p>
      <w:pPr>
        <w:jc w:val="both"/>
        <w:ind w:right="20" w:firstLine="1304"/>
        <w:spacing w:after="0" w:line="263" w:lineRule="auto"/>
        <w:tabs>
          <w:tab w:leader="none" w:pos="1934"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Request for a Review. </w:t>
      </w:r>
      <w:r>
        <w:rPr>
          <w:rFonts w:ascii="Times New Roman" w:cs="Times New Roman" w:eastAsia="Times New Roman" w:hAnsi="Times New Roman"/>
          <w:sz w:val="20"/>
          <w:szCs w:val="20"/>
          <w:color w:val="auto"/>
        </w:rPr>
        <w:t>Any person (or that person’s authorized representative) for whom an application for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denied, in whole or in part, may appeal the denial by submitting a request for a review to the Plan Administrator within 60 days after the application is denied. A request for a review shall be in writing and shall be addressed 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WM Technology,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Compensation Committee of the Board of Directors or Representative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Attention to: Corporate Secretary</w:t>
      </w:r>
    </w:p>
    <w:p>
      <w:pPr>
        <w:spacing w:after="0" w:line="67" w:lineRule="exact"/>
        <w:rPr>
          <w:sz w:val="20"/>
          <w:szCs w:val="20"/>
          <w:color w:val="auto"/>
        </w:rPr>
      </w:pPr>
    </w:p>
    <w:p>
      <w:pPr>
        <w:ind w:left="5340" w:hanging="246"/>
        <w:spacing w:after="0"/>
        <w:tabs>
          <w:tab w:leader="none" w:pos="5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w:t>
      </w:r>
    </w:p>
    <w:p>
      <w:pPr>
        <w:spacing w:after="0" w:line="53" w:lineRule="exact"/>
        <w:rPr>
          <w:rFonts w:ascii="Times New Roman" w:cs="Times New Roman" w:eastAsia="Times New Roman" w:hAnsi="Times New Roman"/>
          <w:sz w:val="20"/>
          <w:szCs w:val="20"/>
          <w:color w:val="auto"/>
        </w:rPr>
      </w:pPr>
    </w:p>
    <w:p>
      <w:pPr>
        <w:ind w:left="4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Irvine, California 92618</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23" w:lineRule="exact"/>
        <w:rPr>
          <w:sz w:val="20"/>
          <w:szCs w:val="20"/>
          <w:color w:val="auto"/>
        </w:rPr>
      </w:pPr>
    </w:p>
    <w:p>
      <w:pPr>
        <w:jc w:val="both"/>
        <w:ind w:firstLine="1304"/>
        <w:spacing w:after="0" w:line="252" w:lineRule="auto"/>
        <w:tabs>
          <w:tab w:leader="none" w:pos="1943"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Decision on Review. </w:t>
      </w:r>
      <w:r>
        <w:rPr>
          <w:rFonts w:ascii="Times New Roman" w:cs="Times New Roman" w:eastAsia="Times New Roman" w:hAnsi="Times New Roman"/>
          <w:sz w:val="20"/>
          <w:szCs w:val="20"/>
          <w:color w:val="auto"/>
        </w:rPr>
        <w:t>The Plan Administrator will act on each request for review within 60 days after receipt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unless 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37"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specific reason or reasons for the denial;</w:t>
      </w:r>
    </w:p>
    <w:p>
      <w:pPr>
        <w:spacing w:after="0" w:line="161"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references to the specific Plan provisions upon which the denial is based;</w:t>
      </w:r>
    </w:p>
    <w:p>
      <w:pPr>
        <w:spacing w:after="0" w:line="175" w:lineRule="exact"/>
        <w:rPr>
          <w:rFonts w:ascii="Times New Roman" w:cs="Times New Roman" w:eastAsia="Times New Roman" w:hAnsi="Times New Roman"/>
          <w:sz w:val="20"/>
          <w:szCs w:val="20"/>
          <w:b w:val="1"/>
          <w:bCs w:val="1"/>
          <w:color w:val="auto"/>
        </w:rPr>
      </w:pPr>
    </w:p>
    <w:p>
      <w:pPr>
        <w:ind w:left="80" w:firstLine="1953"/>
        <w:spacing w:after="0" w:line="269" w:lineRule="auto"/>
        <w:tabs>
          <w:tab w:leader="none" w:pos="2579"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statement that the applicant is entitled to receive, upon request and free of charge, reasonable access to, and copies of, all documents, records and other information relevant to his or her claim; and</w:t>
      </w:r>
    </w:p>
    <w:p>
      <w:pPr>
        <w:spacing w:after="0" w:line="118"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statement of the applicant’s right to bring a civil action under Section 502(a) of ERISA.</w:t>
      </w:r>
    </w:p>
    <w:p>
      <w:pPr>
        <w:spacing w:after="0" w:line="171" w:lineRule="exact"/>
        <w:rPr>
          <w:rFonts w:ascii="Times New Roman" w:cs="Times New Roman" w:eastAsia="Times New Roman" w:hAnsi="Times New Roman"/>
          <w:sz w:val="20"/>
          <w:szCs w:val="20"/>
          <w:b w:val="1"/>
          <w:bCs w:val="1"/>
          <w:color w:val="auto"/>
        </w:rPr>
      </w:pPr>
    </w:p>
    <w:p>
      <w:pPr>
        <w:jc w:val="both"/>
        <w:ind w:firstLine="1304"/>
        <w:spacing w:after="0" w:line="255" w:lineRule="auto"/>
        <w:tabs>
          <w:tab w:leader="none" w:pos="1934"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Rules and Procedures. </w:t>
      </w:r>
      <w:r>
        <w:rPr>
          <w:rFonts w:ascii="Times New Roman" w:cs="Times New Roman" w:eastAsia="Times New Roman" w:hAnsi="Times New Roman"/>
          <w:sz w:val="20"/>
          <w:szCs w:val="20"/>
          <w:color w:val="auto"/>
        </w:rPr>
        <w:t>The Plan Administrator will establish rules and procedures, consistent with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29" w:lineRule="exact"/>
        <w:rPr>
          <w:rFonts w:ascii="Times New Roman" w:cs="Times New Roman" w:eastAsia="Times New Roman" w:hAnsi="Times New Roman"/>
          <w:sz w:val="20"/>
          <w:szCs w:val="20"/>
          <w:b w:val="1"/>
          <w:bCs w:val="1"/>
          <w:color w:val="auto"/>
        </w:rPr>
      </w:pPr>
    </w:p>
    <w:p>
      <w:pPr>
        <w:jc w:val="both"/>
        <w:ind w:firstLine="1304"/>
        <w:spacing w:after="0" w:line="270" w:lineRule="auto"/>
        <w:tabs>
          <w:tab w:leader="none" w:pos="1939"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Exhaustion of Remedies. </w:t>
      </w:r>
      <w:r>
        <w:rPr>
          <w:rFonts w:ascii="Times New Roman" w:cs="Times New Roman" w:eastAsia="Times New Roman" w:hAnsi="Times New Roman"/>
          <w:sz w:val="19"/>
          <w:szCs w:val="19"/>
          <w:color w:val="auto"/>
        </w:rPr>
        <w:t>No legal action for benefits under the Plan may be brought until the applicant (i)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submitted a written 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an Eligible Employee’s claim or appeal within the relevant time limits specified in this Section 12, the Eligible Employee may bring legal action for benefits under the Plan pursuant to Section 502(a) of ERISA.</w:t>
      </w:r>
    </w:p>
    <w:p>
      <w:pPr>
        <w:spacing w:after="0" w:line="10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BASIS OF PAYMENTS TO AND FROM PLAN.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The Plan shall be unfunded, and all cash payments under the Plan shall be paid only from the general assets of the Company.</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19"/>
          <w:szCs w:val="19"/>
          <w:b w:val="1"/>
          <w:bCs w:val="1"/>
          <w:color w:val="auto"/>
        </w:rPr>
        <w:t>OTHER PLAN INFORMATION.</w:t>
      </w:r>
    </w:p>
    <w:p>
      <w:pPr>
        <w:spacing w:after="0" w:line="162" w:lineRule="exact"/>
        <w:rPr>
          <w:sz w:val="20"/>
          <w:szCs w:val="20"/>
          <w:color w:val="auto"/>
        </w:rPr>
      </w:pPr>
    </w:p>
    <w:p>
      <w:pPr>
        <w:ind w:firstLine="1304"/>
        <w:spacing w:after="0" w:line="287" w:lineRule="auto"/>
        <w:tabs>
          <w:tab w:leader="none" w:pos="1932"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Employer and Plan Identification Numbers. </w:t>
      </w:r>
      <w:r>
        <w:rPr>
          <w:rFonts w:ascii="Times New Roman" w:cs="Times New Roman" w:eastAsia="Times New Roman" w:hAnsi="Times New Roman"/>
          <w:sz w:val="20"/>
          <w:szCs w:val="20"/>
          <w:color w:val="auto"/>
        </w:rPr>
        <w:t>The Employer Identification Number assigned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 the “Plan Sponsor” as that term is used in ERISA)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Internal Revenue Service is 98-1605615. The Plan Number assigned to the Plan by the Plan Sponsor pursuant to the instructions of the Internal Revenue Service is 601.</w:t>
      </w:r>
    </w:p>
    <w:p>
      <w:pPr>
        <w:spacing w:after="0" w:line="88" w:lineRule="exact"/>
        <w:rPr>
          <w:sz w:val="20"/>
          <w:szCs w:val="20"/>
          <w:color w:val="auto"/>
        </w:rPr>
      </w:pPr>
    </w:p>
    <w:p>
      <w:pPr>
        <w:ind w:left="1960" w:hanging="656"/>
        <w:spacing w:after="0"/>
        <w:tabs>
          <w:tab w:leader="none" w:pos="196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Ending Date for Plan’s Fiscal Year. </w:t>
      </w:r>
      <w:r>
        <w:rPr>
          <w:rFonts w:ascii="Times New Roman" w:cs="Times New Roman" w:eastAsia="Times New Roman" w:hAnsi="Times New Roman"/>
          <w:sz w:val="19"/>
          <w:szCs w:val="19"/>
          <w:color w:val="auto"/>
        </w:rPr>
        <w:t>The date of the end of the fiscal year for the purpose of maintaining the Plan’s</w:t>
      </w:r>
    </w:p>
    <w:p>
      <w:pPr>
        <w:spacing w:after="0" w:line="43"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records is December 31.</w:t>
      </w:r>
    </w:p>
    <w:p>
      <w:pPr>
        <w:spacing w:after="0" w:line="142" w:lineRule="exact"/>
        <w:rPr>
          <w:rFonts w:ascii="Times New Roman" w:cs="Times New Roman" w:eastAsia="Times New Roman" w:hAnsi="Times New Roman"/>
          <w:sz w:val="19"/>
          <w:szCs w:val="19"/>
          <w:b w:val="1"/>
          <w:bCs w:val="1"/>
          <w:color w:val="auto"/>
        </w:rPr>
      </w:pPr>
    </w:p>
    <w:p>
      <w:pPr>
        <w:ind w:left="1940" w:hanging="636"/>
        <w:spacing w:after="0"/>
        <w:tabs>
          <w:tab w:leader="none" w:pos="194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Agent for the Service of Legal Process. </w:t>
      </w:r>
      <w:r>
        <w:rPr>
          <w:rFonts w:ascii="Times New Roman" w:cs="Times New Roman" w:eastAsia="Times New Roman" w:hAnsi="Times New Roman"/>
          <w:sz w:val="20"/>
          <w:szCs w:val="20"/>
          <w:color w:val="auto"/>
        </w:rPr>
        <w:t>The agent for the service of legal process with respect to the Plan is: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WM Technology,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Attention to: Corporate Secretary</w:t>
      </w:r>
    </w:p>
    <w:p>
      <w:pPr>
        <w:spacing w:after="0" w:line="54" w:lineRule="exact"/>
        <w:rPr>
          <w:sz w:val="20"/>
          <w:szCs w:val="20"/>
          <w:color w:val="auto"/>
        </w:rPr>
      </w:pPr>
    </w:p>
    <w:p>
      <w:pPr>
        <w:ind w:left="5340" w:hanging="246"/>
        <w:spacing w:after="0"/>
        <w:tabs>
          <w:tab w:leader="none" w:pos="5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w:t>
      </w:r>
    </w:p>
    <w:p>
      <w:pPr>
        <w:spacing w:after="0" w:line="67" w:lineRule="exact"/>
        <w:rPr>
          <w:rFonts w:ascii="Times New Roman" w:cs="Times New Roman" w:eastAsia="Times New Roman" w:hAnsi="Times New Roman"/>
          <w:sz w:val="20"/>
          <w:szCs w:val="20"/>
          <w:color w:val="auto"/>
        </w:rPr>
      </w:pPr>
    </w:p>
    <w:p>
      <w:pPr>
        <w:ind w:left="4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Irvine, California 92618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service of legal process may be made upon the Plan Administrator.</w:t>
      </w:r>
    </w:p>
    <w:p>
      <w:pPr>
        <w:spacing w:after="0" w:line="171"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Sponsor. </w:t>
      </w:r>
      <w:r>
        <w:rPr>
          <w:rFonts w:ascii="Times New Roman" w:cs="Times New Roman" w:eastAsia="Times New Roman" w:hAnsi="Times New Roman"/>
          <w:sz w:val="20"/>
          <w:szCs w:val="20"/>
          <w:color w:val="auto"/>
        </w:rPr>
        <w:t>The “Plan Sponsor” is: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WM Technology, Inc.</w:t>
      </w:r>
    </w:p>
    <w:p>
      <w:pPr>
        <w:spacing w:after="0" w:line="162" w:lineRule="exact"/>
        <w:rPr>
          <w:sz w:val="20"/>
          <w:szCs w:val="20"/>
          <w:color w:val="auto"/>
        </w:rPr>
      </w:pPr>
    </w:p>
    <w:p>
      <w:pPr>
        <w:ind w:left="5340" w:hanging="246"/>
        <w:spacing w:after="0"/>
        <w:tabs>
          <w:tab w:leader="none" w:pos="53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w:t>
      </w:r>
    </w:p>
    <w:p>
      <w:pPr>
        <w:spacing w:after="0" w:line="175" w:lineRule="exact"/>
        <w:rPr>
          <w:rFonts w:ascii="Times New Roman" w:cs="Times New Roman" w:eastAsia="Times New Roman" w:hAnsi="Times New Roman"/>
          <w:sz w:val="20"/>
          <w:szCs w:val="20"/>
          <w:color w:val="auto"/>
        </w:rPr>
      </w:pPr>
    </w:p>
    <w:p>
      <w:pPr>
        <w:ind w:left="4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Irvine, California 92618</w:t>
      </w:r>
    </w:p>
    <w:p>
      <w:pPr>
        <w:spacing w:after="0" w:line="161" w:lineRule="exact"/>
        <w:rPr>
          <w:rFonts w:ascii="Times New Roman" w:cs="Times New Roman" w:eastAsia="Times New Roman" w:hAnsi="Times New Roman"/>
          <w:sz w:val="20"/>
          <w:szCs w:val="20"/>
          <w:color w:val="auto"/>
        </w:rPr>
      </w:pPr>
    </w:p>
    <w:p>
      <w:pPr>
        <w:ind w:left="50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(949) 608-4895</w:t>
      </w:r>
    </w:p>
    <w:p>
      <w:pPr>
        <w:spacing w:after="0" w:line="171" w:lineRule="exact"/>
        <w:rPr>
          <w:rFonts w:ascii="Times New Roman" w:cs="Times New Roman" w:eastAsia="Times New Roman" w:hAnsi="Times New Roman"/>
          <w:sz w:val="20"/>
          <w:szCs w:val="20"/>
          <w:color w:val="auto"/>
        </w:rPr>
      </w:pPr>
    </w:p>
    <w:p>
      <w:pPr>
        <w:ind w:right="60" w:firstLine="1304"/>
        <w:spacing w:after="0" w:line="287" w:lineRule="auto"/>
        <w:tabs>
          <w:tab w:leader="none" w:pos="1934"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Administrator. </w:t>
      </w:r>
      <w:r>
        <w:rPr>
          <w:rFonts w:ascii="Times New Roman" w:cs="Times New Roman" w:eastAsia="Times New Roman" w:hAnsi="Times New Roman"/>
          <w:sz w:val="20"/>
          <w:szCs w:val="20"/>
          <w:color w:val="auto"/>
        </w:rPr>
        <w:t>The Plan Administrator is the Committee prior to the Closing and the Representative upon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Closing. The Plan Administrator’s contact information is: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WM Technology,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Compensation Committee of the Board of Directors or Representative</w:t>
      </w:r>
    </w:p>
    <w:p>
      <w:pPr>
        <w:spacing w:after="0" w:line="54" w:lineRule="exact"/>
        <w:rPr>
          <w:sz w:val="20"/>
          <w:szCs w:val="20"/>
          <w:color w:val="auto"/>
        </w:rPr>
      </w:pPr>
    </w:p>
    <w:p>
      <w:pPr>
        <w:ind w:left="5340" w:hanging="246"/>
        <w:spacing w:after="0"/>
        <w:tabs>
          <w:tab w:leader="none" w:pos="53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w:t>
      </w:r>
    </w:p>
    <w:p>
      <w:pPr>
        <w:spacing w:after="0" w:line="67" w:lineRule="exact"/>
        <w:rPr>
          <w:rFonts w:ascii="Times New Roman" w:cs="Times New Roman" w:eastAsia="Times New Roman" w:hAnsi="Times New Roman"/>
          <w:sz w:val="20"/>
          <w:szCs w:val="20"/>
          <w:color w:val="auto"/>
        </w:rPr>
      </w:pPr>
    </w:p>
    <w:p>
      <w:pPr>
        <w:ind w:left="4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Irvine, California 92618</w:t>
      </w:r>
    </w:p>
    <w:p>
      <w:pPr>
        <w:spacing w:after="0" w:line="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The Plan Administrator is the named fiduciary charged with the responsibility for administering the Plan.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15.</w:t>
      </w:r>
      <w:r>
        <w:rPr>
          <w:sz w:val="20"/>
          <w:szCs w:val="20"/>
          <w:color w:val="auto"/>
        </w:rPr>
        <w:tab/>
      </w:r>
      <w:r>
        <w:rPr>
          <w:rFonts w:ascii="Times New Roman" w:cs="Times New Roman" w:eastAsia="Times New Roman" w:hAnsi="Times New Roman"/>
          <w:sz w:val="19"/>
          <w:szCs w:val="19"/>
          <w:b w:val="1"/>
          <w:bCs w:val="1"/>
          <w:color w:val="auto"/>
        </w:rPr>
        <w:t>STATEMENT OF ERISA RIGHTS.</w:t>
      </w:r>
    </w:p>
    <w:p>
      <w:pPr>
        <w:spacing w:after="0" w:line="179" w:lineRule="exact"/>
        <w:rPr>
          <w:sz w:val="20"/>
          <w:szCs w:val="20"/>
          <w:color w:val="auto"/>
        </w:rPr>
      </w:pPr>
    </w:p>
    <w:p>
      <w:pPr>
        <w:jc w:val="both"/>
        <w:ind w:firstLine="1219"/>
        <w:spacing w:after="0" w:line="261" w:lineRule="auto"/>
        <w:rPr>
          <w:sz w:val="20"/>
          <w:szCs w:val="20"/>
          <w:color w:val="auto"/>
        </w:rPr>
      </w:pPr>
      <w:r>
        <w:rPr>
          <w:rFonts w:ascii="Times New Roman" w:cs="Times New Roman" w:eastAsia="Times New Roman" w:hAnsi="Times New Roman"/>
          <w:sz w:val="20"/>
          <w:szCs w:val="20"/>
          <w:color w:val="auto"/>
        </w:rPr>
        <w:t>Participants in this Plan (which is a welfare benefit plan sponsored by WM Technology, Inc.) are entitled to certain rights and protections under ERISA. If you are an Eligible Employee, you are considered a participant in the Plan and, under ERISA, you are entitled to:</w:t>
      </w:r>
    </w:p>
    <w:p>
      <w:pPr>
        <w:spacing w:after="0" w:line="110" w:lineRule="exact"/>
        <w:rPr>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Receive Information About Your Plan and Benefits</w:t>
      </w:r>
    </w:p>
    <w:p>
      <w:pPr>
        <w:spacing w:after="0" w:line="179" w:lineRule="exact"/>
        <w:rPr>
          <w:rFonts w:ascii="Times New Roman" w:cs="Times New Roman" w:eastAsia="Times New Roman" w:hAnsi="Times New Roman"/>
          <w:sz w:val="20"/>
          <w:szCs w:val="20"/>
          <w:b w:val="1"/>
          <w:bCs w:val="1"/>
          <w:color w:val="auto"/>
        </w:rPr>
      </w:pPr>
    </w:p>
    <w:p>
      <w:pPr>
        <w:jc w:val="both"/>
        <w:ind w:left="80" w:firstLine="1953"/>
        <w:spacing w:after="0" w:line="261" w:lineRule="auto"/>
        <w:tabs>
          <w:tab w:leader="none" w:pos="2579"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27" w:lineRule="exact"/>
        <w:rPr>
          <w:rFonts w:ascii="Times New Roman" w:cs="Times New Roman" w:eastAsia="Times New Roman" w:hAnsi="Times New Roman"/>
          <w:sz w:val="20"/>
          <w:szCs w:val="20"/>
          <w:b w:val="1"/>
          <w:bCs w:val="1"/>
          <w:color w:val="auto"/>
        </w:rPr>
      </w:pPr>
    </w:p>
    <w:p>
      <w:pPr>
        <w:jc w:val="both"/>
        <w:ind w:left="80" w:firstLine="1953"/>
        <w:spacing w:after="0" w:line="261" w:lineRule="auto"/>
        <w:tabs>
          <w:tab w:leader="none" w:pos="2579"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35" w:lineRule="exact"/>
        <w:rPr>
          <w:sz w:val="20"/>
          <w:szCs w:val="20"/>
          <w:color w:val="auto"/>
        </w:rPr>
      </w:pPr>
    </w:p>
    <w:p>
      <w:pPr>
        <w:ind w:left="80" w:right="20" w:firstLine="1953"/>
        <w:spacing w:after="0" w:line="283" w:lineRule="auto"/>
        <w:tabs>
          <w:tab w:leader="none" w:pos="2579" w:val="left"/>
        </w:tabs>
        <w:numPr>
          <w:ilvl w:val="1"/>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Receive a summary of the Plan’s annual financial report, if applicable. The Plan Administrator is required by law to furnish each Eligible Employee with a copy of this summary annual report.</w:t>
      </w:r>
    </w:p>
    <w:p>
      <w:pPr>
        <w:spacing w:after="0" w:line="88"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1943"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Prudent Actions by Plan Fiduciaries. </w:t>
      </w:r>
      <w:r>
        <w:rPr>
          <w:rFonts w:ascii="Times New Roman" w:cs="Times New Roman" w:eastAsia="Times New Roman" w:hAnsi="Times New Roman"/>
          <w:sz w:val="20"/>
          <w:szCs w:val="20"/>
          <w:color w:val="auto"/>
        </w:rPr>
        <w:t>In addition to creating rights for Plan Eligible Employees, ERISA imposes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duties upon the 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13" w:lineRule="exact"/>
        <w:rPr>
          <w:rFonts w:ascii="Times New Roman" w:cs="Times New Roman" w:eastAsia="Times New Roman" w:hAnsi="Times New Roman"/>
          <w:sz w:val="20"/>
          <w:szCs w:val="20"/>
          <w:b w:val="1"/>
          <w:bCs w:val="1"/>
          <w:color w:val="auto"/>
        </w:rPr>
      </w:pPr>
    </w:p>
    <w:p>
      <w:pPr>
        <w:jc w:val="both"/>
        <w:ind w:firstLine="1304"/>
        <w:spacing w:after="0" w:line="263" w:lineRule="auto"/>
        <w:tabs>
          <w:tab w:leader="none" w:pos="1934"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 Your Rights. </w:t>
      </w:r>
      <w:r>
        <w:rPr>
          <w:rFonts w:ascii="Times New Roman" w:cs="Times New Roman" w:eastAsia="Times New Roman" w:hAnsi="Times New Roman"/>
          <w:sz w:val="20"/>
          <w:szCs w:val="20"/>
          <w:color w:val="auto"/>
        </w:rPr>
        <w:t>If your claim for a Plan benefit is denied or ignored, in whole or in part, you have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 why this was done, to obtain copies of documents relating to the decision without charge, and to appeal any denial, all within certain time schedules.</w:t>
      </w:r>
    </w:p>
    <w:p>
      <w:pPr>
        <w:spacing w:after="0" w:line="1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0"/>
          <w:szCs w:val="20"/>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If you have a claim for benefits which is denied or ignored, in whole or in part, you may file suit in a state or Federal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court.</w:t>
      </w:r>
    </w:p>
    <w:p>
      <w:pPr>
        <w:spacing w:after="0" w:line="16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20"/>
          <w:szCs w:val="20"/>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29" w:lineRule="exact"/>
        <w:rPr>
          <w:sz w:val="20"/>
          <w:szCs w:val="20"/>
          <w:color w:val="auto"/>
        </w:rPr>
      </w:pPr>
    </w:p>
    <w:p>
      <w:pPr>
        <w:jc w:val="both"/>
        <w:ind w:firstLine="1304"/>
        <w:spacing w:after="0" w:line="252" w:lineRule="auto"/>
        <w:tabs>
          <w:tab w:leader="none" w:pos="1943"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Assistance with Your Questions. </w:t>
      </w:r>
      <w:r>
        <w:rPr>
          <w:rFonts w:ascii="Times New Roman" w:cs="Times New Roman" w:eastAsia="Times New Roman" w:hAnsi="Times New Roman"/>
          <w:sz w:val="20"/>
          <w:szCs w:val="20"/>
          <w:color w:val="auto"/>
        </w:rPr>
        <w:t>If you have any questions about the Plan, you should contact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Participation Agreement</w:t>
      </w:r>
    </w:p>
    <w:p>
      <w:pPr>
        <w:sectPr>
          <w:pgSz w:w="11900" w:h="16838" w:orient="portrait"/>
          <w:cols w:equalWidth="0" w:num="1">
            <w:col w:w="9019"/>
          </w:cols>
          <w:pgMar w:left="1440" w:top="1409" w:right="1440" w:bottom="1440" w:gutter="0" w:footer="0" w:header="0"/>
        </w:sectPr>
      </w:pPr>
    </w:p>
    <w:bookmarkStart w:id="23" w:name="page24"/>
    <w:bookmarkEnd w:id="23"/>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WM Technology, Inc.</w:t>
      </w:r>
    </w:p>
    <w:p>
      <w:pPr>
        <w:spacing w:after="0" w:line="247"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3"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30"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22"/>
          <w:szCs w:val="22"/>
          <w:b w:val="1"/>
          <w:bCs w:val="1"/>
          <w:color w:val="auto"/>
        </w:rPr>
        <w:t>Approved and Adopted by the Board of Directors: January 29, 2026</w:t>
      </w:r>
    </w:p>
    <w:p>
      <w:pPr>
        <w:spacing w:after="0" w:line="32"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22"/>
          <w:szCs w:val="22"/>
          <w:b w:val="1"/>
          <w:bCs w:val="1"/>
          <w:color w:val="auto"/>
        </w:rPr>
        <w:t>Effective January 1, 2026</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purpose of this Amended and Restated Non-Employee Director Compensation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WM Technology,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to provide a total compensation package that enables the Company to attract and retain, on a long-term basis, high-caliber directors who are not employees or officers of the Company or its subsidiaries (“</w:t>
      </w:r>
      <w:r>
        <w:rPr>
          <w:rFonts w:ascii="Times New Roman" w:cs="Times New Roman" w:eastAsia="Times New Roman" w:hAnsi="Times New Roman"/>
          <w:sz w:val="22"/>
          <w:szCs w:val="22"/>
          <w:u w:val="single" w:color="auto"/>
          <w:color w:val="auto"/>
        </w:rPr>
        <w:t>Outside Directors</w:t>
      </w:r>
      <w:r>
        <w:rPr>
          <w:rFonts w:ascii="Times New Roman" w:cs="Times New Roman" w:eastAsia="Times New Roman" w:hAnsi="Times New Roman"/>
          <w:sz w:val="22"/>
          <w:szCs w:val="22"/>
          <w:color w:val="auto"/>
        </w:rPr>
        <w:t>”). An Outside Director may decline all or any portion of his or her compensation by giving notice to the Company prior to the date cash may be paid or equity awards are to be granted, as the case may be. This Policy amends, restates and supersedes that certain Non-Employee Director Compensation Policy approved and adopted by the Company on October 1, 2023 (the “Prior Policy”).</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furtherance of the purpose stated above, all Outside Directors who serve as a member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receive, as compensation for services provided to the Company, (a) the cash retainers set forth below and (b) a grant of restricted stock units as set forth below.</w:t>
      </w:r>
    </w:p>
    <w:p>
      <w:pPr>
        <w:spacing w:after="0" w:line="190" w:lineRule="exact"/>
        <w:rPr>
          <w:sz w:val="20"/>
          <w:szCs w:val="20"/>
          <w:color w:val="auto"/>
        </w:rPr>
      </w:pPr>
    </w:p>
    <w:p>
      <w:pPr>
        <w:ind w:left="800" w:hanging="468"/>
        <w:spacing w:after="0"/>
        <w:tabs>
          <w:tab w:leader="none" w:pos="8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Cash Retainers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Outside Directors are eligible to receive the annual cash retainers in the amounts and subject to the terms and conditions as set forth below; provided however the annual cash retainer compensation, along with each additional cash retainer that an Outside Director receives for leadership roles on the Board (such as a committee membership or chair, or any other special services provided to the Board), shall not exceed the seventy-fifth (75th) percentile of the peer group (the “</w:t>
      </w:r>
      <w:r>
        <w:rPr>
          <w:rFonts w:ascii="Times New Roman" w:cs="Times New Roman" w:eastAsia="Times New Roman" w:hAnsi="Times New Roman"/>
          <w:sz w:val="22"/>
          <w:szCs w:val="22"/>
          <w:u w:val="single" w:color="auto"/>
          <w:color w:val="auto"/>
        </w:rPr>
        <w:t>Peer Group</w:t>
      </w:r>
      <w:r>
        <w:rPr>
          <w:rFonts w:ascii="Times New Roman" w:cs="Times New Roman" w:eastAsia="Times New Roman" w:hAnsi="Times New Roman"/>
          <w:sz w:val="22"/>
          <w:szCs w:val="22"/>
          <w:color w:val="auto"/>
        </w:rPr>
        <w:t>”) identified by a qualified independent compensation consultant engaged by the Compensation Committee (the “</w:t>
      </w:r>
      <w:r>
        <w:rPr>
          <w:rFonts w:ascii="Times New Roman" w:cs="Times New Roman" w:eastAsia="Times New Roman" w:hAnsi="Times New Roman"/>
          <w:sz w:val="22"/>
          <w:szCs w:val="22"/>
          <w:u w:val="single" w:color="auto"/>
          <w:color w:val="auto"/>
        </w:rPr>
        <w:t>Compensation Consultant</w:t>
      </w:r>
      <w:r>
        <w:rPr>
          <w:rFonts w:ascii="Times New Roman" w:cs="Times New Roman" w:eastAsia="Times New Roman" w:hAnsi="Times New Roman"/>
          <w:sz w:val="22"/>
          <w:szCs w:val="22"/>
          <w:color w:val="auto"/>
        </w:rPr>
        <w:t>”) for comparable roles, membership or services, unless no such comparable roles, membership or services are identified in the Peer Group by the Compensation Consultant.</w:t>
      </w:r>
    </w:p>
    <w:p>
      <w:pPr>
        <w:spacing w:after="0" w:line="22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All payments shall be made in arrears on the last business day of each fiscal quarter in which the Outside Director’s service occurred. All annual cash retainers are vested upon payment.</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an Outside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Outside Director provides the service, and regular full quarterly payments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retainers set forth below are effective as of January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65"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328"/>
        <w:spacing w:after="0" w:line="271" w:lineRule="auto"/>
        <w:tabs>
          <w:tab w:leader="none" w:pos="6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$50,000 for general availability and participation in meetings and conference calls of our Board.</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 for Committee Membership</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Audit Committee Chairperson: $20,000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Audit Committee member (other than Chairperson): $10,000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Compensation Committee Chairperson: $15,000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Compensation Committee member (other than Chairperson): $7,500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Nominating and Corporate Governance Committee Chairperson: $10,000</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Nominating and Corporate Governance Committee member (other than Chairperson): $5,000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Technology Committee Chairperson: $15,000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Technology Committee member (other than Chairperson): $7,500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Special Committee member: $10,000 per month of service during the 2025 calendar year, up to a $50,000 cap</w:t>
      </w:r>
    </w:p>
    <w:p>
      <w:pPr>
        <w:spacing w:after="0" w:line="166" w:lineRule="exact"/>
        <w:rPr>
          <w:sz w:val="20"/>
          <w:szCs w:val="20"/>
          <w:color w:val="auto"/>
        </w:rPr>
      </w:pPr>
    </w:p>
    <w:p>
      <w:pPr>
        <w:ind w:left="780" w:hanging="448"/>
        <w:spacing w:after="0"/>
        <w:tabs>
          <w:tab w:leader="none" w:pos="7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 for Chairperson of our Board of Directors (if an Outside Director)</w:t>
      </w:r>
      <w:r>
        <w:rPr>
          <w:rFonts w:ascii="Times New Roman" w:cs="Times New Roman" w:eastAsia="Times New Roman" w:hAnsi="Times New Roman"/>
          <w:sz w:val="22"/>
          <w:szCs w:val="22"/>
          <w:color w:val="auto"/>
        </w:rPr>
        <w:t>: $60,000</w:t>
      </w:r>
    </w:p>
    <w:p>
      <w:pPr>
        <w:spacing w:after="0" w:line="246" w:lineRule="exact"/>
        <w:rPr>
          <w:rFonts w:ascii="Times New Roman" w:cs="Times New Roman" w:eastAsia="Times New Roman" w:hAnsi="Times New Roman"/>
          <w:sz w:val="22"/>
          <w:szCs w:val="22"/>
          <w:color w:val="auto"/>
        </w:rPr>
      </w:pPr>
    </w:p>
    <w:p>
      <w:pPr>
        <w:ind w:left="660" w:right="20" w:hanging="328"/>
        <w:spacing w:after="0" w:line="284" w:lineRule="auto"/>
        <w:tabs>
          <w:tab w:leader="none" w:pos="89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 for Lead Independent Director</w:t>
      </w:r>
      <w:r>
        <w:rPr>
          <w:rFonts w:ascii="Times New Roman" w:cs="Times New Roman" w:eastAsia="Times New Roman" w:hAnsi="Times New Roman"/>
          <w:sz w:val="22"/>
          <w:szCs w:val="22"/>
          <w:color w:val="auto"/>
        </w:rPr>
        <w:t>: $25,000 for serving as lead independent director of our Board of Directors.</w:t>
      </w:r>
    </w:p>
    <w:p>
      <w:pPr>
        <w:spacing w:after="0" w:line="170" w:lineRule="exact"/>
        <w:rPr>
          <w:rFonts w:ascii="Times New Roman" w:cs="Times New Roman" w:eastAsia="Times New Roman" w:hAnsi="Times New Roman"/>
          <w:sz w:val="22"/>
          <w:szCs w:val="22"/>
          <w:color w:val="auto"/>
        </w:rPr>
      </w:pPr>
    </w:p>
    <w:p>
      <w:pPr>
        <w:jc w:val="both"/>
        <w:ind w:left="660" w:hanging="328"/>
        <w:spacing w:after="0" w:line="262" w:lineRule="auto"/>
        <w:tabs>
          <w:tab w:leader="none" w:pos="84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Meeting Fees for each Director</w:t>
      </w:r>
      <w:r>
        <w:rPr>
          <w:rFonts w:ascii="Times New Roman" w:cs="Times New Roman" w:eastAsia="Times New Roman" w:hAnsi="Times New Roman"/>
          <w:sz w:val="21"/>
          <w:szCs w:val="21"/>
          <w:color w:val="auto"/>
        </w:rPr>
        <w:t>: 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w:t>
      </w:r>
    </w:p>
    <w:p>
      <w:pPr>
        <w:spacing w:after="0" w:line="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(8).</w:t>
      </w:r>
    </w:p>
    <w:p>
      <w:pPr>
        <w:spacing w:after="0" w:line="219" w:lineRule="exact"/>
        <w:rPr>
          <w:sz w:val="20"/>
          <w:szCs w:val="20"/>
          <w:color w:val="auto"/>
        </w:rPr>
      </w:pPr>
    </w:p>
    <w:p>
      <w:pPr>
        <w:ind w:left="820" w:hanging="488"/>
        <w:spacing w:after="0"/>
        <w:tabs>
          <w:tab w:leader="none" w:pos="82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Retainers</w:t>
      </w:r>
    </w:p>
    <w:p>
      <w:pPr>
        <w:spacing w:after="0" w:line="250"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Director Grants</w:t>
      </w:r>
      <w:r>
        <w:rPr>
          <w:rFonts w:ascii="Times New Roman" w:cs="Times New Roman" w:eastAsia="Times New Roman" w:hAnsi="Times New Roman"/>
          <w:sz w:val="22"/>
          <w:szCs w:val="22"/>
          <w:color w:val="auto"/>
        </w:rPr>
        <w:t>. Without any further action of the Board or Compensation Committee of the Board, each Outside Director who is elected or appointed for the first time to be an Outside Director will automatically, upon the date of his or her initial election or appointment to be an Outside Director (the “</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receive an initial, one-time grant of restricted stock units (the “</w:t>
      </w:r>
      <w:r>
        <w:rPr>
          <w:rFonts w:ascii="Times New Roman" w:cs="Times New Roman" w:eastAsia="Times New Roman" w:hAnsi="Times New Roman"/>
          <w:sz w:val="22"/>
          <w:szCs w:val="22"/>
          <w:u w:val="single" w:color="auto"/>
          <w:color w:val="auto"/>
        </w:rPr>
        <w:t>New Director Grant</w:t>
      </w:r>
      <w:r>
        <w:rPr>
          <w:rFonts w:ascii="Times New Roman" w:cs="Times New Roman" w:eastAsia="Times New Roman" w:hAnsi="Times New Roman"/>
          <w:sz w:val="22"/>
          <w:szCs w:val="22"/>
          <w:color w:val="auto"/>
        </w:rPr>
        <w:t>”) with an approximate aggregate value of the lesser of (i) $400,000 or (ii) two (2) times the value of the most recent Annual Grant (as defined below). The New Director Grant will vest in three equal annual installments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365" w:right="339" w:bottom="1440" w:gutter="0" w:footer="0" w:header="0"/>
        </w:sectPr>
      </w:pPr>
    </w:p>
    <w:bookmarkStart w:id="25" w:name="page26"/>
    <w:bookmarkEnd w:id="25"/>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each of the first three annual meetings of the Company’s stockholders (each, an “</w:t>
      </w:r>
      <w:r>
        <w:rPr>
          <w:rFonts w:ascii="Times New Roman" w:cs="Times New Roman" w:eastAsia="Times New Roman" w:hAnsi="Times New Roman"/>
          <w:sz w:val="22"/>
          <w:szCs w:val="22"/>
          <w:u w:val="single" w:color="auto"/>
          <w:color w:val="auto"/>
        </w:rPr>
        <w:t>Annual Meeting Date</w:t>
      </w:r>
      <w:r>
        <w:rPr>
          <w:rFonts w:ascii="Times New Roman" w:cs="Times New Roman" w:eastAsia="Times New Roman" w:hAnsi="Times New Roman"/>
          <w:sz w:val="22"/>
          <w:szCs w:val="22"/>
          <w:color w:val="auto"/>
        </w:rPr>
        <w:t>”) following the Commencement Date. The New Director Grant may only be granted once to any Outside Director.</w:t>
      </w:r>
    </w:p>
    <w:p>
      <w:pPr>
        <w:spacing w:after="0" w:line="104" w:lineRule="exact"/>
        <w:rPr>
          <w:sz w:val="20"/>
          <w:szCs w:val="20"/>
          <w:color w:val="auto"/>
        </w:rPr>
      </w:pPr>
    </w:p>
    <w:p>
      <w:pPr>
        <w:jc w:val="both"/>
        <w:ind w:firstLine="656"/>
        <w:spacing w:after="0" w:line="253" w:lineRule="auto"/>
        <w:tabs>
          <w:tab w:leader="none" w:pos="129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Grants</w:t>
      </w:r>
      <w:r>
        <w:rPr>
          <w:rFonts w:ascii="Times New Roman" w:cs="Times New Roman" w:eastAsia="Times New Roman" w:hAnsi="Times New Roman"/>
          <w:sz w:val="22"/>
          <w:szCs w:val="22"/>
          <w:color w:val="auto"/>
        </w:rPr>
        <w:t>. Without any further action of the Board or Compensation Committee of the Board, at the close of business on each Annual Meeting Date, each Outside Director who will continue as a member of the Board following such Annual Meeting Date will receive a grant of restricted stock units on the Annual Meeting Date (the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with an aggregate value of approximately $200,000. Each Annual Grant will vest in full on the earlier of (A) the first anniversary of its grant date or (B) the next Annual Meeting Date. Annual Grants have following additional limitations:</w:t>
      </w:r>
    </w:p>
    <w:p>
      <w:pPr>
        <w:spacing w:after="0" w:line="124" w:lineRule="exact"/>
        <w:rPr>
          <w:rFonts w:ascii="Times New Roman" w:cs="Times New Roman" w:eastAsia="Times New Roman" w:hAnsi="Times New Roman"/>
          <w:sz w:val="22"/>
          <w:szCs w:val="22"/>
          <w:color w:val="auto"/>
        </w:rPr>
      </w:pPr>
    </w:p>
    <w:p>
      <w:pPr>
        <w:ind w:left="1300" w:hanging="320"/>
        <w:spacing w:after="0" w:line="275" w:lineRule="auto"/>
        <w:tabs>
          <w:tab w:leader="none" w:pos="130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Annual Grant will have a value that exceeds the seventy-fifth (75th) percentile of the Peer Group identified by the Compensation Consultant;</w:t>
      </w:r>
    </w:p>
    <w:p>
      <w:pPr>
        <w:jc w:val="both"/>
        <w:ind w:left="1300" w:hanging="320"/>
        <w:spacing w:after="0" w:line="252" w:lineRule="auto"/>
        <w:tabs>
          <w:tab w:leader="none" w:pos="130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Class III director who is a member of the Board on January 1, 2026 will not be eligible to receive an Annual Grant pursuant to this Policy in 2026 and will first be eligible to receive an Annual Grant pursuant to this Policy on the Annual Meeting Date that occurs in 2027, provided that such director continues as a member of the Board following such Annual Meeting Date; and</w:t>
      </w:r>
    </w:p>
    <w:p>
      <w:pPr>
        <w:spacing w:after="0" w:line="17" w:lineRule="exact"/>
        <w:rPr>
          <w:rFonts w:ascii="Times New Roman" w:cs="Times New Roman" w:eastAsia="Times New Roman" w:hAnsi="Times New Roman"/>
          <w:sz w:val="22"/>
          <w:szCs w:val="22"/>
          <w:color w:val="auto"/>
        </w:rPr>
      </w:pPr>
    </w:p>
    <w:p>
      <w:pPr>
        <w:jc w:val="both"/>
        <w:ind w:left="1300" w:hanging="320"/>
        <w:spacing w:after="0" w:line="256" w:lineRule="auto"/>
        <w:tabs>
          <w:tab w:leader="none" w:pos="130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Class I director who is a member of the Board on January 1, 2026 will not be eligible to receive an Annual Grant pursuant to this Policy in 2026 or 2027 in 2026 and will first be eligible to receive an Annual Grant pursuant to this Policy on the Annual Meeting Date that occurs in 2028, provided that such director continues as a member of the Board following such Annual Meeting Date.</w:t>
      </w:r>
    </w:p>
    <w:p>
      <w:pPr>
        <w:spacing w:after="0" w:line="253" w:lineRule="exact"/>
        <w:rPr>
          <w:rFonts w:ascii="Times New Roman" w:cs="Times New Roman" w:eastAsia="Times New Roman" w:hAnsi="Times New Roman"/>
          <w:sz w:val="22"/>
          <w:szCs w:val="22"/>
          <w:color w:val="auto"/>
        </w:rPr>
      </w:pPr>
    </w:p>
    <w:p>
      <w:pPr>
        <w:ind w:left="820" w:hanging="488"/>
        <w:spacing w:after="0"/>
        <w:tabs>
          <w:tab w:leader="none" w:pos="8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p>
    <w:p>
      <w:pPr>
        <w:spacing w:after="0" w:line="25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All grants of equity retainer awards to Outside Directors pursuant to this Policy will be automatic and nondiscretionary and will be made in accordance with the following provisions:</w:t>
      </w:r>
    </w:p>
    <w:p>
      <w:pPr>
        <w:spacing w:after="0" w:line="36" w:lineRule="exact"/>
        <w:rPr>
          <w:sz w:val="20"/>
          <w:szCs w:val="20"/>
          <w:color w:val="auto"/>
        </w:rPr>
      </w:pPr>
    </w:p>
    <w:p>
      <w:pPr>
        <w:ind w:firstLine="656"/>
        <w:spacing w:after="0" w:line="271" w:lineRule="auto"/>
        <w:tabs>
          <w:tab w:leader="none" w:pos="110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grants of equity retainer awards to Outside Directors will be made pursuant to the Company’s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49" w:lineRule="exact"/>
        <w:rPr>
          <w:rFonts w:ascii="Times New Roman" w:cs="Times New Roman" w:eastAsia="Times New Roman" w:hAnsi="Times New Roman"/>
          <w:sz w:val="22"/>
          <w:szCs w:val="22"/>
          <w:color w:val="auto"/>
        </w:rPr>
      </w:pPr>
    </w:p>
    <w:p>
      <w:pPr>
        <w:jc w:val="both"/>
        <w:ind w:firstLine="656"/>
        <w:spacing w:after="0" w:line="268" w:lineRule="auto"/>
        <w:tabs>
          <w:tab w:leader="none" w:pos="119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w:t>
      </w:r>
      <w:r>
        <w:rPr>
          <w:rFonts w:ascii="Times New Roman" w:cs="Times New Roman" w:eastAsia="Times New Roman" w:hAnsi="Times New Roman"/>
          <w:sz w:val="21"/>
          <w:szCs w:val="21"/>
          <w:color w:val="auto"/>
        </w:rPr>
        <w:t>. For purposes of this Policy, the number of restricted stock units granted to an Outside Director hereunder shall be calculated by dividing the target value of such award by the volume weighted average price of the Common Stock (as defined in the Plan) during the 60 trading day period ending on the day prior to the effective date of the grant (or, if that end date isn’t a trading day, the trading day prior). If the value of each grant of restricted stock units is denominated in dollars, the number of shares of restricted stock units that are granted pursuant to each award shall be rounded down to the nearest whole share.</w:t>
      </w:r>
    </w:p>
    <w:p>
      <w:pPr>
        <w:spacing w:after="0" w:line="55" w:lineRule="exact"/>
        <w:rPr>
          <w:rFonts w:ascii="Times New Roman" w:cs="Times New Roman" w:eastAsia="Times New Roman" w:hAnsi="Times New Roman"/>
          <w:sz w:val="21"/>
          <w:szCs w:val="21"/>
          <w:color w:val="auto"/>
        </w:rPr>
      </w:pPr>
    </w:p>
    <w:p>
      <w:pPr>
        <w:jc w:val="both"/>
        <w:ind w:firstLine="656"/>
        <w:spacing w:after="0" w:line="256" w:lineRule="auto"/>
        <w:tabs>
          <w:tab w:leader="none" w:pos="118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and/or the Compensation Committee in its discretion may change and otherwise revise the terms of awards to be granted under this Policy, including, without limitation, the number of shares subject thereto, for awards of the same or different type granted on or after the date the Board and/or the Compensation Committee determines to make any such change or revision.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36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56"/>
        <w:spacing w:after="0" w:line="253" w:lineRule="auto"/>
        <w:tabs>
          <w:tab w:leader="none" w:pos="119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Change in Control Acceleration</w:t>
      </w:r>
      <w:r>
        <w:rPr>
          <w:rFonts w:ascii="Times New Roman" w:cs="Times New Roman" w:eastAsia="Times New Roman" w:hAnsi="Times New Roman"/>
          <w:sz w:val="22"/>
          <w:szCs w:val="22"/>
          <w:color w:val="auto"/>
        </w:rPr>
        <w:t>. All vesting is subject to the Outside Director’s Continuous Service (as defined in the Plan) through the applicable vesting date. Notwithstanding the foregoing vesting schedule, for each Outside Director who remains in Continuous Service with the Company until immediately prior to the closing of a Change in Control (as defined in the Plan)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all New Director Grants and Annual Grants held by such Outside Director will become 100% vested immediately prior to the Closing.</w:t>
      </w:r>
    </w:p>
    <w:p>
      <w:pPr>
        <w:spacing w:after="0" w:line="7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Terms</w:t>
      </w:r>
      <w:r>
        <w:rPr>
          <w:rFonts w:ascii="Times New Roman" w:cs="Times New Roman" w:eastAsia="Times New Roman" w:hAnsi="Times New Roman"/>
          <w:sz w:val="22"/>
          <w:szCs w:val="22"/>
          <w:color w:val="auto"/>
        </w:rPr>
        <w:t>. The remaining terms and conditions of each restricted stock unit, including transferability, will be as set forth in the Company’s standard restricted stock unit award agreement, in the applicable form adopted from time to time by the Board or the Compensation Committee of the Board.</w:t>
      </w:r>
    </w:p>
    <w:p>
      <w:pPr>
        <w:spacing w:after="0" w:line="317"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Expenses</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will reimburse all reasonable out-of-pocket travel expenses incurred by Outside Directors in attending meetings of the Board or any Committee thereof; provided, that the Outside Director timely submits to the Company appropriate documentation substantiating such expenses in accordance with the Company’s travel and expense policy, as in effect from time to time.</w:t>
      </w:r>
    </w:p>
    <w:p>
      <w:pPr>
        <w:spacing w:after="0" w:line="202" w:lineRule="exact"/>
        <w:rPr>
          <w:sz w:val="20"/>
          <w:szCs w:val="20"/>
          <w:color w:val="auto"/>
        </w:rPr>
      </w:pPr>
    </w:p>
    <w:p>
      <w:pPr>
        <w:ind w:left="740" w:hanging="408"/>
        <w:spacing w:after="0"/>
        <w:tabs>
          <w:tab w:leader="none" w:pos="74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aggregate value of all compensation granted or paid, as applicable, to any individual for service as an Outside Director with respect to any calendar year, including equity awards granted and cash fees paid by the Company to such Outside Director, will not exceed (i) $750,000 in total value or (ii) in the event such Outside Director is first appointed or elected to the Board during any calendar year, $1,000,000 in total value, in each case calculating the value of any equity awards based on the grant date fair value of such equity awards for financial reporting purposes (or such other limit as may be set forth in Section 3(d) of the Plan or any similar provision of a successor plan).</w:t>
      </w:r>
    </w:p>
    <w:p>
      <w:pPr>
        <w:spacing w:after="0" w:line="204" w:lineRule="exact"/>
        <w:rPr>
          <w:sz w:val="20"/>
          <w:szCs w:val="20"/>
          <w:color w:val="auto"/>
        </w:rPr>
      </w:pPr>
    </w:p>
    <w:p>
      <w:pPr>
        <w:ind w:left="340"/>
        <w:spacing w:after="0"/>
        <w:tabs>
          <w:tab w:leader="none" w:pos="8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Administration</w:t>
      </w:r>
    </w:p>
    <w:p>
      <w:pPr>
        <w:spacing w:after="0" w:line="2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The Board, or Compensation Committee of the Board, will administer the Policy. The Board or the Compensation Committee of the Board will have the sole discretion and authority to administer, interpret, amend and terminate the Policy, and the decisions of the Board or the Compensation Committee of the Board will be final and binding on all persons having an interest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365"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574040</wp:posOffset>
            </wp:positionV>
            <wp:extent cx="2143125" cy="668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WM Technology, Inc. Appoints Harry DeMott and Brent Cox to Board of Directors and Announces Executive Employment Arrangement with CFO Susan Echard</w:t>
      </w: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IRVINE, Calif. – February 3, 2026 – WM Technology, Inc. (“WM Technology” or the “Company”) (Nasdaq: MAPS), a leading marketplace and technology solutions provider to the cannabis industry, today announced the appointment of Harry DeMott and Brent Cox to the Company’s Board of Directors, effective February 1, 2026. The Company also announced that Susan Echard will continue to serve as Chief Financial Officer, transitioning from a contracted arrangement to employment with the Company, effective January 30, 2026.</w:t>
      </w:r>
    </w:p>
    <w:p>
      <w:pPr>
        <w:spacing w:after="0" w:line="200" w:lineRule="exact"/>
        <w:rPr>
          <w:sz w:val="20"/>
          <w:szCs w:val="20"/>
          <w:color w:val="auto"/>
        </w:rPr>
      </w:pP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pleased to welcome Harry and Brent to WM Technology’s Board of Directors. They each bring a combination of cannabis industry perspective, technology fluency, and disciplined capital markets experience,” said Doug Francis, CEO and Chair of WM Technology. “They understand the complexities of operating in a highly regulated industry and bring deep experience advising management teams, scaling technology-enabled businesses, and serving on company boards. We look forward to their insights and guidance as we strengthen the Weedmaps marketplace and continue to chart our path forward in the evolving cannabis industry.”</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Harry DeMott is an investor, operator, and board member with experience spanning cannabis and technology. He is a General Partner of Raptor Ventures, which he co-founded, and is part of the founding group at Outsider Labs, an AI startup. Mr. DeMott previously founded and served as CEO of Proper, a data company focused on the cannabis industry, and has served on public-company boards including Workhorse Group Inc., where he chaired the compensation committee, and Achari Ventures Holdings Corp., where he chaired the audit committee. He holds an A.B. in Economics from Princeton University and an M.B.A. from New York University’s Stern School of Business.</w:t>
      </w:r>
    </w:p>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Brent Cox is a seasoned investment professional and board advisor with experience across growth and regulated businesses, including cannabis. He is the Founder and Managing Principal of Subtext Holdings, a private investment firm with an emphasis on high-growth emerging markets and regulated industries, and Co-Founder and Managing Partner of The Inception Companies, a private investment firm. He currently serves on the board of Ispire Technology (Nasdaq: ISPR), with prior cannabis board experience including MedMen, Sunday Goods, Sherbinskis, Wellgreens, and Pacific Dutch Group. Mr. Cox began his career in the Leveraged Finance Group at Jefferies &amp; Co. and holds a B.S. in Accounting from the University of Southern California.</w:t>
      </w:r>
    </w:p>
    <w:p>
      <w:pPr>
        <w:sectPr>
          <w:pgSz w:w="11900" w:h="16838" w:orient="portrait"/>
          <w:cols w:equalWidth="0" w:num="1">
            <w:col w:w="11240"/>
          </w:cols>
          <w:pgMar w:left="320" w:top="356"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WM Technology</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Founded in 2008, WM Technology operates Weedmaps, a leading cannabis marketplace for consumers, as well as a set of eCommerce and compliance software solutions for cannabis businesses and brands. WM Technology holds a strong belief in the power of cannabis and the importance of enabling safe, legal access to consumers worldwide.</w:t>
      </w: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Over the past 18 years, the Weedmaps marketplace has become the premier destination for cannabis consumers to discover and browse cannabis-related products, access daily dispensary deals, order ahead for pick-up and delivery (where applicable), and learn about the plant. The Company also offers eCommerce-enablement tools designed to help cannabis retailers and brands reach consumers, create business efficiency, and manage industry-specific compliance needs.</w:t>
      </w:r>
    </w:p>
    <w:p>
      <w:pPr>
        <w:spacing w:after="0" w:line="3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Headquartered in Irvine, California, the Company is committed to advocating for full U.S. legalization, industry-wide social equity, and continued education about the plant through key partnerships and cannabis subject matter experts. Visit us at www.weedmaps.com.</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r>
        <w:rPr>
          <w:rFonts w:ascii="Times New Roman" w:cs="Times New Roman" w:eastAsia="Times New Roman" w:hAnsi="Times New Roman"/>
          <w:sz w:val="20"/>
          <w:szCs w:val="20"/>
          <w:color w:val="auto"/>
        </w:rPr>
        <w:t>: press@weedmaps.com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r>
        <w:rPr>
          <w:rFonts w:ascii="Times New Roman" w:cs="Times New Roman" w:eastAsia="Times New Roman" w:hAnsi="Times New Roman"/>
          <w:sz w:val="20"/>
          <w:szCs w:val="20"/>
          <w:color w:val="auto"/>
        </w:rPr>
        <w:t>: investors@weedmaps.com</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1)"/>
      <w:numFmt w:val="lowerLetter"/>
      <w:start w:val="4"/>
    </w:lvl>
  </w:abstractNum>
  <w:abstractNum w:abstractNumId="3">
    <w:nsid w:val="79838CB2"/>
    <w:multiLevelType w:val="hybridMultilevel"/>
    <w:lvl w:ilvl="0">
      <w:lvlJc w:val="left"/>
      <w:lvlText w:val="%1"/>
      <w:numFmt w:val="decimal"/>
      <w:start w:val="4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4"/>
    </w:lvl>
    <w:lvl w:ilvl="1">
      <w:lvlJc w:val="left"/>
      <w:lvlText w:val="%2."/>
      <w:numFmt w:val="lowerLetter"/>
      <w:start w:val="1"/>
    </w:lvl>
  </w:abstractNum>
  <w:abstractNum w:abstractNumId="6">
    <w:nsid w:val="189A769B"/>
    <w:multiLevelType w:val="hybridMultilevel"/>
    <w:lvl w:ilvl="0">
      <w:lvlJc w:val="left"/>
      <w:lvlText w:val="%1"/>
      <w:numFmt w:val="decimal"/>
      <w:start w:val="1"/>
    </w:lvl>
    <w:lvl w:ilvl="1">
      <w:lvlJc w:val="left"/>
      <w:lvlText w:val="%2."/>
      <w:numFmt w:val="lowerLetter"/>
      <w:start w:val="8"/>
    </w:lvl>
  </w:abstractNum>
  <w:abstractNum w:abstractNumId="7">
    <w:nsid w:val="54E49EB4"/>
    <w:multiLevelType w:val="hybridMultilevel"/>
    <w:lvl w:ilvl="0">
      <w:lvlJc w:val="left"/>
      <w:lvlText w:val="%1)"/>
      <w:numFmt w:val="decimal"/>
      <w:start w:val="5"/>
    </w:lvl>
    <w:lvl w:ilvl="1">
      <w:lvlJc w:val="left"/>
      <w:lvlText w:val="%2."/>
      <w:numFmt w:val="lowerLetter"/>
      <w:start w:val="1"/>
    </w:lvl>
  </w:abstractNum>
  <w:abstractNum w:abstractNumId="8">
    <w:nsid w:val="71F32454"/>
    <w:multiLevelType w:val="hybridMultilevel"/>
    <w:lvl w:ilvl="0">
      <w:lvlJc w:val="left"/>
      <w:lvlText w:val="%1."/>
      <w:numFmt w:val="lowerLetter"/>
      <w:start w:val="8"/>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0"/>
    </w:lvl>
    <w:lvl w:ilvl="1">
      <w:lvlJc w:val="left"/>
      <w:lvlText w:val="(%2)"/>
      <w:numFmt w:val="decimal"/>
      <w:start w:val="1"/>
    </w:lvl>
  </w:abstractNum>
  <w:abstractNum w:abstractNumId="11">
    <w:nsid w:val="2901D82"/>
    <w:multiLevelType w:val="hybridMultilevel"/>
    <w:lvl w:ilvl="0">
      <w:lvlJc w:val="left"/>
      <w:lvlText w:val="%1"/>
      <w:numFmt w:val="lowerLetter"/>
      <w:start w:val="1"/>
    </w:lvl>
    <w:lvl w:ilvl="1">
      <w:lvlJc w:val="left"/>
      <w:lvlText w:val="(%2)"/>
      <w:numFmt w:val="decimal"/>
      <w:start w:val="4"/>
    </w:lvl>
  </w:abstractNum>
  <w:abstractNum w:abstractNumId="12">
    <w:nsid w:val="3A95F874"/>
    <w:multiLevelType w:val="hybridMultilevel"/>
    <w:lvl w:ilvl="0">
      <w:lvlJc w:val="left"/>
      <w:lvlText w:val="(%1)"/>
      <w:numFmt w:val="lowerLetter"/>
      <w:start w:val="18"/>
    </w:lvl>
    <w:lvl w:ilvl="1">
      <w:lvlJc w:val="left"/>
      <w:lvlText w:val="%2"/>
      <w:numFmt w:val="decimal"/>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2"/>
    </w:lvl>
    <w:lvl w:ilvl="1">
      <w:lvlJc w:val="left"/>
      <w:lvlText w:val="(%2)"/>
      <w:numFmt w:val="decimal"/>
      <w:start w:val="1"/>
    </w:lvl>
  </w:abstractNum>
  <w:abstractNum w:abstractNumId="15">
    <w:nsid w:val="7C3DBD3D"/>
    <w:multiLevelType w:val="hybridMultilevel"/>
    <w:lvl w:ilvl="0">
      <w:lvlJc w:val="left"/>
      <w:lvlText w:val="(%1)"/>
      <w:numFmt w:val="lowerLetter"/>
      <w:start w:val="5"/>
    </w:lvl>
    <w:lvl w:ilvl="1">
      <w:lvlJc w:val="left"/>
      <w:lvlText w:val="(%2)"/>
      <w:numFmt w:val="decimal"/>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lvl w:ilvl="1">
      <w:lvlJc w:val="left"/>
      <w:lvlText w:val="(%2)"/>
      <w:numFmt w:val="lowerLetter"/>
      <w:start w:val="4"/>
    </w:lvl>
  </w:abstractNum>
  <w:abstractNum w:abstractNumId="18">
    <w:nsid w:val="22221A70"/>
    <w:multiLevelType w:val="hybridMultilevel"/>
    <w:lvl w:ilvl="0">
      <w:lvlJc w:val="left"/>
      <w:lvlText w:val="(%1)"/>
      <w:numFmt w:val="lowerLetter"/>
      <w:start w:val="24"/>
    </w:lvl>
    <w:lvl w:ilvl="1">
      <w:lvlJc w:val="left"/>
      <w:lvlText w:val="%2"/>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lvl w:ilvl="1">
      <w:lvlJc w:val="left"/>
      <w:lvlText w:val="%2"/>
      <w:numFmt w:val="decimal"/>
      <w:start w:val="1"/>
    </w:lvl>
    <w:lvl w:ilvl="2">
      <w:lvlJc w:val="left"/>
      <w:lvlText w:val="%3"/>
      <w:numFmt w:val="decimal"/>
      <w:start w:val="41"/>
    </w:lvl>
  </w:abstractNum>
  <w:abstractNum w:abstractNumId="22">
    <w:nsid w:val="419AC241"/>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23">
    <w:nsid w:val="5577F8E1"/>
    <w:multiLevelType w:val="hybridMultilevel"/>
    <w:lvl w:ilvl="0">
      <w:lvlJc w:val="left"/>
      <w:lvlText w:val="(%1)"/>
      <w:numFmt w:val="lowerLetter"/>
      <w:start w:val="3"/>
    </w:lvl>
  </w:abstractNum>
  <w:abstractNum w:abstractNumId="24">
    <w:nsid w:val="440BADFC"/>
    <w:multiLevelType w:val="hybridMultilevel"/>
    <w:lvl w:ilvl="0">
      <w:lvlJc w:val="left"/>
      <w:lvlText w:val="%1"/>
      <w:numFmt w:val="decimal"/>
      <w:start w:val="41"/>
    </w:lvl>
  </w:abstractNum>
  <w:abstractNum w:abstractNumId="25">
    <w:nsid w:val="5072367"/>
    <w:multiLevelType w:val="hybridMultilevel"/>
    <w:lvl w:ilvl="0">
      <w:lvlJc w:val="left"/>
      <w:lvlText w:val="(%1)"/>
      <w:numFmt w:val="lowerLetter"/>
      <w:start w:val="4"/>
    </w:lvl>
    <w:lvl w:ilvl="1">
      <w:lvlJc w:val="left"/>
      <w:lvlText w:val="(%2)"/>
      <w:numFmt w:val="decimal"/>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2"/>
    </w:lvl>
  </w:abstractNum>
  <w:abstractNum w:abstractNumId="28">
    <w:nsid w:val="7724C67E"/>
    <w:multiLevelType w:val="hybridMultilevel"/>
    <w:lvl w:ilvl="0">
      <w:lvlJc w:val="left"/>
      <w:lvlText w:val="%1"/>
      <w:numFmt w:val="decimal"/>
      <w:start w:val="41"/>
    </w:lvl>
  </w:abstractNum>
  <w:abstractNum w:abstractNumId="29">
    <w:nsid w:val="5C482A97"/>
    <w:multiLevelType w:val="hybridMultilevel"/>
    <w:lvl w:ilvl="0">
      <w:lvlJc w:val="left"/>
      <w:lvlText w:val="(%1)"/>
      <w:numFmt w:val="lowerLetter"/>
      <w:start w:val="4"/>
    </w:lvl>
  </w:abstractNum>
  <w:abstractNum w:abstractNumId="30">
    <w:nsid w:val="2463B9EA"/>
    <w:multiLevelType w:val="hybridMultilevel"/>
    <w:lvl w:ilvl="0">
      <w:lvlJc w:val="left"/>
      <w:lvlText w:val="%1"/>
      <w:numFmt w:val="lowerLetter"/>
      <w:start w:val="1"/>
    </w:lvl>
    <w:lvl w:ilvl="1">
      <w:lvlJc w:val="left"/>
      <w:lvlText w:val="%2"/>
      <w:numFmt w:val="decimal"/>
      <w:start w:val="41"/>
    </w:lvl>
  </w:abstractNum>
  <w:abstractNum w:abstractNumId="31">
    <w:nsid w:val="5E884ADC"/>
    <w:multiLevelType w:val="hybridMultilevel"/>
    <w:lvl w:ilvl="0">
      <w:lvlJc w:val="left"/>
      <w:lvlText w:val="(%1)"/>
      <w:numFmt w:val="lowerLetter"/>
      <w:start w:val="5"/>
    </w:lvl>
    <w:lvl w:ilvl="1">
      <w:lvlJc w:val="left"/>
      <w:lvlText w:val="%2"/>
      <w:numFmt w:val="decimal"/>
      <w:start w:val="1"/>
    </w:lvl>
  </w:abstractNum>
  <w:abstractNum w:abstractNumId="32">
    <w:nsid w:val="51EAD36B"/>
    <w:multiLevelType w:val="hybridMultilevel"/>
    <w:lvl w:ilvl="0">
      <w:lvlJc w:val="left"/>
      <w:lvlText w:val="%1"/>
      <w:numFmt w:val="decimal"/>
      <w:start w:val="41"/>
    </w:lvl>
  </w:abstractNum>
  <w:abstractNum w:abstractNumId="33">
    <w:nsid w:val="2D517796"/>
    <w:multiLevelType w:val="hybridMultilevel"/>
    <w:lvl w:ilvl="0">
      <w:lvlJc w:val="left"/>
      <w:lvlText w:val="(%1)"/>
      <w:numFmt w:val="lowerLetter"/>
      <w:start w:val="1"/>
    </w:lvl>
    <w:lvl w:ilvl="1">
      <w:lvlJc w:val="left"/>
      <w:lvlText w:val="(%2)"/>
      <w:numFmt w:val="decimal"/>
      <w:start w:val="1"/>
    </w:lvl>
  </w:abstractNum>
  <w:abstractNum w:abstractNumId="34">
    <w:nsid w:val="580BD78F"/>
    <w:multiLevelType w:val="hybridMultilevel"/>
    <w:lvl w:ilvl="0">
      <w:lvlJc w:val="left"/>
      <w:lvlText w:val="%1"/>
      <w:numFmt w:val="lowerLetter"/>
      <w:start w:val="1"/>
    </w:lvl>
    <w:lvl w:ilvl="1">
      <w:lvlJc w:val="left"/>
      <w:lvlText w:val="(%2)"/>
      <w:numFmt w:val="decimal"/>
      <w:start w:val="3"/>
    </w:lvl>
  </w:abstractNum>
  <w:abstractNum w:abstractNumId="35">
    <w:nsid w:val="153EA438"/>
    <w:multiLevelType w:val="hybridMultilevel"/>
    <w:lvl w:ilvl="0">
      <w:lvlJc w:val="left"/>
      <w:lvlText w:val="(%1)"/>
      <w:numFmt w:val="lowerLetter"/>
      <w:start w:val="2"/>
    </w:lvl>
    <w:lvl w:ilvl="1">
      <w:lvlJc w:val="left"/>
      <w:lvlText w:val="%2"/>
      <w:numFmt w:val="decimal"/>
      <w:start w:val="1"/>
    </w:lvl>
  </w:abstractNum>
  <w:abstractNum w:abstractNumId="36">
    <w:nsid w:val="3855585C"/>
    <w:multiLevelType w:val="hybridMultilevel"/>
    <w:lvl w:ilvl="0">
      <w:lvlJc w:val="left"/>
      <w:lvlText w:val="(%1)"/>
      <w:numFmt w:val="lowerLetter"/>
      <w:start w:val="4"/>
    </w:lvl>
  </w:abstractNum>
  <w:abstractNum w:abstractNumId="37">
    <w:nsid w:val="70A64E2A"/>
    <w:multiLevelType w:val="hybridMultilevel"/>
    <w:lvl w:ilvl="0">
      <w:lvlJc w:val="left"/>
      <w:lvlText w:val="%1."/>
      <w:numFmt w:val="upperLetter"/>
      <w:start w:val="9"/>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3"/>
    </w:lvl>
  </w:abstractNum>
  <w:abstractNum w:abstractNumId="40">
    <w:nsid w:val="1D4ED43B"/>
    <w:multiLevelType w:val="hybridMultilevel"/>
    <w:lvl w:ilvl="0">
      <w:lvlJc w:val="left"/>
      <w:lvlText w:val="%1."/>
      <w:numFmt w:val="upperLetter"/>
      <w:start w:val="35"/>
    </w:lvl>
    <w:lvl w:ilvl="1">
      <w:lvlJc w:val="left"/>
      <w:lvlText w:val="(%2)"/>
      <w:numFmt w:val="lowerLetter"/>
      <w:start w:val="1"/>
    </w:lvl>
  </w:abstractNum>
  <w:abstractNum w:abstractNumId="41">
    <w:nsid w:val="725A06FB"/>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42">
    <w:nsid w:val="2CD89A32"/>
    <w:multiLevelType w:val="hybridMultilevel"/>
    <w:lvl w:ilvl="0">
      <w:lvlJc w:val="left"/>
      <w:lvlText w:val="%1."/>
      <w:numFmt w:val="upperLetter"/>
      <w:start w:val="61"/>
    </w:lvl>
    <w:lvl w:ilvl="1">
      <w:lvlJc w:val="left"/>
      <w:lvlText w:val="%2"/>
      <w:numFmt w:val="lowerLetter"/>
      <w:start w:val="1"/>
    </w:lvl>
    <w:lvl w:ilvl="2">
      <w:lvlJc w:val="left"/>
      <w:lvlText w:val="%3"/>
      <w:numFmt w:val="decimal"/>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4"/>
    </w:lvl>
  </w:abstractNum>
  <w:abstractNum w:abstractNumId="45">
    <w:nsid w:val="4B588F54"/>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2026-02-03T16:27:40Z</dcterms:created>
  <dcterms:modified xsi:type="dcterms:W3CDTF">2026-02-03T16:27:40Z</dcterms:modified>
</cp:coreProperties>
</file>