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6995795" cy="942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942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Hartfield Justin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WM TECHNOLOGY,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MAPS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WM TECHNOLOGY,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05/25/2022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41 DISCOVERY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IRVINE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jc w:val="center"/>
              <w:ind w:left="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jc w:val="center"/>
              <w:ind w:left="7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05/25/2022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10,093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40,373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05/25/2022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10,093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19,278,067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8,469,191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1,570,959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2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Post-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Merger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10,093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05/25/2022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center"/>
              <w:ind w:right="5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C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19,278,067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Post-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Merger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8,469,191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LLC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8,469,191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Post-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Merger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1,570,959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LLC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1,570,959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21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Hartfield Justin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WM TECHNOLOGY,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41 DISCOVERY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IRVINE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</w:tcPr>
          <w:p>
            <w:pPr>
              <w:ind w:left="20"/>
              <w:spacing w:after="0" w:line="21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Ghost Media Group, LLC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-5092065</wp:posOffset>
            </wp:positionV>
            <wp:extent cx="28575" cy="2778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77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WM TECHNOLOGY, INC.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41 DISCOVERY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IRVINE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41"/>
        </w:trPr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20"/>
              <w:spacing w:after="0" w:line="21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WM Founders Legacy II, LLC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WM TECHNOLOGY,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41 DISCOVERY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5"/>
        </w:trPr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IRVINE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-24130</wp:posOffset>
            </wp:positionH>
            <wp:positionV relativeFrom="paragraph">
              <wp:posOffset>-2117725</wp:posOffset>
            </wp:positionV>
            <wp:extent cx="2810510" cy="21939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10" cy="219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 w:hanging="1"/>
        <w:spacing w:after="0" w:line="237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Class V common stock ("Class V Common Stock") of the Issuer (as defined below) provide no economic rights in the Issuer to the holder thereof. However, each holder of Class V Common Stock will be entitled to vote with the holders of Class A common stock ("Class A Common Stock") of the Issuer, with each share of Class V Common Stock entitling the holder to a number of votes equal to the number of Post-Merger Class A Units (as described below) held by such Class V Common Stock holder at the time of such vote.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" w:hanging="1"/>
        <w:spacing w:after="0" w:line="248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directly by Ghost Media Group, LLC ("Ghost Media") is controlled by Mr. Hartfield. Accordingly, Mr. Hartfield may be deemed to be a beneficial owner of the shares held by Ghost Media Group, LLC.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520" w:hanging="1"/>
        <w:spacing w:after="0" w:line="248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directly by WM Founders Legacy II, LLC ("WM Founders") is controlled by Mr. Hartfield. Accordingly, Mr. Hartfield may be deemed to be a beneficial owner of the shares held by WM Founders.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40" w:hanging="1"/>
        <w:spacing w:after="0" w:line="248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Post-Merger Class A Units represent non-voting limited liability company interests of WMH. Pursuant to the terms of an exchange agreement, these Class A units and an equivalent number of shares of Class V Common Stock are exchangeable on a one-for-one basis for shares of Class A Common Stock. These exchange rights do not expire.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0920"/>
          </w:cols>
          <w:pgMar w:left="480" w:top="127" w:right="499" w:bottom="1440" w:gutter="0" w:footer="0" w:header="0"/>
        </w:sectPr>
      </w:pP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Justin Hartfield, by /s/ Ron A.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-3175</wp:posOffset>
            </wp:positionV>
            <wp:extent cx="1258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Metzger,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-10795</wp:posOffset>
            </wp:positionV>
            <wp:extent cx="10998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Ghost Media Group,LLC,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-3175</wp:posOffset>
            </wp:positionV>
            <wp:extent cx="12179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Justin Hartfield, Manager,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-10795</wp:posOffset>
            </wp:positionV>
            <wp:extent cx="13500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Ron A. Metzger,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-10795</wp:posOffset>
            </wp:positionV>
            <wp:extent cx="124841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-10795</wp:posOffset>
            </wp:positionV>
            <wp:extent cx="18034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WM Founders Legacy II, LLC,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-3175</wp:posOffset>
            </wp:positionV>
            <wp:extent cx="131318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by Justin Hartfield, Manager,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-10795</wp:posOffset>
            </wp:positionV>
            <wp:extent cx="1355725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Ron A. Metzger,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-10795</wp:posOffset>
            </wp:positionV>
            <wp:extent cx="1256665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-10795</wp:posOffset>
            </wp:positionV>
            <wp:extent cx="296545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140"/>
          </w:cols>
          <w:pgMar w:left="480" w:top="127" w:right="49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20" w:right="3580" w:hanging="1"/>
        <w:spacing w:after="0" w:line="330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20"/>
      </w:cols>
      <w:pgMar w:left="480" w:top="127" w:right="4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Relationship Id="rId30" Type="http://schemas.openxmlformats.org/officeDocument/2006/relationships/image" Target="media/image19.png"/><Relationship Id="rId12" Type="http://schemas.openxmlformats.org/officeDocument/2006/relationships/hyperlink" Target="http://www.sec.gov/cgi-bin/browse-edgar?action=getcompany&amp;CIK=0001857953" TargetMode="External"/><Relationship Id="rId13" Type="http://schemas.openxmlformats.org/officeDocument/2006/relationships/hyperlink" Target="http://www.sec.gov/cgi-bin/browse-edgar?action=getcompany&amp;CIK=0001779474" TargetMode="External"/><Relationship Id="rId14" Type="http://schemas.openxmlformats.org/officeDocument/2006/relationships/hyperlink" Target="http://www.sec.gov/cgi-bin/browse-edgar?action=getcompany&amp;CIK=0001859722" TargetMode="External"/><Relationship Id="rId16" Type="http://schemas.openxmlformats.org/officeDocument/2006/relationships/hyperlink" Target="http://www.sec.gov/cgi-bin/browse-edgar?action=getcompany&amp;CIK=00018579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2022-05-25T20:48:55Z</dcterms:created>
  <dcterms:modified xsi:type="dcterms:W3CDTF">2022-05-25T20:48:55Z</dcterms:modified>
</cp:coreProperties>
</file>