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189720"/>
                    </a:xfrm>
                    <a:prstGeom prst="rect">
                      <a:avLst/>
                    </a:prstGeom>
                    <a:noFill/>
                  </pic:spPr>
                </pic:pic>
              </a:graphicData>
            </a:graphic>
          </wp:anchor>
        </w:drawing>
      </w:r>
    </w:p>
    <w:p>
      <w:pPr>
        <w:spacing w:after="0" w:line="90" w:lineRule="exact"/>
        <w:rPr>
          <w:sz w:val="24"/>
          <w:szCs w:val="24"/>
          <w:color w:val="auto"/>
        </w:rPr>
      </w:pPr>
    </w:p>
    <w:p>
      <w:pPr>
        <w:sectPr>
          <w:pgSz w:w="11900" w:h="16866"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Hartfield Justin</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160" w:type="dxa"/>
            <w:vAlign w:val="bottom"/>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0000FF"/>
                <w:w w:val="95"/>
              </w:rPr>
              <w:t>C/O WM TECHNOLOGY, INC.</w:t>
            </w:r>
          </w:p>
        </w:tc>
        <w:tc>
          <w:tcPr>
            <w:tcW w:w="12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91"/>
              </w:rPr>
              <w:t>41 DISCOVERY</w:t>
            </w:r>
          </w:p>
        </w:tc>
        <w:tc>
          <w:tcPr>
            <w:tcW w:w="11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IRVINE</w:t>
            </w:r>
          </w:p>
        </w:tc>
        <w:tc>
          <w:tcPr>
            <w:tcW w:w="1160" w:type="dxa"/>
            <w:vAlign w:val="bottom"/>
          </w:tcPr>
          <w:p>
            <w:pPr>
              <w:ind w:left="20"/>
              <w:spacing w:after="0"/>
              <w:rPr>
                <w:sz w:val="20"/>
                <w:szCs w:val="20"/>
                <w:color w:val="auto"/>
              </w:rPr>
            </w:pPr>
            <w:r>
              <w:rPr>
                <w:rFonts w:ascii="Arial" w:cs="Arial" w:eastAsia="Arial" w:hAnsi="Arial"/>
                <w:sz w:val="18"/>
                <w:szCs w:val="18"/>
                <w:color w:val="0000FF"/>
              </w:rPr>
              <w:t>CA</w:t>
            </w:r>
          </w:p>
        </w:tc>
        <w:tc>
          <w:tcPr>
            <w:tcW w:w="1260" w:type="dxa"/>
            <w:vAlign w:val="bottom"/>
          </w:tcPr>
          <w:p>
            <w:pPr>
              <w:ind w:left="80"/>
              <w:spacing w:after="0"/>
              <w:rPr>
                <w:sz w:val="20"/>
                <w:szCs w:val="20"/>
                <w:color w:val="auto"/>
              </w:rPr>
            </w:pPr>
            <w:r>
              <w:rPr>
                <w:rFonts w:ascii="Arial" w:cs="Arial" w:eastAsia="Arial" w:hAnsi="Arial"/>
                <w:sz w:val="18"/>
                <w:szCs w:val="18"/>
                <w:color w:val="0000FF"/>
              </w:rPr>
              <w:t>92618</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WM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MAPS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500" w:type="dxa"/>
            <w:vAlign w:val="bottom"/>
            <w:gridSpan w:val="3"/>
          </w:tcPr>
          <w:p>
            <w:pPr>
              <w:ind w:left="80"/>
              <w:spacing w:after="0"/>
              <w:rPr>
                <w:sz w:val="20"/>
                <w:szCs w:val="20"/>
                <w:color w:val="auto"/>
              </w:rPr>
            </w:pPr>
            <w:r>
              <w:rPr>
                <w:rFonts w:ascii="Arial" w:cs="Arial" w:eastAsia="Arial" w:hAnsi="Arial"/>
                <w:sz w:val="18"/>
                <w:szCs w:val="18"/>
                <w:color w:val="0000FF"/>
              </w:rPr>
              <w:t>06/21/2023</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3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4"/>
          <w:szCs w:val="24"/>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66"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gridSpan w:val="2"/>
          </w:tcPr>
          <w:p>
            <w:pPr>
              <w:ind w:left="44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4"/>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gridSpan w:val="2"/>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gridSpan w:val="2"/>
          </w:tcPr>
          <w:p>
            <w:pPr>
              <w:ind w:left="22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rPr>
              <w:t>06/21/2023</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225,988</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297,761</w:t>
            </w:r>
          </w:p>
        </w:tc>
        <w:tc>
          <w:tcPr>
            <w:tcW w:w="920" w:type="dxa"/>
            <w:vAlign w:val="bottom"/>
            <w:tcBorders>
              <w:bottom w:val="single" w:sz="8" w:color="2C2C2C"/>
            </w:tcBorders>
          </w:tcPr>
          <w:p>
            <w:pPr>
              <w:jc w:val="center"/>
              <w:ind w:right="31"/>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Class V Common Stock</w:t>
            </w:r>
            <w:r>
              <w:rPr>
                <w:rFonts w:ascii="Arial" w:cs="Arial" w:eastAsia="Arial" w:hAnsi="Arial"/>
                <w:sz w:val="22"/>
                <w:szCs w:val="22"/>
                <w:color w:val="008000"/>
                <w:vertAlign w:val="superscript"/>
              </w:rPr>
              <w:t>(2)(3)</w:t>
            </w:r>
          </w:p>
        </w:tc>
        <w:tc>
          <w:tcPr>
            <w:tcW w:w="11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19,278,067</w:t>
            </w:r>
          </w:p>
        </w:tc>
        <w:tc>
          <w:tcPr>
            <w:tcW w:w="920" w:type="dxa"/>
            <w:vAlign w:val="bottom"/>
            <w:tcBorders>
              <w:bottom w:val="single" w:sz="8" w:color="2C2C2C"/>
            </w:tcBorders>
          </w:tcPr>
          <w:p>
            <w:pPr>
              <w:jc w:val="center"/>
              <w:ind w:right="31"/>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6"/>
            <w:vMerge w:val="restart"/>
          </w:tcPr>
          <w:p>
            <w:pPr>
              <w:ind w:left="60"/>
              <w:spacing w:after="0"/>
              <w:rPr>
                <w:sz w:val="20"/>
                <w:szCs w:val="20"/>
                <w:color w:val="auto"/>
              </w:rPr>
            </w:pPr>
            <w:r>
              <w:rPr>
                <w:rFonts w:ascii="Arial" w:cs="Arial" w:eastAsia="Arial" w:hAnsi="Arial"/>
                <w:sz w:val="18"/>
                <w:szCs w:val="18"/>
                <w:color w:val="0000FF"/>
              </w:rPr>
              <w:t>Class V Common Stock</w:t>
            </w:r>
            <w:r>
              <w:rPr>
                <w:rFonts w:ascii="Arial" w:cs="Arial" w:eastAsia="Arial" w:hAnsi="Arial"/>
                <w:sz w:val="22"/>
                <w:szCs w:val="22"/>
                <w:color w:val="008000"/>
                <w:vertAlign w:val="superscript"/>
              </w:rPr>
              <w:t>(2)(3)</w:t>
            </w: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8,469,191</w:t>
            </w:r>
          </w:p>
        </w:tc>
        <w:tc>
          <w:tcPr>
            <w:tcW w:w="920" w:type="dxa"/>
            <w:vAlign w:val="bottom"/>
            <w:vMerge w:val="restart"/>
          </w:tcPr>
          <w:p>
            <w:pPr>
              <w:jc w:val="center"/>
              <w:ind w:right="31"/>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gridSpan w:val="6"/>
            <w:vMerge w:val="continue"/>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6"/>
            <w:vMerge w:val="restart"/>
          </w:tcPr>
          <w:p>
            <w:pPr>
              <w:ind w:left="60"/>
              <w:spacing w:after="0"/>
              <w:rPr>
                <w:sz w:val="20"/>
                <w:szCs w:val="20"/>
                <w:color w:val="auto"/>
              </w:rPr>
            </w:pPr>
            <w:r>
              <w:rPr>
                <w:rFonts w:ascii="Arial" w:cs="Arial" w:eastAsia="Arial" w:hAnsi="Arial"/>
                <w:sz w:val="18"/>
                <w:szCs w:val="18"/>
                <w:color w:val="0000FF"/>
              </w:rPr>
              <w:t>Class V Common Stock</w:t>
            </w:r>
            <w:r>
              <w:rPr>
                <w:rFonts w:ascii="Arial" w:cs="Arial" w:eastAsia="Arial" w:hAnsi="Arial"/>
                <w:sz w:val="22"/>
                <w:szCs w:val="22"/>
                <w:color w:val="008000"/>
                <w:vertAlign w:val="superscript"/>
              </w:rPr>
              <w:t>(2)(3)</w:t>
            </w: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1,570,959</w:t>
            </w:r>
          </w:p>
        </w:tc>
        <w:tc>
          <w:tcPr>
            <w:tcW w:w="920" w:type="dxa"/>
            <w:vAlign w:val="bottom"/>
            <w:vMerge w:val="restart"/>
          </w:tcPr>
          <w:p>
            <w:pPr>
              <w:jc w:val="center"/>
              <w:ind w:right="31"/>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gridSpan w:val="6"/>
            <w:vMerge w:val="continue"/>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40" w:type="dxa"/>
            <w:vAlign w:val="bottom"/>
            <w:gridSpan w:val="16"/>
          </w:tcPr>
          <w:p>
            <w:pP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40" w:type="dxa"/>
            <w:vAlign w:val="bottom"/>
            <w:gridSpan w:val="13"/>
          </w:tcPr>
          <w:p>
            <w:pPr>
              <w:ind w:left="4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70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1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4" w:lineRule="exact"/>
              <w:rPr>
                <w:rFonts w:ascii="Arial" w:cs="Arial" w:eastAsia="Arial" w:hAnsi="Arial"/>
                <w:sz w:val="22"/>
                <w:szCs w:val="22"/>
                <w:color w:val="0000EE"/>
                <w:w w:val="93"/>
              </w:rPr>
            </w:pPr>
            <w:hyperlink r:id="rId12">
              <w:r>
                <w:rPr>
                  <w:rFonts w:ascii="Arial" w:cs="Arial" w:eastAsia="Arial" w:hAnsi="Arial"/>
                  <w:sz w:val="22"/>
                  <w:szCs w:val="22"/>
                  <w:color w:val="0000EE"/>
                  <w:w w:val="93"/>
                </w:rPr>
                <w:t>Hartfield Justin</w:t>
              </w:r>
            </w:hyperlink>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tcPr>
          <w:p>
            <w:pPr>
              <w:ind w:left="220"/>
              <w:spacing w:after="0"/>
              <w:rPr>
                <w:sz w:val="20"/>
                <w:szCs w:val="20"/>
                <w:color w:val="auto"/>
              </w:rPr>
            </w:pPr>
            <w:r>
              <w:rPr>
                <w:rFonts w:ascii="Arial" w:cs="Arial" w:eastAsia="Arial" w:hAnsi="Arial"/>
                <w:sz w:val="14"/>
                <w:szCs w:val="14"/>
                <w:color w:val="auto"/>
              </w:rPr>
              <w:t>(Middle)</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5"/>
          </w:tcPr>
          <w:p>
            <w:pPr>
              <w:spacing w:after="0"/>
              <w:rPr>
                <w:sz w:val="20"/>
                <w:szCs w:val="20"/>
                <w:color w:val="auto"/>
              </w:rPr>
            </w:pPr>
            <w:r>
              <w:rPr>
                <w:rFonts w:ascii="Arial" w:cs="Arial" w:eastAsia="Arial" w:hAnsi="Arial"/>
                <w:sz w:val="18"/>
                <w:szCs w:val="18"/>
                <w:color w:val="0000FF"/>
              </w:rPr>
              <w:t>C/O WM TECHNOLOGY, INC.</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0000FF"/>
              </w:rPr>
              <w:t>41 DISCOVERY</w:t>
            </w: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IRVINE</w:t>
            </w: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0000FF"/>
              </w:rPr>
              <w:t>CA</w:t>
            </w:r>
          </w:p>
        </w:tc>
        <w:tc>
          <w:tcPr>
            <w:tcW w:w="1100" w:type="dxa"/>
            <w:vAlign w:val="bottom"/>
          </w:tcPr>
          <w:p>
            <w:pPr>
              <w:ind w:left="220"/>
              <w:spacing w:after="0"/>
              <w:rPr>
                <w:sz w:val="20"/>
                <w:szCs w:val="20"/>
                <w:color w:val="auto"/>
              </w:rPr>
            </w:pPr>
            <w:r>
              <w:rPr>
                <w:rFonts w:ascii="Arial" w:cs="Arial" w:eastAsia="Arial" w:hAnsi="Arial"/>
                <w:sz w:val="18"/>
                <w:szCs w:val="18"/>
                <w:color w:val="0000FF"/>
              </w:rPr>
              <w:t>92618</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00" w:type="dxa"/>
            <w:vAlign w:val="bottom"/>
          </w:tcPr>
          <w:p>
            <w:pPr>
              <w:ind w:left="220"/>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680" w:type="dxa"/>
            <w:vAlign w:val="bottom"/>
            <w:gridSpan w:val="6"/>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Ghost Media Group, LLC</w:t>
              </w:r>
            </w:hyperlink>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tcPr>
          <w:p>
            <w:pPr>
              <w:ind w:left="220"/>
              <w:spacing w:after="0"/>
              <w:rPr>
                <w:sz w:val="20"/>
                <w:szCs w:val="20"/>
                <w:color w:val="auto"/>
              </w:rPr>
            </w:pPr>
            <w:r>
              <w:rPr>
                <w:rFonts w:ascii="Arial" w:cs="Arial" w:eastAsia="Arial" w:hAnsi="Arial"/>
                <w:sz w:val="14"/>
                <w:szCs w:val="14"/>
                <w:color w:val="auto"/>
              </w:rPr>
              <w:t>(Middle)</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-4389755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WM TECHNOLOGY, INC.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41 DISCOVERY</w:t>
      </w:r>
    </w:p>
    <w:p>
      <w:pPr>
        <w:sectPr>
          <w:pgSz w:w="11900" w:h="16866" w:orient="portrait"/>
          <w:cols w:equalWidth="0" w:num="1">
            <w:col w:w="11080"/>
          </w:cols>
          <w:pgMar w:left="460" w:top="226" w:right="359" w:bottom="0" w:gutter="0" w:footer="0" w:header="0"/>
          <w:type w:val="continuous"/>
        </w:sectPr>
      </w:pPr>
    </w:p>
    <w:p>
      <w:pPr>
        <w:spacing w:after="0" w:line="291"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66" w:orient="portrait"/>
          <w:cols w:equalWidth="0" w:num="1">
            <w:col w:w="11080"/>
          </w:cols>
          <w:pgMar w:left="460" w:top="226"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IRVINE</w:t>
            </w:r>
          </w:p>
        </w:tc>
        <w:tc>
          <w:tcPr>
            <w:tcW w:w="1420" w:type="dxa"/>
            <w:vAlign w:val="bottom"/>
            <w:gridSpan w:val="2"/>
          </w:tcPr>
          <w:p>
            <w:pPr>
              <w:ind w:left="80"/>
              <w:spacing w:after="0"/>
              <w:rPr>
                <w:sz w:val="20"/>
                <w:szCs w:val="20"/>
                <w:color w:val="auto"/>
              </w:rPr>
            </w:pPr>
            <w:r>
              <w:rPr>
                <w:rFonts w:ascii="Arial" w:cs="Arial" w:eastAsia="Arial" w:hAnsi="Arial"/>
                <w:sz w:val="18"/>
                <w:szCs w:val="18"/>
                <w:color w:val="0000FF"/>
              </w:rPr>
              <w:t>CA</w:t>
            </w:r>
          </w:p>
        </w:tc>
        <w:tc>
          <w:tcPr>
            <w:tcW w:w="1420" w:type="dxa"/>
            <w:vAlign w:val="bottom"/>
          </w:tcPr>
          <w:p>
            <w:pPr>
              <w:ind w:left="60"/>
              <w:spacing w:after="0"/>
              <w:rPr>
                <w:sz w:val="20"/>
                <w:szCs w:val="20"/>
                <w:color w:val="auto"/>
              </w:rPr>
            </w:pPr>
            <w:r>
              <w:rPr>
                <w:rFonts w:ascii="Arial" w:cs="Arial" w:eastAsia="Arial" w:hAnsi="Arial"/>
                <w:sz w:val="18"/>
                <w:szCs w:val="18"/>
                <w:color w:val="0000FF"/>
              </w:rPr>
              <w:t>92618</w:t>
            </w:r>
          </w:p>
        </w:tc>
        <w:tc>
          <w:tcPr>
            <w:tcW w:w="120" w:type="dxa"/>
            <w:vAlign w:val="bottom"/>
            <w:tcBorders>
              <w:right w:val="single" w:sz="8" w:color="2C2C2C"/>
            </w:tcBorders>
          </w:tcPr>
          <w:p>
            <w:pPr>
              <w:spacing w:after="0"/>
              <w:rPr>
                <w:sz w:val="22"/>
                <w:szCs w:val="22"/>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0" w:type="dxa"/>
            <w:vAlign w:val="bottom"/>
            <w:tcBorders>
              <w:right w:val="single" w:sz="8" w:color="2C2C2C"/>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540" w:type="dxa"/>
            <w:vAlign w:val="bottom"/>
            <w:tcBorders>
              <w:right w:val="single" w:sz="8" w:color="2C2C2C"/>
            </w:tcBorders>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right w:val="single" w:sz="8" w:color="2C2C2C"/>
            </w:tcBorders>
          </w:tcPr>
          <w:p>
            <w:pPr>
              <w:spacing w:after="0"/>
              <w:rPr>
                <w:sz w:val="7"/>
                <w:szCs w:val="7"/>
                <w:color w:val="auto"/>
              </w:rPr>
            </w:pPr>
          </w:p>
        </w:tc>
      </w:tr>
      <w:tr>
        <w:trPr>
          <w:trHeight w:val="262"/>
        </w:trPr>
        <w:tc>
          <w:tcPr>
            <w:tcW w:w="20" w:type="dxa"/>
            <w:vAlign w:val="bottom"/>
          </w:tcPr>
          <w:p>
            <w:pPr>
              <w:spacing w:after="0"/>
              <w:rPr>
                <w:sz w:val="22"/>
                <w:szCs w:val="22"/>
                <w:color w:val="auto"/>
              </w:rPr>
            </w:pPr>
          </w:p>
        </w:tc>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20" w:type="dxa"/>
            <w:vAlign w:val="bottom"/>
            <w:tcBorders>
              <w:right w:val="single" w:sz="8" w:color="2C2C2C"/>
            </w:tcBorders>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w w:val="95"/>
              </w:rPr>
            </w:pPr>
            <w:hyperlink r:id="rId16">
              <w:r>
                <w:rPr>
                  <w:rFonts w:ascii="Arial" w:cs="Arial" w:eastAsia="Arial" w:hAnsi="Arial"/>
                  <w:sz w:val="22"/>
                  <w:szCs w:val="22"/>
                  <w:color w:val="0000EE"/>
                  <w:w w:val="95"/>
                </w:rPr>
                <w:t>WM Founders Legacy II, LLC</w:t>
              </w:r>
            </w:hyperlink>
          </w:p>
        </w:tc>
        <w:tc>
          <w:tcPr>
            <w:tcW w:w="1420" w:type="dxa"/>
            <w:vAlign w:val="bottom"/>
          </w:tcPr>
          <w:p>
            <w:pPr>
              <w:spacing w:after="0"/>
              <w:rPr>
                <w:sz w:val="19"/>
                <w:szCs w:val="19"/>
                <w:color w:val="auto"/>
              </w:rPr>
            </w:pPr>
          </w:p>
        </w:tc>
        <w:tc>
          <w:tcPr>
            <w:tcW w:w="120" w:type="dxa"/>
            <w:vAlign w:val="bottom"/>
            <w:tcBorders>
              <w:right w:val="single" w:sz="8" w:color="2C2C2C"/>
            </w:tcBorders>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20" w:type="dxa"/>
            <w:vAlign w:val="bottom"/>
            <w:tcBorders>
              <w:right w:val="single" w:sz="8" w:color="2C2C2C"/>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540" w:type="dxa"/>
            <w:vAlign w:val="bottom"/>
            <w:tcBorders>
              <w:right w:val="single" w:sz="8" w:color="2C2C2C"/>
            </w:tcBorders>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C/O WM TECHNOLOGY, INC.</w:t>
            </w:r>
          </w:p>
        </w:tc>
        <w:tc>
          <w:tcPr>
            <w:tcW w:w="1420" w:type="dxa"/>
            <w:vAlign w:val="bottom"/>
          </w:tcPr>
          <w:p>
            <w:pPr>
              <w:spacing w:after="0"/>
              <w:rPr>
                <w:sz w:val="24"/>
                <w:szCs w:val="24"/>
                <w:color w:val="auto"/>
              </w:rPr>
            </w:pPr>
          </w:p>
        </w:tc>
        <w:tc>
          <w:tcPr>
            <w:tcW w:w="120" w:type="dxa"/>
            <w:vAlign w:val="bottom"/>
            <w:tcBorders>
              <w:right w:val="single" w:sz="8" w:color="2C2C2C"/>
            </w:tcBorders>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w w:val="99"/>
              </w:rPr>
              <w:t>41 DISCOVERY</w:t>
            </w: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Borders>
              <w:right w:val="single" w:sz="8" w:color="2C2C2C"/>
            </w:tcBorders>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0" w:type="dxa"/>
            <w:vAlign w:val="bottom"/>
            <w:tcBorders>
              <w:right w:val="single" w:sz="8" w:color="2C2C2C"/>
            </w:tcBorders>
          </w:tcPr>
          <w:p>
            <w:pPr>
              <w:spacing w:after="0"/>
              <w:rPr>
                <w:sz w:val="13"/>
                <w:szCs w:val="13"/>
                <w:color w:val="auto"/>
              </w:rPr>
            </w:pPr>
          </w:p>
        </w:tc>
      </w:tr>
      <w:tr>
        <w:trPr>
          <w:trHeight w:val="270"/>
        </w:trPr>
        <w:tc>
          <w:tcPr>
            <w:tcW w:w="2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Borders>
              <w:right w:val="single" w:sz="8" w:color="2C2C2C"/>
            </w:tcBorders>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IRVINE</w:t>
            </w:r>
          </w:p>
        </w:tc>
        <w:tc>
          <w:tcPr>
            <w:tcW w:w="1420" w:type="dxa"/>
            <w:vAlign w:val="bottom"/>
            <w:gridSpan w:val="2"/>
          </w:tcPr>
          <w:p>
            <w:pPr>
              <w:ind w:left="80"/>
              <w:spacing w:after="0"/>
              <w:rPr>
                <w:sz w:val="20"/>
                <w:szCs w:val="20"/>
                <w:color w:val="auto"/>
              </w:rPr>
            </w:pPr>
            <w:r>
              <w:rPr>
                <w:rFonts w:ascii="Arial" w:cs="Arial" w:eastAsia="Arial" w:hAnsi="Arial"/>
                <w:sz w:val="18"/>
                <w:szCs w:val="18"/>
                <w:color w:val="0000FF"/>
              </w:rPr>
              <w:t>CA</w:t>
            </w:r>
          </w:p>
        </w:tc>
        <w:tc>
          <w:tcPr>
            <w:tcW w:w="1420" w:type="dxa"/>
            <w:vAlign w:val="bottom"/>
          </w:tcPr>
          <w:p>
            <w:pPr>
              <w:ind w:left="60"/>
              <w:spacing w:after="0"/>
              <w:rPr>
                <w:sz w:val="20"/>
                <w:szCs w:val="20"/>
                <w:color w:val="auto"/>
              </w:rPr>
            </w:pPr>
            <w:r>
              <w:rPr>
                <w:rFonts w:ascii="Arial" w:cs="Arial" w:eastAsia="Arial" w:hAnsi="Arial"/>
                <w:sz w:val="18"/>
                <w:szCs w:val="18"/>
                <w:color w:val="0000FF"/>
              </w:rPr>
              <w:t>92618</w:t>
            </w:r>
          </w:p>
        </w:tc>
        <w:tc>
          <w:tcPr>
            <w:tcW w:w="120" w:type="dxa"/>
            <w:vAlign w:val="bottom"/>
            <w:tcBorders>
              <w:right w:val="single" w:sz="8" w:color="2C2C2C"/>
            </w:tcBorders>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0" w:type="dxa"/>
            <w:vAlign w:val="bottom"/>
            <w:tcBorders>
              <w:right w:val="single" w:sz="8" w:color="2C2C2C"/>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540" w:type="dxa"/>
            <w:vAlign w:val="bottom"/>
            <w:tcBorders>
              <w:right w:val="single" w:sz="8" w:color="2C2C2C"/>
            </w:tcBorders>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right w:val="single" w:sz="8" w:color="2C2C2C"/>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284480</wp:posOffset>
            </wp:positionH>
            <wp:positionV relativeFrom="page">
              <wp:posOffset>88900</wp:posOffset>
            </wp:positionV>
            <wp:extent cx="42545" cy="2364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42545" cy="236474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-2106930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-2106930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-1831975</wp:posOffset>
            </wp:positionV>
            <wp:extent cx="34290" cy="18364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34290" cy="183642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-1394460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-1394460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-733425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-733425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-295275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-295275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40" w:right="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number of shares of Common Stock underlying restricted stock units ("RSUs"). Each RSU represents the contingent right to receive one share of the Issuer's Common Stock. The RSUs will fully vest on the earlier of June 21, 2024 or the date of the Issuer's next annual meeting of stockholders, subject to acceleration, and subject to the Reporting Person's Continuous Service (as defined in the Issuer's 2021 Equity Incentive Plan) through such vesting date.</w:t>
      </w:r>
    </w:p>
    <w:p>
      <w:pPr>
        <w:spacing w:after="0" w:line="31" w:lineRule="exact"/>
        <w:rPr>
          <w:rFonts w:ascii="Arial" w:cs="Arial" w:eastAsia="Arial" w:hAnsi="Arial"/>
          <w:sz w:val="14"/>
          <w:szCs w:val="14"/>
          <w:color w:val="008000"/>
        </w:rPr>
      </w:pPr>
    </w:p>
    <w:p>
      <w:pPr>
        <w:jc w:val="both"/>
        <w:ind w:left="40" w:right="40" w:firstLine="9"/>
        <w:spacing w:after="0" w:line="28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of Class V common stock ("Class V Common Stock") of the Issuer (as defined below) provide no economic rights in the Issuer to the holder thereof. However, each holder of Class V Common Stock will be entitled to vote with the holders of Class A common stock ("Class A Common Stock") of the Issuer, with each share of Class V Common Stock entitling the holder to a number of votes equal to the number of Post-Merger Class A Units (as described in footnote 4 below) held by such Class V Common Stock holder at the time of such vote.</w:t>
      </w:r>
    </w:p>
    <w:p>
      <w:pPr>
        <w:spacing w:after="0" w:line="3" w:lineRule="exact"/>
        <w:rPr>
          <w:rFonts w:ascii="Arial" w:cs="Arial" w:eastAsia="Arial" w:hAnsi="Arial"/>
          <w:sz w:val="12"/>
          <w:szCs w:val="12"/>
          <w:color w:val="008000"/>
        </w:rPr>
      </w:pPr>
    </w:p>
    <w:p>
      <w:pPr>
        <w:ind w:left="40" w:right="28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Post-Merger Class A Units represent non-voting limited liability company interests of WM Holding Company, LLC. Pursuant to the terms of an exchange agreement, these Class A units and an equivalent number of shares of Class V Common Stock are exchangeable on a one-for-one basis for shares of Class A Common Stock. These exchange rights do not expire.</w:t>
      </w:r>
    </w:p>
    <w:p>
      <w:pPr>
        <w:ind w:left="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are held directly by Ghost Media Group, LLC ("Ghost Media") is controlled by Mr. Hartfield. Accordingly, Mr. Hartfield may be deemed to be a beneficial owner of the shares held by Ghost Media Group, LLC.</w:t>
      </w:r>
    </w:p>
    <w:p>
      <w:pPr>
        <w:spacing w:after="0" w:line="30" w:lineRule="exact"/>
        <w:rPr>
          <w:rFonts w:ascii="Arial" w:cs="Arial" w:eastAsia="Arial" w:hAnsi="Arial"/>
          <w:sz w:val="14"/>
          <w:szCs w:val="14"/>
          <w:color w:val="008000"/>
        </w:rPr>
      </w:pPr>
    </w:p>
    <w:p>
      <w:pPr>
        <w:ind w:left="40" w:right="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are held directly by WM Founders Legacy II, LLC ("WM Founders") is controlled by Mr. Hartfield. Accordingly, Mr. Hartfield may be deemed to be a beneficial owner of the shares held by WM Founders.</w:t>
      </w:r>
    </w:p>
    <w:p>
      <w:pPr>
        <w:sectPr>
          <w:pgSz w:w="11900" w:h="16838" w:orient="portrait"/>
          <w:cols w:equalWidth="0" w:num="1">
            <w:col w:w="10860"/>
          </w:cols>
          <w:pgMar w:left="460" w:top="140" w:right="579" w:bottom="1440" w:gutter="0" w:footer="0" w:header="0"/>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Justin Hartfield, by /s/ Ron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0</wp:posOffset>
            </wp:positionV>
            <wp:extent cx="13360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336040" cy="8890"/>
                    </a:xfrm>
                    <a:prstGeom prst="rect">
                      <a:avLst/>
                    </a:prstGeom>
                    <a:noFill/>
                  </pic:spPr>
                </pic:pic>
              </a:graphicData>
            </a:graphic>
          </wp:anchor>
        </w:drawing>
      </w:r>
    </w:p>
    <w:p>
      <w:pPr>
        <w:spacing w:after="0" w:line="19" w:lineRule="exact"/>
        <w:rPr>
          <w:sz w:val="20"/>
          <w:szCs w:val="20"/>
          <w:color w:val="auto"/>
        </w:rPr>
      </w:pPr>
    </w:p>
    <w:p>
      <w:pPr>
        <w:ind w:left="6580"/>
        <w:spacing w:after="0"/>
        <w:rPr>
          <w:sz w:val="20"/>
          <w:szCs w:val="20"/>
          <w:color w:val="auto"/>
        </w:rPr>
      </w:pPr>
      <w:r>
        <w:rPr>
          <w:rFonts w:ascii="Arial" w:cs="Arial" w:eastAsia="Arial" w:hAnsi="Arial"/>
          <w:sz w:val="18"/>
          <w:szCs w:val="18"/>
          <w:color w:val="0000FF"/>
        </w:rPr>
        <w:t>Metzger,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1671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167130" cy="8890"/>
                    </a:xfrm>
                    <a:prstGeom prst="rect">
                      <a:avLst/>
                    </a:prstGeom>
                    <a:noFill/>
                  </pic:spPr>
                </pic:pic>
              </a:graphicData>
            </a:graphic>
          </wp:anchor>
        </w:drawing>
      </w:r>
    </w:p>
    <w:p>
      <w:pPr>
        <w:spacing w:after="0" w:line="37"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Ghost Media Group,LLC,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0</wp:posOffset>
            </wp:positionV>
            <wp:extent cx="12985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298575" cy="8890"/>
                    </a:xfrm>
                    <a:prstGeom prst="rect">
                      <a:avLst/>
                    </a:prstGeom>
                    <a:noFill/>
                  </pic:spPr>
                </pic:pic>
              </a:graphicData>
            </a:graphic>
          </wp:anchor>
        </w:drawing>
      </w:r>
    </w:p>
    <w:p>
      <w:pPr>
        <w:spacing w:after="0" w:line="19"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Justin Hartfield,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-3175</wp:posOffset>
            </wp:positionV>
            <wp:extent cx="13068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306830" cy="8890"/>
                    </a:xfrm>
                    <a:prstGeom prst="rect">
                      <a:avLst/>
                    </a:prstGeom>
                    <a:noFill/>
                  </pic:spPr>
                </pic:pic>
              </a:graphicData>
            </a:graphic>
          </wp:anchor>
        </w:drawing>
      </w:r>
    </w:p>
    <w:p>
      <w:pPr>
        <w:spacing w:after="0" w:line="12"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Ron A. Metzger,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-3175</wp:posOffset>
            </wp:positionV>
            <wp:extent cx="13284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58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3162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316230" cy="8890"/>
                    </a:xfrm>
                    <a:prstGeom prst="rect">
                      <a:avLst/>
                    </a:prstGeom>
                    <a:noFill/>
                  </pic:spPr>
                </pic:pic>
              </a:graphicData>
            </a:graphic>
          </wp:anchor>
        </w:drawing>
      </w:r>
    </w:p>
    <w:p>
      <w:pPr>
        <w:spacing w:after="0" w:line="37" w:lineRule="exact"/>
        <w:rPr>
          <w:sz w:val="20"/>
          <w:szCs w:val="20"/>
          <w:color w:val="auto"/>
        </w:rPr>
      </w:pPr>
    </w:p>
    <w:p>
      <w:pPr>
        <w:ind w:left="6580"/>
        <w:spacing w:after="0"/>
        <w:rPr>
          <w:sz w:val="20"/>
          <w:szCs w:val="20"/>
          <w:color w:val="auto"/>
        </w:rPr>
      </w:pPr>
      <w:r>
        <w:rPr>
          <w:rFonts w:ascii="Arial" w:cs="Arial" w:eastAsia="Arial" w:hAnsi="Arial"/>
          <w:sz w:val="18"/>
          <w:szCs w:val="18"/>
          <w:color w:val="0000FF"/>
        </w:rPr>
        <w:t>WM Founders Legacy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1341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1134110"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LLC, by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1252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1125220"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Manager, by /s/ Ron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0369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Metzger,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1671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11671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0000FF"/>
        </w:rPr>
        <w:t>06/23/2023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06/23/2023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420" w:lineRule="exact"/>
        <w:rPr>
          <w:sz w:val="20"/>
          <w:szCs w:val="20"/>
          <w:color w:val="auto"/>
        </w:rPr>
      </w:pPr>
    </w:p>
    <w:p>
      <w:pPr>
        <w:sectPr>
          <w:pgSz w:w="11900" w:h="16838" w:orient="portrait"/>
          <w:cols w:equalWidth="0" w:num="2">
            <w:col w:w="8700" w:space="80"/>
            <w:col w:w="2080"/>
          </w:cols>
          <w:pgMar w:left="460" w:top="140" w:right="57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0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60" w:top="140"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12" Type="http://schemas.openxmlformats.org/officeDocument/2006/relationships/hyperlink" Target="http://www.sec.gov/cgi-bin/browse-edgar?action=getcompany&amp;CIK=0001857953" TargetMode="External"/><Relationship Id="rId13" Type="http://schemas.openxmlformats.org/officeDocument/2006/relationships/hyperlink" Target="http://www.sec.gov/cgi-bin/browse-edgar?action=getcompany&amp;CIK=0001779474" TargetMode="External"/><Relationship Id="rId14" Type="http://schemas.openxmlformats.org/officeDocument/2006/relationships/hyperlink" Target="http://www.sec.gov/cgi-bin/browse-edgar?action=getcompany&amp;CIK=0001859722" TargetMode="External"/><Relationship Id="rId16" Type="http://schemas.openxmlformats.org/officeDocument/2006/relationships/hyperlink" Target="http://www.sec.gov/cgi-bin/browse-edgar?action=getcompany&amp;CIK=00018579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2023-06-23T15:35:09Z</dcterms:created>
  <dcterms:modified xsi:type="dcterms:W3CDTF">2023-06-23T15:35:09Z</dcterms:modified>
</cp:coreProperties>
</file>