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473075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tbl>
      <w:tblPr>
        <w:tblLayout w:type="fixed"/>
        <w:tblInd w:w="20" w:type="dxa"/>
        <w:tblCellMar>
          <w:top w:w="0" w:type="dxa"/>
          <w:left w:w="0" w:type="dxa"/>
          <w:bottom w:w="0" w:type="dxa"/>
          <w:right w:w="0" w:type="dxa"/>
        </w:tblCellMar>
      </w:tblPr>
      <w:tr>
        <w:trPr>
          <w:trHeight w:val="32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UNITED STATES</w:t>
            </w:r>
          </w:p>
        </w:tc>
      </w:tr>
      <w:tr>
        <w:trPr>
          <w:trHeight w:val="359"/>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SECURITIES AND EXCHANGE COMMISSION</w:t>
            </w:r>
          </w:p>
        </w:tc>
      </w:tr>
      <w:tr>
        <w:trPr>
          <w:trHeight w:val="28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17"/>
                <w:szCs w:val="17"/>
                <w:b w:val="1"/>
                <w:bCs w:val="1"/>
                <w:color w:val="auto"/>
                <w:w w:val="91"/>
              </w:rPr>
              <w:t>Washington, D.C. 20549</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76"/>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FORM 10-Q</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tc>
      </w:tr>
      <w:tr>
        <w:trPr>
          <w:trHeight w:val="260"/>
        </w:trPr>
        <w:tc>
          <w:tcPr>
            <w:tcW w:w="1000" w:type="dxa"/>
            <w:vAlign w:val="bottom"/>
          </w:tcPr>
          <w:p>
            <w:pPr>
              <w:spacing w:after="0"/>
              <w:rPr>
                <w:sz w:val="22"/>
                <w:szCs w:val="22"/>
                <w:color w:val="auto"/>
              </w:rPr>
            </w:pPr>
          </w:p>
        </w:tc>
        <w:tc>
          <w:tcPr>
            <w:tcW w:w="8700" w:type="dxa"/>
            <w:vAlign w:val="bottom"/>
          </w:tcPr>
          <w:p>
            <w:pPr>
              <w:jc w:val="center"/>
              <w:ind w:left="412"/>
              <w:spacing w:after="0"/>
              <w:rPr>
                <w:sz w:val="20"/>
                <w:szCs w:val="20"/>
                <w:color w:val="auto"/>
              </w:rPr>
            </w:pPr>
            <w:r>
              <w:rPr>
                <w:rFonts w:ascii="Arial" w:cs="Arial" w:eastAsia="Arial" w:hAnsi="Arial"/>
                <w:sz w:val="15"/>
                <w:szCs w:val="15"/>
                <w:b w:val="1"/>
                <w:bCs w:val="1"/>
                <w:color w:val="auto"/>
                <w:w w:val="94"/>
              </w:rPr>
              <w:t>For the quarterly period ended March 31, 2022</w:t>
            </w:r>
          </w:p>
        </w:tc>
      </w:tr>
      <w:tr>
        <w:trPr>
          <w:trHeight w:val="252"/>
        </w:trPr>
        <w:tc>
          <w:tcPr>
            <w:tcW w:w="1000" w:type="dxa"/>
            <w:vAlign w:val="bottom"/>
          </w:tcPr>
          <w:p>
            <w:pPr>
              <w:spacing w:after="0"/>
              <w:rPr>
                <w:sz w:val="21"/>
                <w:szCs w:val="21"/>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95"/>
              </w:rPr>
              <w:t>OR</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TRANSITION REPORT PURSUANT TO SECTION 13 OR 15(d) OF THE SECURITIES EXCHANGE ACT OF 1934</w:t>
            </w:r>
          </w:p>
        </w:tc>
      </w:tr>
      <w:tr>
        <w:trPr>
          <w:trHeight w:val="228"/>
        </w:trPr>
        <w:tc>
          <w:tcPr>
            <w:tcW w:w="1000" w:type="dxa"/>
            <w:vAlign w:val="bottom"/>
          </w:tcPr>
          <w:p>
            <w:pPr>
              <w:spacing w:after="0"/>
              <w:rPr>
                <w:sz w:val="19"/>
                <w:szCs w:val="19"/>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9"/>
              </w:rPr>
              <w:t>For the transition period from ____ to ____</w:t>
            </w:r>
          </w:p>
        </w:tc>
      </w:tr>
      <w:tr>
        <w:trPr>
          <w:trHeight w:val="234"/>
        </w:trPr>
        <w:tc>
          <w:tcPr>
            <w:tcW w:w="1000" w:type="dxa"/>
            <w:vAlign w:val="bottom"/>
          </w:tcPr>
          <w:p>
            <w:pPr>
              <w:spacing w:after="0"/>
              <w:rPr>
                <w:sz w:val="20"/>
                <w:szCs w:val="20"/>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Commission file number 001-39021</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bl>
    <w:p>
      <w:pPr>
        <w:spacing w:after="0" w:line="133"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WM TECHNOLOGY,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1"/>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2"/>
              </w:rPr>
              <w:t>(I.R.S. Employer Identification No.)</w:t>
            </w:r>
          </w:p>
        </w:tc>
        <w:tc>
          <w:tcPr>
            <w:tcW w:w="0" w:type="dxa"/>
            <w:vAlign w:val="bottom"/>
          </w:tcPr>
          <w:p>
            <w:pPr>
              <w:spacing w:after="0"/>
              <w:rPr>
                <w:sz w:val="1"/>
                <w:szCs w:val="1"/>
                <w:color w:val="auto"/>
              </w:rPr>
            </w:pPr>
          </w:p>
        </w:tc>
      </w:tr>
      <w:tr>
        <w:trPr>
          <w:trHeight w:val="20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87"/>
              </w:rPr>
              <w:t>41 Discovery</w:t>
            </w:r>
          </w:p>
        </w:tc>
        <w:tc>
          <w:tcPr>
            <w:tcW w:w="2420" w:type="dxa"/>
            <w:vAlign w:val="bottom"/>
          </w:tcPr>
          <w:p>
            <w:pPr>
              <w:spacing w:after="0"/>
              <w:rPr>
                <w:sz w:val="18"/>
                <w:szCs w:val="18"/>
                <w:color w:val="auto"/>
              </w:rPr>
            </w:pPr>
          </w:p>
        </w:tc>
        <w:tc>
          <w:tcPr>
            <w:tcW w:w="3760" w:type="dxa"/>
            <w:vAlign w:val="bottom"/>
            <w:vMerge w:val="restart"/>
          </w:tcPr>
          <w:p>
            <w:pPr>
              <w:jc w:val="center"/>
              <w:ind w:right="1331"/>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4"/>
              </w:rPr>
              <w:t>Irvine, California</w:t>
            </w:r>
          </w:p>
        </w:tc>
        <w:tc>
          <w:tcPr>
            <w:tcW w:w="24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1"/>
              </w:rPr>
              <w:t>(Address of Principal Executive Offices)</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341"/>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Arial" w:cs="Arial" w:eastAsia="Arial" w:hAnsi="Arial"/>
                <w:sz w:val="14"/>
                <w:szCs w:val="14"/>
                <w:b w:val="1"/>
                <w:bCs w:val="1"/>
                <w:color w:val="auto"/>
                <w:w w:val="89"/>
              </w:rPr>
              <w:t>(844) 933-3627</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80" w:type="dxa"/>
            <w:vAlign w:val="bottom"/>
            <w:gridSpan w:val="2"/>
          </w:tcPr>
          <w:p>
            <w:pPr>
              <w:jc w:val="center"/>
              <w:ind w:left="3711"/>
              <w:spacing w:after="0"/>
              <w:rPr>
                <w:sz w:val="20"/>
                <w:szCs w:val="20"/>
                <w:color w:val="auto"/>
              </w:rPr>
            </w:pPr>
            <w:r>
              <w:rPr>
                <w:rFonts w:ascii="Arial" w:cs="Arial" w:eastAsia="Arial" w:hAnsi="Arial"/>
                <w:sz w:val="14"/>
                <w:szCs w:val="14"/>
                <w:color w:val="auto"/>
                <w:w w:val="88"/>
              </w:rPr>
              <w:t>(Registrant’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80" w:type="dxa"/>
            <w:vAlign w:val="bottom"/>
            <w:gridSpan w:val="2"/>
          </w:tcPr>
          <w:p>
            <w:pPr>
              <w:jc w:val="center"/>
              <w:ind w:left="369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20" w:type="dxa"/>
            <w:vAlign w:val="bottom"/>
            <w:tcBorders>
              <w:bottom w:val="single" w:sz="8" w:color="auto"/>
            </w:tcBorders>
          </w:tcPr>
          <w:p>
            <w:pPr>
              <w:jc w:val="center"/>
              <w:ind w:right="691"/>
              <w:spacing w:after="0"/>
              <w:rPr>
                <w:sz w:val="20"/>
                <w:szCs w:val="20"/>
                <w:color w:val="auto"/>
              </w:rPr>
            </w:pPr>
            <w:r>
              <w:rPr>
                <w:rFonts w:ascii="Arial" w:cs="Arial" w:eastAsia="Arial" w:hAnsi="Arial"/>
                <w:sz w:val="14"/>
                <w:szCs w:val="14"/>
                <w:b w:val="1"/>
                <w:bCs w:val="1"/>
                <w:color w:val="auto"/>
                <w:w w:val="87"/>
              </w:rPr>
              <w:t>Trading symbol(s)</w:t>
            </w:r>
          </w:p>
        </w:tc>
        <w:tc>
          <w:tcPr>
            <w:tcW w:w="3760" w:type="dxa"/>
            <w:vAlign w:val="bottom"/>
            <w:tcBorders>
              <w:bottom w:val="single" w:sz="8" w:color="auto"/>
            </w:tcBorders>
          </w:tcPr>
          <w:p>
            <w:pPr>
              <w:jc w:val="center"/>
              <w:ind w:right="651"/>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80"/>
        </w:trPr>
        <w:tc>
          <w:tcPr>
            <w:tcW w:w="5060" w:type="dxa"/>
            <w:vAlign w:val="bottom"/>
          </w:tcPr>
          <w:p>
            <w:pPr>
              <w:jc w:val="center"/>
              <w:spacing w:after="0"/>
              <w:rPr>
                <w:sz w:val="20"/>
                <w:szCs w:val="20"/>
                <w:color w:val="auto"/>
              </w:rPr>
            </w:pPr>
            <w:r>
              <w:rPr>
                <w:rFonts w:ascii="Arial" w:cs="Arial" w:eastAsia="Arial" w:hAnsi="Arial"/>
                <w:sz w:val="14"/>
                <w:szCs w:val="14"/>
                <w:color w:val="auto"/>
                <w:w w:val="87"/>
              </w:rPr>
              <w:t>Class A Common Stock, $0.0001 par value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5"/>
              </w:rPr>
              <w:t>MAPS</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r>
        <w:trPr>
          <w:trHeight w:val="161"/>
        </w:trPr>
        <w:tc>
          <w:tcPr>
            <w:tcW w:w="5060" w:type="dxa"/>
            <w:vAlign w:val="bottom"/>
          </w:tcPr>
          <w:p>
            <w:pPr>
              <w:jc w:val="center"/>
              <w:spacing w:after="0"/>
              <w:rPr>
                <w:sz w:val="20"/>
                <w:szCs w:val="20"/>
                <w:color w:val="auto"/>
              </w:rPr>
            </w:pPr>
            <w:r>
              <w:rPr>
                <w:rFonts w:ascii="Arial" w:cs="Arial" w:eastAsia="Arial" w:hAnsi="Arial"/>
                <w:sz w:val="14"/>
                <w:szCs w:val="14"/>
                <w:color w:val="auto"/>
                <w:w w:val="88"/>
              </w:rPr>
              <w:t>Warrants, each whole warrant exercisable for one share of Class A Common Stock at an</w:t>
            </w:r>
          </w:p>
        </w:tc>
        <w:tc>
          <w:tcPr>
            <w:tcW w:w="24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60" w:type="dxa"/>
            <w:vAlign w:val="bottom"/>
          </w:tcPr>
          <w:p>
            <w:pPr>
              <w:jc w:val="center"/>
              <w:spacing w:after="0"/>
              <w:rPr>
                <w:sz w:val="20"/>
                <w:szCs w:val="20"/>
                <w:color w:val="auto"/>
              </w:rPr>
            </w:pPr>
            <w:r>
              <w:rPr>
                <w:rFonts w:ascii="Arial" w:cs="Arial" w:eastAsia="Arial" w:hAnsi="Arial"/>
                <w:sz w:val="14"/>
                <w:szCs w:val="14"/>
                <w:color w:val="auto"/>
                <w:w w:val="87"/>
              </w:rPr>
              <w:t>exercise price of $11.50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4"/>
              </w:rPr>
              <w:t>MAPSW</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8"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116" w:lineRule="exact"/>
        <w:rPr>
          <w:sz w:val="24"/>
          <w:szCs w:val="24"/>
          <w:color w:val="auto"/>
        </w:rPr>
      </w:pPr>
    </w:p>
    <w:p>
      <w:pPr>
        <w:ind w:left="20"/>
        <w:spacing w:after="0"/>
        <w:rPr>
          <w:sz w:val="20"/>
          <w:szCs w:val="20"/>
          <w:color w:val="auto"/>
        </w:rPr>
      </w:pPr>
      <w:r>
        <w:rPr>
          <w:rFonts w:ascii="Arial" w:cs="Arial" w:eastAsia="Arial" w:hAnsi="Arial"/>
          <w:sz w:val="11"/>
          <w:szCs w:val="11"/>
          <w:color w:val="auto"/>
        </w:rPr>
        <w:t>Large accelerated filer</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1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59" w:lineRule="exact"/>
        <w:rPr>
          <w:sz w:val="24"/>
          <w:szCs w:val="24"/>
          <w:color w:val="auto"/>
        </w:rPr>
      </w:pPr>
    </w:p>
    <w:p>
      <w:pPr>
        <w:sectPr>
          <w:pgSz w:w="11900" w:h="16838" w:orient="portrait"/>
          <w:cols w:equalWidth="0" w:num="6">
            <w:col w:w="2380" w:space="720"/>
            <w:col w:w="120" w:space="540"/>
            <w:col w:w="2380" w:space="720"/>
            <w:col w:w="120" w:space="540"/>
            <w:col w:w="2360" w:space="720"/>
            <w:col w:w="640"/>
          </w:cols>
          <w:pgMar w:left="320" w:top="230" w:right="339" w:bottom="1440" w:gutter="0" w:footer="0" w:header="0"/>
          <w:type w:val="continuous"/>
        </w:sectPr>
      </w:pPr>
    </w:p>
    <w:p>
      <w:pPr>
        <w:spacing w:after="0" w:line="19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As of May 2, 2022, there were 86,103,114 shares of the registrant’s Class A common stock outstanding and 58,294,288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551815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gridSpan w:val="10"/>
          </w:tcPr>
          <w:p>
            <w:pPr>
              <w:jc w:val="center"/>
              <w:ind w:right="2460"/>
              <w:spacing w:after="0"/>
              <w:rPr>
                <w:sz w:val="20"/>
                <w:szCs w:val="20"/>
                <w:color w:val="auto"/>
              </w:rPr>
            </w:pPr>
            <w:r>
              <w:rPr>
                <w:rFonts w:ascii="Arial" w:cs="Arial" w:eastAsia="Arial" w:hAnsi="Arial"/>
                <w:sz w:val="17"/>
                <w:szCs w:val="17"/>
                <w:b w:val="1"/>
                <w:bCs w:val="1"/>
                <w:color w:val="auto"/>
              </w:rPr>
              <w:t>WM TECHNOLOGY, INC.</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Page</w:t>
            </w:r>
          </w:p>
        </w:tc>
      </w:tr>
      <w:tr>
        <w:trPr>
          <w:trHeight w:val="42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16"/>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Forward-Looking Statements</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Part I - Financial Information</w:t>
              </w:r>
            </w:hyperlink>
          </w:p>
        </w:tc>
        <w:tc>
          <w:tcPr>
            <w:tcW w:w="500" w:type="dxa"/>
            <w:vAlign w:val="bottom"/>
            <w:gridSpan w:val="2"/>
          </w:tcPr>
          <w:p>
            <w:pPr>
              <w:jc w:val="center"/>
              <w:ind w:left="294"/>
              <w:spacing w:after="0"/>
              <w:rPr>
                <w:sz w:val="20"/>
                <w:szCs w:val="20"/>
                <w:color w:val="auto"/>
              </w:rPr>
            </w:pPr>
            <w:r>
              <w:rPr>
                <w:rFonts w:ascii="Arial" w:cs="Arial" w:eastAsia="Arial" w:hAnsi="Arial"/>
                <w:sz w:val="17"/>
                <w:szCs w:val="17"/>
                <w:color w:val="0000EE"/>
                <w:w w:val="84"/>
              </w:rPr>
              <w:t>2</w:t>
            </w: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9260" w:type="dxa"/>
            <w:vAlign w:val="bottom"/>
            <w:gridSpan w:val="16"/>
          </w:tcPr>
          <w:p>
            <w:pPr>
              <w:spacing w:after="0"/>
              <w:rPr>
                <w:rFonts w:ascii="Arial" w:cs="Arial" w:eastAsia="Arial" w:hAnsi="Arial"/>
                <w:sz w:val="17"/>
                <w:szCs w:val="17"/>
                <w:color w:val="0000EE"/>
              </w:rPr>
            </w:pPr>
            <w:r>
              <w:rPr>
                <w:rFonts w:ascii="Arial" w:cs="Arial" w:eastAsia="Arial" w:hAnsi="Arial"/>
                <w:sz w:val="17"/>
                <w:szCs w:val="17"/>
                <w:color w:val="0000EE"/>
              </w:rPr>
              <w:t xml:space="preserve">Condensed Consolidated </w:t>
            </w:r>
            <w:hyperlink w:anchor="page4">
              <w:r>
                <w:rPr>
                  <w:rFonts w:ascii="Arial" w:cs="Arial" w:eastAsia="Arial" w:hAnsi="Arial"/>
                  <w:sz w:val="17"/>
                  <w:szCs w:val="17"/>
                  <w:color w:val="0000EE"/>
                </w:rPr>
                <w:t xml:space="preserve">Financial Statements </w:t>
              </w:r>
            </w:hyperlink>
            <w:r>
              <w:rPr>
                <w:rFonts w:ascii="Arial" w:cs="Arial" w:eastAsia="Arial" w:hAnsi="Arial"/>
                <w:sz w:val="17"/>
                <w:szCs w:val="17"/>
                <w:color w:val="0000EE"/>
              </w:rPr>
              <w:t>(Unaudited)</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2</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 xml:space="preserve">Condensed Consolidated Balance </w:t>
              </w:r>
            </w:hyperlink>
            <w:r>
              <w:rPr>
                <w:rFonts w:ascii="Arial" w:cs="Arial" w:eastAsia="Arial" w:hAnsi="Arial"/>
                <w:sz w:val="17"/>
                <w:szCs w:val="17"/>
                <w:color w:val="0000EE"/>
              </w:rPr>
              <w:t>Sheets as of March 31, 2022 and December 31, 2021</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2</w:t>
              </w:r>
            </w:hyperlink>
          </w:p>
        </w:tc>
        <w:tc>
          <w:tcPr>
            <w:tcW w:w="36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34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60" w:type="dxa"/>
            <w:vAlign w:val="bottom"/>
            <w:gridSpan w:val="15"/>
          </w:tcPr>
          <w:p>
            <w:pPr>
              <w:spacing w:after="0"/>
              <w:rPr>
                <w:rFonts w:ascii="Arial" w:cs="Arial" w:eastAsia="Arial" w:hAnsi="Arial"/>
                <w:sz w:val="17"/>
                <w:szCs w:val="17"/>
                <w:color w:val="0000EE"/>
                <w:w w:val="91"/>
              </w:rPr>
            </w:pPr>
            <w:hyperlink w:anchor="page4">
              <w:r>
                <w:rPr>
                  <w:rFonts w:ascii="Arial" w:cs="Arial" w:eastAsia="Arial" w:hAnsi="Arial"/>
                  <w:sz w:val="17"/>
                  <w:szCs w:val="17"/>
                  <w:color w:val="0000EE"/>
                  <w:w w:val="91"/>
                </w:rPr>
                <w:t xml:space="preserve">Condensed Consolidated Statements of Operations </w:t>
              </w:r>
            </w:hyperlink>
            <w:r>
              <w:rPr>
                <w:rFonts w:ascii="Arial" w:cs="Arial" w:eastAsia="Arial" w:hAnsi="Arial"/>
                <w:sz w:val="17"/>
                <w:szCs w:val="17"/>
                <w:color w:val="0000EE"/>
                <w:w w:val="91"/>
              </w:rPr>
              <w:t>for the Three Months Ended March 31, 2022 and 2021</w:t>
            </w:r>
          </w:p>
        </w:tc>
        <w:tc>
          <w:tcPr>
            <w:tcW w:w="1900" w:type="dxa"/>
            <w:vAlign w:val="bottom"/>
          </w:tcPr>
          <w:p>
            <w:pPr>
              <w:spacing w:after="0"/>
              <w:rPr>
                <w:sz w:val="17"/>
                <w:szCs w:val="17"/>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3</w:t>
              </w:r>
            </w:hyperlink>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60" w:type="dxa"/>
            <w:vAlign w:val="bottom"/>
            <w:gridSpan w:val="15"/>
          </w:tcPr>
          <w:p>
            <w:pPr>
              <w:spacing w:after="0"/>
              <w:rPr>
                <w:rFonts w:ascii="Arial" w:cs="Arial" w:eastAsia="Arial" w:hAnsi="Arial"/>
                <w:sz w:val="17"/>
                <w:szCs w:val="17"/>
                <w:color w:val="0000EE"/>
                <w:w w:val="95"/>
              </w:rPr>
            </w:pPr>
            <w:hyperlink w:anchor="page5">
              <w:r>
                <w:rPr>
                  <w:rFonts w:ascii="Arial" w:cs="Arial" w:eastAsia="Arial" w:hAnsi="Arial"/>
                  <w:sz w:val="17"/>
                  <w:szCs w:val="17"/>
                  <w:color w:val="0000EE"/>
                  <w:w w:val="95"/>
                </w:rPr>
                <w:t xml:space="preserve">Condensed Consolidated Statements of Equity </w:t>
              </w:r>
            </w:hyperlink>
            <w:r>
              <w:rPr>
                <w:rFonts w:ascii="Arial" w:cs="Arial" w:eastAsia="Arial" w:hAnsi="Arial"/>
                <w:sz w:val="17"/>
                <w:szCs w:val="17"/>
                <w:color w:val="0000EE"/>
                <w:w w:val="95"/>
              </w:rPr>
              <w:t>for the Three Months Ended March 31, 2022 and 2021</w:t>
            </w:r>
          </w:p>
        </w:tc>
        <w:tc>
          <w:tcPr>
            <w:tcW w:w="1900" w:type="dxa"/>
            <w:vAlign w:val="bottom"/>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4</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60" w:type="dxa"/>
            <w:vAlign w:val="bottom"/>
            <w:gridSpan w:val="15"/>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 xml:space="preserve">Condensed Consolidated Statements of Cash Flows </w:t>
              </w:r>
            </w:hyperlink>
            <w:r>
              <w:rPr>
                <w:rFonts w:ascii="Arial" w:cs="Arial" w:eastAsia="Arial" w:hAnsi="Arial"/>
                <w:sz w:val="17"/>
                <w:szCs w:val="17"/>
                <w:color w:val="0000EE"/>
                <w:w w:val="90"/>
              </w:rPr>
              <w:t>for the Three Months Ended March 31, 2022 and 2021</w:t>
            </w:r>
          </w:p>
        </w:tc>
        <w:tc>
          <w:tcPr>
            <w:tcW w:w="1900" w:type="dxa"/>
            <w:vAlign w:val="bottom"/>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5</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60" w:type="dxa"/>
            <w:vAlign w:val="bottom"/>
            <w:gridSpan w:val="15"/>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1900" w:type="dxa"/>
            <w:vAlign w:val="bottom"/>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7">
              <w:r>
                <w:rPr>
                  <w:rFonts w:ascii="Arial" w:cs="Arial" w:eastAsia="Arial" w:hAnsi="Arial"/>
                  <w:sz w:val="17"/>
                  <w:szCs w:val="17"/>
                  <w:color w:val="0000EE"/>
                  <w:w w:val="84"/>
                </w:rPr>
                <w:t>6</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Item 2.</w:t>
              </w:r>
            </w:hyperlink>
          </w:p>
        </w:tc>
        <w:tc>
          <w:tcPr>
            <w:tcW w:w="9260" w:type="dxa"/>
            <w:vAlign w:val="bottom"/>
            <w:gridSpan w:val="16"/>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Management's Discussion and Analysis of Financial Condition and Results of Operations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28">
              <w:r>
                <w:rPr>
                  <w:rFonts w:ascii="Arial" w:cs="Arial" w:eastAsia="Arial" w:hAnsi="Arial"/>
                  <w:sz w:val="17"/>
                  <w:szCs w:val="17"/>
                  <w:color w:val="0000EE"/>
                  <w:w w:val="94"/>
                </w:rPr>
                <w:t>27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gridSpan w:val="4"/>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Item 3.</w:t>
              </w:r>
            </w:hyperlink>
          </w:p>
        </w:tc>
        <w:tc>
          <w:tcPr>
            <w:tcW w:w="9260" w:type="dxa"/>
            <w:vAlign w:val="bottom"/>
            <w:gridSpan w:val="16"/>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Quantitative and Qualitative Disclosures About Market Risk</w:t>
              </w:r>
            </w:hyperlink>
          </w:p>
        </w:tc>
        <w:tc>
          <w:tcPr>
            <w:tcW w:w="42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43">
              <w:r>
                <w:rPr>
                  <w:rFonts w:ascii="Arial" w:cs="Arial" w:eastAsia="Arial" w:hAnsi="Arial"/>
                  <w:sz w:val="12"/>
                  <w:szCs w:val="12"/>
                  <w:color w:val="0000EE"/>
                  <w:w w:val="74"/>
                </w:rPr>
                <w:t>41</w:t>
              </w:r>
            </w:hyperlink>
          </w:p>
        </w:tc>
        <w:tc>
          <w:tcPr>
            <w:tcW w:w="3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tcPr>
          <w:p>
            <w:pPr>
              <w:spacing w:after="0" w:line="172" w:lineRule="exact"/>
              <w:rPr>
                <w:rFonts w:ascii="Arial" w:cs="Arial" w:eastAsia="Arial" w:hAnsi="Arial"/>
                <w:sz w:val="17"/>
                <w:szCs w:val="17"/>
                <w:color w:val="0000EE"/>
              </w:rPr>
            </w:pPr>
            <w:hyperlink w:anchor="page43">
              <w:r>
                <w:rPr>
                  <w:rFonts w:ascii="Arial" w:cs="Arial" w:eastAsia="Arial" w:hAnsi="Arial"/>
                  <w:sz w:val="17"/>
                  <w:szCs w:val="17"/>
                  <w:color w:val="0000EE"/>
                </w:rPr>
                <w:t>Item 4.</w:t>
              </w:r>
            </w:hyperlink>
          </w:p>
        </w:tc>
        <w:tc>
          <w:tcPr>
            <w:tcW w:w="9260" w:type="dxa"/>
            <w:vAlign w:val="bottom"/>
            <w:gridSpan w:val="16"/>
          </w:tcPr>
          <w:p>
            <w:pPr>
              <w:spacing w:after="0" w:line="172" w:lineRule="exact"/>
              <w:rPr>
                <w:rFonts w:ascii="Arial" w:cs="Arial" w:eastAsia="Arial" w:hAnsi="Arial"/>
                <w:sz w:val="17"/>
                <w:szCs w:val="17"/>
                <w:color w:val="0000EE"/>
              </w:rPr>
            </w:pPr>
            <w:hyperlink w:anchor="page43">
              <w:r>
                <w:rPr>
                  <w:rFonts w:ascii="Arial" w:cs="Arial" w:eastAsia="Arial" w:hAnsi="Arial"/>
                  <w:sz w:val="17"/>
                  <w:szCs w:val="17"/>
                  <w:color w:val="0000EE"/>
                </w:rPr>
                <w:t>Controls and Procedures</w:t>
              </w:r>
            </w:hyperlink>
          </w:p>
        </w:tc>
        <w:tc>
          <w:tcPr>
            <w:tcW w:w="500" w:type="dxa"/>
            <w:vAlign w:val="bottom"/>
            <w:gridSpan w:val="2"/>
          </w:tcPr>
          <w:p>
            <w:pPr>
              <w:jc w:val="center"/>
              <w:ind w:left="234"/>
              <w:spacing w:after="0" w:line="172"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41</w:t>
              </w:r>
            </w:hyperlink>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7"/>
                <w:szCs w:val="17"/>
                <w:b w:val="1"/>
                <w:bCs w:val="1"/>
                <w:color w:val="auto"/>
              </w:rPr>
            </w:pPr>
            <w:hyperlink w:anchor="page44">
              <w:r>
                <w:rPr>
                  <w:rFonts w:ascii="Arial" w:cs="Arial" w:eastAsia="Arial" w:hAnsi="Arial"/>
                  <w:sz w:val="17"/>
                  <w:szCs w:val="17"/>
                  <w:b w:val="1"/>
                  <w:bCs w:val="1"/>
                  <w:color w:val="auto"/>
                </w:rPr>
                <w:t>Part II - Other Information</w:t>
              </w:r>
            </w:hyperlink>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44">
              <w:r>
                <w:rPr>
                  <w:rFonts w:ascii="Arial" w:cs="Arial" w:eastAsia="Arial" w:hAnsi="Arial"/>
                  <w:sz w:val="12"/>
                  <w:szCs w:val="12"/>
                  <w:color w:val="0000EE"/>
                  <w:w w:val="74"/>
                </w:rPr>
                <w:t>43</w:t>
              </w:r>
            </w:hyperlink>
          </w:p>
        </w:tc>
        <w:tc>
          <w:tcPr>
            <w:tcW w:w="3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1.</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Legal Proceedings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Item 1A.</w:t>
              </w:r>
            </w:hyperlink>
          </w:p>
        </w:tc>
        <w:tc>
          <w:tcPr>
            <w:tcW w:w="480" w:type="dxa"/>
            <w:vAlign w:val="bottom"/>
            <w:gridSpan w:val="2"/>
          </w:tcPr>
          <w:p>
            <w:pPr>
              <w:spacing w:after="0"/>
              <w:rPr>
                <w:sz w:val="18"/>
                <w:szCs w:val="18"/>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45">
              <w:r>
                <w:rPr>
                  <w:rFonts w:ascii="Arial" w:cs="Arial" w:eastAsia="Arial" w:hAnsi="Arial"/>
                  <w:sz w:val="17"/>
                  <w:szCs w:val="17"/>
                  <w:color w:val="0000EE"/>
                  <w:w w:val="90"/>
                </w:rPr>
                <w:t>Risk Factors</w:t>
              </w:r>
            </w:hyperlink>
          </w:p>
        </w:tc>
        <w:tc>
          <w:tcPr>
            <w:tcW w:w="8380" w:type="dxa"/>
            <w:vAlign w:val="bottom"/>
            <w:gridSpan w:val="14"/>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45">
              <w:r>
                <w:rPr>
                  <w:rFonts w:ascii="Arial" w:cs="Arial" w:eastAsia="Arial" w:hAnsi="Arial"/>
                  <w:sz w:val="12"/>
                  <w:szCs w:val="12"/>
                  <w:color w:val="0000EE"/>
                  <w:w w:val="74"/>
                </w:rPr>
                <w:t>43</w:t>
              </w:r>
            </w:hyperlink>
          </w:p>
        </w:tc>
        <w:tc>
          <w:tcPr>
            <w:tcW w:w="3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2.</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Unregistered Sales of Equity Securities and Use of Proceeds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3.</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Defaults Upon Senior Securities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4.</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Mine Safety Disclosures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5.</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Other Information</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43</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Item 6.</w:t>
              </w:r>
            </w:hyperlink>
          </w:p>
        </w:tc>
        <w:tc>
          <w:tcPr>
            <w:tcW w:w="9260" w:type="dxa"/>
            <w:vAlign w:val="bottom"/>
            <w:gridSpan w:val="1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Exhibits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45">
              <w:r>
                <w:rPr>
                  <w:rFonts w:ascii="Arial" w:cs="Arial" w:eastAsia="Arial" w:hAnsi="Arial"/>
                  <w:sz w:val="17"/>
                  <w:szCs w:val="17"/>
                  <w:color w:val="0000EE"/>
                  <w:w w:val="94"/>
                </w:rPr>
                <w:t>44</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Signatures</w:t>
              </w:r>
            </w:hyperlink>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0" w:type="dxa"/>
            <w:vAlign w:val="bottom"/>
            <w:gridSpan w:val="2"/>
          </w:tcPr>
          <w:p>
            <w:pPr>
              <w:jc w:val="center"/>
              <w:ind w:left="234"/>
              <w:spacing w:after="0"/>
              <w:rPr>
                <w:rFonts w:ascii="Arial" w:cs="Arial" w:eastAsia="Arial" w:hAnsi="Arial"/>
                <w:sz w:val="17"/>
                <w:szCs w:val="17"/>
                <w:color w:val="0000EE"/>
                <w:w w:val="94"/>
              </w:rPr>
            </w:pPr>
            <w:hyperlink w:anchor="page46">
              <w:r>
                <w:rPr>
                  <w:rFonts w:ascii="Arial" w:cs="Arial" w:eastAsia="Arial" w:hAnsi="Arial"/>
                  <w:sz w:val="17"/>
                  <w:szCs w:val="17"/>
                  <w:color w:val="0000EE"/>
                  <w:w w:val="94"/>
                </w:rPr>
                <w:t>45</w:t>
              </w:r>
            </w:hyperlink>
          </w:p>
        </w:tc>
        <w:tc>
          <w:tcPr>
            <w:tcW w:w="360" w:type="dxa"/>
            <w:vAlign w:val="bottom"/>
          </w:tcPr>
          <w:p>
            <w:pPr>
              <w:spacing w:after="0"/>
              <w:rPr>
                <w:sz w:val="18"/>
                <w:szCs w:val="18"/>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jc w:val="both"/>
        <w:ind w:firstLine="344"/>
        <w:spacing w:after="0" w:line="22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financial and business performance, including key business metrics and any underlying assumptions thereunder;</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market opportunity and our ability to acquire new customers and retain existing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timing related to commercial product launches;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of our go-to-market strategy;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scale our business and expand our offerings;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competitive advantages and growth strategies;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funding for our future operations;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outcome of any known and unknown litigation and regulatory proceedings;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development, effects and enforcement of and changes to laws and regulations, including with respect to the cannabis industry;</w:t>
      </w: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successfully capitalize on new and existing cannabis markets, including our ability to successfully monetize our solutions in those markets;</w:t>
      </w:r>
    </w:p>
    <w:p>
      <w:pPr>
        <w:spacing w:after="0" w:line="8" w:lineRule="exact"/>
        <w:rPr>
          <w:rFonts w:ascii="Arial" w:cs="Arial" w:eastAsia="Arial" w:hAnsi="Arial"/>
          <w:sz w:val="15"/>
          <w:szCs w:val="15"/>
          <w:color w:val="auto"/>
        </w:rPr>
      </w:pP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future growth;</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competition on our future business;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03" w:lineRule="exact"/>
        <w:rPr>
          <w:sz w:val="20"/>
          <w:szCs w:val="20"/>
          <w:color w:val="auto"/>
        </w:rPr>
      </w:pPr>
    </w:p>
    <w:p>
      <w:pPr>
        <w:jc w:val="both"/>
        <w:ind w:firstLine="344"/>
        <w:spacing w:after="0" w:line="24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8" w:lineRule="exact"/>
        <w:rPr>
          <w:sz w:val="20"/>
          <w:szCs w:val="20"/>
          <w:color w:val="auto"/>
        </w:rPr>
      </w:pPr>
    </w:p>
    <w:p>
      <w:pPr>
        <w:jc w:val="both"/>
        <w:ind w:firstLine="344"/>
        <w:spacing w:after="0" w:line="24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jc w:val="both"/>
        <w:ind w:firstLine="344"/>
        <w:spacing w:after="0" w:line="24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534035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for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20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67,777</w:t>
            </w:r>
          </w:p>
        </w:tc>
        <w:tc>
          <w:tcPr>
            <w:tcW w:w="0" w:type="dxa"/>
            <w:vAlign w:val="bottom"/>
          </w:tcPr>
          <w:p>
            <w:pPr>
              <w:spacing w:after="0"/>
              <w:rPr>
                <w:sz w:val="1"/>
                <w:szCs w:val="1"/>
                <w:color w:val="auto"/>
              </w:rPr>
            </w:pPr>
          </w:p>
        </w:tc>
      </w:tr>
      <w:tr>
        <w:trPr>
          <w:trHeight w:val="218"/>
        </w:trPr>
        <w:tc>
          <w:tcPr>
            <w:tcW w:w="724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23,657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17,550</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c>
          <w:tcPr>
            <w:tcW w:w="0" w:type="dxa"/>
            <w:vAlign w:val="bottom"/>
          </w:tcPr>
          <w:p>
            <w:pPr>
              <w:spacing w:after="0"/>
              <w:rPr>
                <w:sz w:val="1"/>
                <w:szCs w:val="1"/>
                <w:color w:val="auto"/>
              </w:rPr>
            </w:pPr>
          </w:p>
        </w:tc>
      </w:tr>
      <w:tr>
        <w:trPr>
          <w:trHeight w:val="211"/>
        </w:trPr>
        <w:tc>
          <w:tcPr>
            <w:tcW w:w="724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91,545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98,934</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13,283</w:t>
            </w:r>
          </w:p>
        </w:tc>
        <w:tc>
          <w:tcPr>
            <w:tcW w:w="0" w:type="dxa"/>
            <w:vAlign w:val="bottom"/>
          </w:tcPr>
          <w:p>
            <w:pPr>
              <w:spacing w:after="0"/>
              <w:rPr>
                <w:sz w:val="1"/>
                <w:szCs w:val="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65,722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45,295</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8,299</w:t>
            </w:r>
          </w:p>
        </w:tc>
        <w:tc>
          <w:tcPr>
            <w:tcW w:w="0" w:type="dxa"/>
            <w:vAlign w:val="bottom"/>
          </w:tcPr>
          <w:p>
            <w:pPr>
              <w:spacing w:after="0"/>
              <w:rPr>
                <w:sz w:val="1"/>
                <w:szCs w:val="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Right-of-use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35,404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36,549</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152,097</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10,687</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405,206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22,355</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23,155</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8,057</w:t>
            </w:r>
          </w:p>
        </w:tc>
        <w:tc>
          <w:tcPr>
            <w:tcW w:w="0" w:type="dxa"/>
            <w:vAlign w:val="bottom"/>
          </w:tcPr>
          <w:p>
            <w:pPr>
              <w:spacing w:after="0"/>
              <w:rPr>
                <w:sz w:val="1"/>
                <w:szCs w:val="1"/>
                <w:color w:val="auto"/>
              </w:rPr>
            </w:pPr>
          </w:p>
        </w:tc>
      </w:tr>
      <w:tr>
        <w:trPr>
          <w:trHeight w:val="218"/>
        </w:trPr>
        <w:tc>
          <w:tcPr>
            <w:tcW w:w="7240" w:type="dxa"/>
            <w:vAlign w:val="bottom"/>
          </w:tcPr>
          <w:p>
            <w:pPr>
              <w:ind w:left="220"/>
              <w:spacing w:after="0"/>
              <w:rPr>
                <w:sz w:val="20"/>
                <w:szCs w:val="20"/>
                <w:color w:val="auto"/>
              </w:rPr>
            </w:pPr>
            <w:r>
              <w:rPr>
                <w:rFonts w:ascii="Arial" w:cs="Arial" w:eastAsia="Arial" w:hAnsi="Arial"/>
                <w:sz w:val="17"/>
                <w:szCs w:val="17"/>
                <w:color w:val="auto"/>
              </w:rPr>
              <w:t>Operating lease liabilities, current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5,673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5,463</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211"/>
        </w:trPr>
        <w:tc>
          <w:tcPr>
            <w:tcW w:w="724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36,925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37,800</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39,377</w:t>
            </w:r>
          </w:p>
        </w:tc>
        <w:tc>
          <w:tcPr>
            <w:tcW w:w="0" w:type="dxa"/>
            <w:vAlign w:val="bottom"/>
          </w:tcPr>
          <w:p>
            <w:pPr>
              <w:spacing w:after="0"/>
              <w:rPr>
                <w:sz w:val="1"/>
                <w:szCs w:val="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Tax receivable agreement liability</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134,118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128,567</w:t>
            </w: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27,460</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233,204</w:t>
            </w:r>
          </w:p>
        </w:tc>
        <w:tc>
          <w:tcPr>
            <w:tcW w:w="0" w:type="dxa"/>
            <w:vAlign w:val="bottom"/>
          </w:tcPr>
          <w:p>
            <w:pPr>
              <w:spacing w:after="0"/>
              <w:rPr>
                <w:sz w:val="1"/>
                <w:szCs w:val="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Commitments and contingencies (Note 3)</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equity/Members’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8" w:lineRule="exact"/>
              <w:rPr>
                <w:sz w:val="20"/>
                <w:szCs w:val="20"/>
                <w:color w:val="auto"/>
              </w:rPr>
            </w:pPr>
            <w:r>
              <w:rPr>
                <w:rFonts w:ascii="Arial" w:cs="Arial" w:eastAsia="Arial" w:hAnsi="Arial"/>
                <w:sz w:val="17"/>
                <w:szCs w:val="17"/>
                <w:color w:val="auto"/>
                <w:w w:val="91"/>
              </w:rPr>
              <w:t>Preferred Stock - $0.0001 par value; 75,000,000 shares authorized; no shares issued and outstanding</w:t>
            </w:r>
          </w:p>
        </w:tc>
        <w:tc>
          <w:tcPr>
            <w:tcW w:w="260" w:type="dxa"/>
            <w:vAlign w:val="bottom"/>
          </w:tcPr>
          <w:p>
            <w:pPr>
              <w:spacing w:after="0"/>
              <w:rPr>
                <w:sz w:val="14"/>
                <w:szCs w:val="14"/>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tcPr>
          <w:p>
            <w:pPr>
              <w:ind w:left="320"/>
              <w:spacing w:after="0"/>
              <w:rPr>
                <w:sz w:val="20"/>
                <w:szCs w:val="20"/>
                <w:color w:val="auto"/>
              </w:rPr>
            </w:pPr>
            <w:r>
              <w:rPr>
                <w:rFonts w:ascii="Arial" w:cs="Arial" w:eastAsia="Arial" w:hAnsi="Arial"/>
                <w:sz w:val="17"/>
                <w:szCs w:val="17"/>
                <w:color w:val="auto"/>
              </w:rPr>
              <w:t>at March 31, 2022 and December 31, 2021</w:t>
            </w:r>
          </w:p>
        </w:tc>
        <w:tc>
          <w:tcPr>
            <w:tcW w:w="26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4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Class A Common Stock - $0.0001 par value; 1,500,000,000 shares authorized; 83,098,990 shares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shd w:val="clear" w:color="auto" w:fill="CCEEFF"/>
          </w:tcPr>
          <w:p>
            <w:pPr>
              <w:ind w:left="320"/>
              <w:spacing w:after="0" w:line="167" w:lineRule="exact"/>
              <w:rPr>
                <w:sz w:val="20"/>
                <w:szCs w:val="20"/>
                <w:color w:val="auto"/>
              </w:rPr>
            </w:pPr>
            <w:r>
              <w:rPr>
                <w:rFonts w:ascii="Arial" w:cs="Arial" w:eastAsia="Arial" w:hAnsi="Arial"/>
                <w:sz w:val="17"/>
                <w:szCs w:val="17"/>
                <w:color w:val="auto"/>
                <w:w w:val="99"/>
              </w:rPr>
              <w:t>issued and outstanding at March 31, 2022 and 65,677,361 shares issued and outstanding at</w:t>
            </w:r>
          </w:p>
        </w:tc>
        <w:tc>
          <w:tcPr>
            <w:tcW w:w="2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December 31, 2021</w:t>
            </w:r>
          </w:p>
        </w:tc>
        <w:tc>
          <w:tcPr>
            <w:tcW w:w="26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180"/>
              <w:spacing w:after="0" w:line="168" w:lineRule="exact"/>
              <w:rPr>
                <w:sz w:val="20"/>
                <w:szCs w:val="20"/>
                <w:color w:val="auto"/>
              </w:rPr>
            </w:pPr>
            <w:r>
              <w:rPr>
                <w:rFonts w:ascii="Arial" w:cs="Arial" w:eastAsia="Arial" w:hAnsi="Arial"/>
                <w:sz w:val="17"/>
                <w:szCs w:val="17"/>
                <w:color w:val="auto"/>
                <w:w w:val="97"/>
              </w:rPr>
              <w:t>Class V Common Stock - $0.0001 par value; 500,000,000 shares authorized, 61,206,773 shares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tcPr>
          <w:p>
            <w:pPr>
              <w:ind w:left="320"/>
              <w:spacing w:after="0" w:line="167" w:lineRule="exact"/>
              <w:rPr>
                <w:sz w:val="20"/>
                <w:szCs w:val="20"/>
                <w:color w:val="auto"/>
              </w:rPr>
            </w:pPr>
            <w:r>
              <w:rPr>
                <w:rFonts w:ascii="Arial" w:cs="Arial" w:eastAsia="Arial" w:hAnsi="Arial"/>
                <w:sz w:val="17"/>
                <w:szCs w:val="17"/>
                <w:color w:val="auto"/>
                <w:w w:val="99"/>
              </w:rPr>
              <w:t>issued and outstanding at March 31, 2022 and 65,502,347 shares issued and outstanding at</w:t>
            </w:r>
          </w:p>
        </w:tc>
        <w:tc>
          <w:tcPr>
            <w:tcW w:w="2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7240" w:type="dxa"/>
            <w:vAlign w:val="bottom"/>
          </w:tcPr>
          <w:p>
            <w:pPr>
              <w:ind w:left="320"/>
              <w:spacing w:after="0"/>
              <w:rPr>
                <w:sz w:val="20"/>
                <w:szCs w:val="20"/>
                <w:color w:val="auto"/>
              </w:rPr>
            </w:pPr>
            <w:r>
              <w:rPr>
                <w:rFonts w:ascii="Arial" w:cs="Arial" w:eastAsia="Arial" w:hAnsi="Arial"/>
                <w:sz w:val="17"/>
                <w:szCs w:val="17"/>
                <w:color w:val="auto"/>
              </w:rPr>
              <w:t>December 31, 2021</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47,476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61,369</w:t>
            </w:r>
          </w:p>
        </w:tc>
        <w:tc>
          <w:tcPr>
            <w:tcW w:w="0" w:type="dxa"/>
            <w:vAlign w:val="bottom"/>
          </w:tcPr>
          <w:p>
            <w:pPr>
              <w:spacing w:after="0"/>
              <w:rPr>
                <w:sz w:val="1"/>
                <w:szCs w:val="1"/>
                <w:color w:val="auto"/>
              </w:rPr>
            </w:pPr>
          </w:p>
        </w:tc>
      </w:tr>
      <w:tr>
        <w:trPr>
          <w:trHeight w:val="213"/>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WM Technology, Inc.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63,556</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57,511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68,384</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131,940</w:t>
            </w:r>
          </w:p>
        </w:tc>
        <w:tc>
          <w:tcPr>
            <w:tcW w:w="0" w:type="dxa"/>
            <w:vAlign w:val="bottom"/>
          </w:tcPr>
          <w:p>
            <w:pPr>
              <w:spacing w:after="0"/>
              <w:rPr>
                <w:sz w:val="1"/>
                <w:szCs w:val="1"/>
                <w:color w:val="auto"/>
              </w:rPr>
            </w:pPr>
          </w:p>
        </w:tc>
      </w:tr>
      <w:tr>
        <w:trPr>
          <w:trHeight w:val="213"/>
        </w:trPr>
        <w:tc>
          <w:tcPr>
            <w:tcW w:w="7240" w:type="dxa"/>
            <w:vAlign w:val="bottom"/>
          </w:tcPr>
          <w:p>
            <w:pPr>
              <w:ind w:left="440"/>
              <w:spacing w:after="0"/>
              <w:rPr>
                <w:sz w:val="20"/>
                <w:szCs w:val="20"/>
                <w:color w:val="auto"/>
              </w:rPr>
            </w:pPr>
            <w:r>
              <w:rPr>
                <w:rFonts w:ascii="Arial" w:cs="Arial" w:eastAsia="Arial" w:hAnsi="Arial"/>
                <w:sz w:val="17"/>
                <w:szCs w:val="17"/>
                <w:color w:val="auto"/>
              </w:rPr>
              <w:t>Total liabilities and stockholders’ equity/members’ equity</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405,206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Arial" w:cs="Arial" w:eastAsia="Arial" w:hAnsi="Arial"/>
                <w:sz w:val="17"/>
                <w:szCs w:val="17"/>
                <w:b w:val="1"/>
                <w:bCs w:val="1"/>
                <w:color w:val="auto"/>
              </w:rPr>
              <w:t>WM TECHNOLOGY,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100" w:type="dxa"/>
            <w:vAlign w:val="bottom"/>
            <w:gridSpan w:val="2"/>
          </w:tcPr>
          <w:p>
            <w:pPr>
              <w:jc w:val="center"/>
              <w:ind w:left="1634"/>
              <w:spacing w:after="0"/>
              <w:rPr>
                <w:sz w:val="20"/>
                <w:szCs w:val="20"/>
                <w:color w:val="auto"/>
              </w:rPr>
            </w:pPr>
            <w:r>
              <w:rPr>
                <w:rFonts w:ascii="Arial" w:cs="Arial" w:eastAsia="Arial" w:hAnsi="Arial"/>
                <w:sz w:val="17"/>
                <w:szCs w:val="17"/>
                <w:b w:val="1"/>
                <w:bCs w:val="1"/>
                <w:color w:val="auto"/>
                <w:w w:val="99"/>
              </w:rPr>
              <w:t>CONDENSED CONSOLIDATED STATEMENTS OF OPERATIONS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Arial" w:cs="Arial" w:eastAsia="Arial" w:hAnsi="Arial"/>
                <w:sz w:val="17"/>
                <w:szCs w:val="17"/>
                <w:b w:val="1"/>
                <w:bCs w:val="1"/>
                <w:color w:val="auto"/>
                <w:w w:val="93"/>
              </w:rPr>
              <w:t>(Unaudited)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6780" w:type="dxa"/>
            <w:vAlign w:val="bottom"/>
          </w:tcPr>
          <w:p>
            <w:pPr>
              <w:jc w:val="center"/>
              <w:ind w:left="1934"/>
              <w:spacing w:after="0"/>
              <w:rPr>
                <w:sz w:val="20"/>
                <w:szCs w:val="20"/>
                <w:color w:val="auto"/>
              </w:rPr>
            </w:pPr>
            <w:r>
              <w:rPr>
                <w:rFonts w:ascii="Arial" w:cs="Arial" w:eastAsia="Arial" w:hAnsi="Arial"/>
                <w:sz w:val="17"/>
                <w:szCs w:val="17"/>
                <w:b w:val="1"/>
                <w:bCs w:val="1"/>
                <w:color w:val="auto"/>
                <w:w w:val="90"/>
              </w:rPr>
              <w:t>(In thousands, except for share data)</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7"/>
                <w:szCs w:val="17"/>
                <w:b w:val="1"/>
                <w:bCs w:val="1"/>
                <w:color w:val="auto"/>
                <w:w w:val="97"/>
              </w:rPr>
              <w:t>Three Months Ended March 31,</w:t>
            </w:r>
          </w:p>
        </w:tc>
      </w:tr>
      <w:tr>
        <w:trPr>
          <w:trHeight w:val="213"/>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41,154</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Cost of revenues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1,857</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9,117</w:t>
            </w: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Product development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7,868</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13,366</w:t>
            </w:r>
          </w:p>
        </w:tc>
      </w:tr>
      <w:tr>
        <w:trPr>
          <w:trHeight w:val="218"/>
        </w:trPr>
        <w:tc>
          <w:tcPr>
            <w:tcW w:w="8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r>
      <w:tr>
        <w:trPr>
          <w:trHeight w:val="213"/>
        </w:trPr>
        <w:tc>
          <w:tcPr>
            <w:tcW w:w="80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33,210</w:t>
            </w:r>
          </w:p>
        </w:tc>
      </w:tr>
      <w:tr>
        <w:trPr>
          <w:trHeight w:val="211"/>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Operating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7,944</w:t>
            </w: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Change in fair value of warrant liability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1"/>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(Loss) income before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7,972</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(Benefit from)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11"/>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Net (loss)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7,731</w:t>
            </w:r>
          </w:p>
        </w:tc>
      </w:tr>
      <w:tr>
        <w:trPr>
          <w:trHeight w:val="219"/>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Net (loss) income attributable to WM Technology, Inc.</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7,731</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8"/>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Basic and diluted loss per share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45"/>
        </w:trPr>
        <w:tc>
          <w:tcPr>
            <w:tcW w:w="80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Class A Common Stock:</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Weighted average basic and diluted shares outstanding</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72,450,204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N/A¹</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08" w:lineRule="exact"/>
        <w:rPr>
          <w:sz w:val="20"/>
          <w:szCs w:val="20"/>
          <w:color w:val="auto"/>
        </w:rPr>
      </w:pPr>
    </w:p>
    <w:p>
      <w:pPr>
        <w:jc w:val="both"/>
        <w:ind w:firstLine="3"/>
        <w:spacing w:after="0"/>
        <w:tabs>
          <w:tab w:leader="none" w:pos="77"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for share data)</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5"/>
          </w:tcPr>
          <w:p>
            <w:pPr>
              <w:jc w:val="right"/>
              <w:ind w:right="71"/>
              <w:spacing w:after="0"/>
              <w:rPr>
                <w:sz w:val="20"/>
                <w:szCs w:val="20"/>
                <w:color w:val="auto"/>
              </w:rPr>
            </w:pPr>
            <w:r>
              <w:rPr>
                <w:rFonts w:ascii="Arial" w:cs="Arial" w:eastAsia="Arial" w:hAnsi="Arial"/>
                <w:sz w:val="14"/>
                <w:szCs w:val="14"/>
                <w:b w:val="1"/>
                <w:bCs w:val="1"/>
                <w:color w:val="auto"/>
                <w:w w:val="92"/>
              </w:rPr>
              <w:t>Three Months Ended March 31, 2022</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gridSpan w:val="7"/>
          </w:tcPr>
          <w:p>
            <w:pPr>
              <w:ind w:lef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8"/>
                <w:szCs w:val="18"/>
                <w:color w:val="auto"/>
              </w:rPr>
            </w:pPr>
          </w:p>
        </w:tc>
        <w:tc>
          <w:tcPr>
            <w:tcW w:w="1520" w:type="dxa"/>
            <w:vAlign w:val="bottom"/>
            <w:gridSpan w:val="6"/>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Total WM</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7"/>
              </w:rPr>
              <w:t>Class 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Class V</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tcPr>
          <w:p>
            <w:pPr>
              <w:ind w:left="40"/>
              <w:spacing w:after="0" w:line="52" w:lineRule="exact"/>
              <w:rPr>
                <w:sz w:val="20"/>
                <w:szCs w:val="20"/>
                <w:color w:val="auto"/>
              </w:rPr>
            </w:pPr>
            <w:r>
              <w:rPr>
                <w:rFonts w:ascii="Arial" w:cs="Arial" w:eastAsia="Arial" w:hAnsi="Arial"/>
                <w:sz w:val="5"/>
                <w:szCs w:val="5"/>
                <w:b w:val="1"/>
                <w:bCs w:val="1"/>
                <w:color w:val="auto"/>
              </w:rPr>
              <w:t>Additional</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gridSpan w:val="4"/>
          </w:tcPr>
          <w:p>
            <w:pPr>
              <w:jc w:val="center"/>
              <w:ind w:right="100"/>
              <w:spacing w:after="0" w:line="52" w:lineRule="exact"/>
              <w:rPr>
                <w:sz w:val="20"/>
                <w:szCs w:val="20"/>
                <w:color w:val="auto"/>
              </w:rPr>
            </w:pPr>
            <w:r>
              <w:rPr>
                <w:rFonts w:ascii="Arial" w:cs="Arial" w:eastAsia="Arial" w:hAnsi="Arial"/>
                <w:sz w:val="5"/>
                <w:szCs w:val="5"/>
                <w:b w:val="1"/>
                <w:bCs w:val="1"/>
                <w:color w:val="auto"/>
              </w:rPr>
              <w:t>Technology, Inc.</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tcPr>
          <w:p>
            <w:pPr>
              <w:jc w:val="center"/>
              <w:ind w:right="120"/>
              <w:spacing w:after="0" w:line="52" w:lineRule="exact"/>
              <w:rPr>
                <w:sz w:val="20"/>
                <w:szCs w:val="20"/>
                <w:color w:val="auto"/>
              </w:rPr>
            </w:pPr>
            <w:r>
              <w:rPr>
                <w:rFonts w:ascii="Arial" w:cs="Arial" w:eastAsia="Arial" w:hAnsi="Arial"/>
                <w:sz w:val="5"/>
                <w:szCs w:val="5"/>
                <w:b w:val="1"/>
                <w:bCs w:val="1"/>
                <w:color w:val="auto"/>
              </w:rPr>
              <w:t>Non-</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gridSpan w:val="4"/>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920" w:type="dxa"/>
            <w:vAlign w:val="bottom"/>
            <w:gridSpan w:val="3"/>
            <w:vMerge w:val="restart"/>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4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Stockholders’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8"/>
              </w:rPr>
              <w:t>As of December 31, 2021</w:t>
            </w:r>
          </w:p>
        </w:tc>
        <w:tc>
          <w:tcPr>
            <w:tcW w:w="8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65,677,361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2,173</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61,369</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63,556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68,384</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w w:val="89"/>
              </w:rPr>
              <w:t>Stock-based compensation</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7,246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7,246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440" w:type="dxa"/>
            <w:vAlign w:val="bottom"/>
            <w:gridSpan w:val="3"/>
            <w:shd w:val="clear" w:color="auto" w:fill="CCEEFF"/>
          </w:tcPr>
          <w:p>
            <w:pPr>
              <w:ind w:left="100"/>
              <w:spacing w:after="0" w:line="132" w:lineRule="exact"/>
              <w:rPr>
                <w:sz w:val="20"/>
                <w:szCs w:val="20"/>
                <w:color w:val="auto"/>
              </w:rPr>
            </w:pPr>
            <w:r>
              <w:rPr>
                <w:rFonts w:ascii="Arial" w:cs="Arial" w:eastAsia="Arial" w:hAnsi="Arial"/>
                <w:sz w:val="14"/>
                <w:szCs w:val="14"/>
                <w:color w:val="auto"/>
                <w:w w:val="97"/>
              </w:rPr>
              <w:t>Issuance of common stock - vesting of</w:t>
            </w: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44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14"/>
                <w:szCs w:val="14"/>
                <w:color w:val="auto"/>
              </w:rPr>
              <w:t>restricted stock units, net of shares</w:t>
            </w:r>
          </w:p>
        </w:tc>
        <w:tc>
          <w:tcPr>
            <w:tcW w:w="420" w:type="dxa"/>
            <w:vAlign w:val="bottom"/>
            <w:shd w:val="clear" w:color="auto" w:fill="CCEEFF"/>
          </w:tcPr>
          <w:p>
            <w:pPr>
              <w:spacing w:after="0"/>
              <w:rPr>
                <w:sz w:val="11"/>
                <w:szCs w:val="11"/>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82"/>
              </w:rPr>
              <w:t>879,284</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withheld for taxes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440" w:type="dxa"/>
            <w:vAlign w:val="bottom"/>
            <w:gridSpan w:val="3"/>
          </w:tcPr>
          <w:p>
            <w:pPr>
              <w:ind w:left="100"/>
              <w:spacing w:after="0" w:line="129" w:lineRule="exact"/>
              <w:rPr>
                <w:sz w:val="20"/>
                <w:szCs w:val="20"/>
                <w:color w:val="auto"/>
              </w:rPr>
            </w:pPr>
            <w:r>
              <w:rPr>
                <w:rFonts w:ascii="Arial" w:cs="Arial" w:eastAsia="Arial" w:hAnsi="Arial"/>
                <w:sz w:val="14"/>
                <w:szCs w:val="14"/>
                <w:color w:val="auto"/>
                <w:w w:val="90"/>
              </w:rPr>
              <w:t>Issuance of common stock for acquisition</w:t>
            </w: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color w:val="auto"/>
              </w:rPr>
              <w:t>4,721,706</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12,836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12,836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28,725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(Note 6)</w:t>
            </w:r>
          </w:p>
        </w:tc>
        <w:tc>
          <w:tcPr>
            <w:tcW w:w="80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440" w:type="dxa"/>
            <w:vAlign w:val="bottom"/>
            <w:gridSpan w:val="3"/>
            <w:shd w:val="clear" w:color="auto" w:fill="CCEEFF"/>
          </w:tcPr>
          <w:p>
            <w:pPr>
              <w:ind w:left="100"/>
              <w:spacing w:after="0" w:line="132" w:lineRule="exact"/>
              <w:rPr>
                <w:sz w:val="20"/>
                <w:szCs w:val="20"/>
                <w:color w:val="auto"/>
              </w:rPr>
            </w:pPr>
            <w:r>
              <w:rPr>
                <w:rFonts w:ascii="Arial" w:cs="Arial" w:eastAsia="Arial" w:hAnsi="Arial"/>
                <w:sz w:val="14"/>
                <w:szCs w:val="14"/>
                <w:color w:val="auto"/>
                <w:w w:val="90"/>
              </w:rPr>
              <w:t>Issuance of common stock - Class A Unit</w:t>
            </w:r>
          </w:p>
        </w:tc>
        <w:tc>
          <w:tcPr>
            <w:tcW w:w="9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9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3,669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exchange</w:t>
            </w:r>
          </w:p>
        </w:tc>
        <w:tc>
          <w:tcPr>
            <w:tcW w:w="800" w:type="dxa"/>
            <w:vAlign w:val="bottom"/>
            <w:shd w:val="clear" w:color="auto" w:fill="CCEEFF"/>
          </w:tcPr>
          <w:p>
            <w:pPr>
              <w:spacing w:after="0"/>
              <w:rPr>
                <w:sz w:val="15"/>
                <w:szCs w:val="15"/>
                <w:color w:val="auto"/>
              </w:rPr>
            </w:pPr>
          </w:p>
        </w:tc>
        <w:tc>
          <w:tcPr>
            <w:tcW w:w="92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440" w:type="dxa"/>
            <w:vAlign w:val="bottom"/>
            <w:gridSpan w:val="3"/>
          </w:tcPr>
          <w:p>
            <w:pPr>
              <w:ind w:left="100"/>
              <w:spacing w:after="0" w:line="129" w:lineRule="exact"/>
              <w:rPr>
                <w:sz w:val="20"/>
                <w:szCs w:val="20"/>
                <w:color w:val="auto"/>
              </w:rPr>
            </w:pPr>
            <w:r>
              <w:rPr>
                <w:rFonts w:ascii="Arial" w:cs="Arial" w:eastAsia="Arial" w:hAnsi="Arial"/>
                <w:sz w:val="14"/>
                <w:szCs w:val="14"/>
                <w:color w:val="auto"/>
                <w:w w:val="90"/>
              </w:rPr>
              <w:t>Issuance of common stock - Class P Unit</w:t>
            </w: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color w:val="auto"/>
              </w:rPr>
              <w:t>7,525,045</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6,427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exchange</w:t>
            </w:r>
          </w:p>
        </w:tc>
        <w:tc>
          <w:tcPr>
            <w:tcW w:w="80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440" w:type="dxa"/>
            <w:vAlign w:val="bottom"/>
            <w:gridSpan w:val="3"/>
            <w:shd w:val="clear" w:color="auto" w:fill="CCEEFF"/>
          </w:tcPr>
          <w:p>
            <w:pPr>
              <w:ind w:left="100"/>
              <w:spacing w:after="0" w:line="132" w:lineRule="exact"/>
              <w:rPr>
                <w:sz w:val="20"/>
                <w:szCs w:val="20"/>
                <w:color w:val="auto"/>
              </w:rPr>
            </w:pPr>
            <w:r>
              <w:rPr>
                <w:rFonts w:ascii="Arial" w:cs="Arial" w:eastAsia="Arial" w:hAnsi="Arial"/>
                <w:sz w:val="14"/>
                <w:szCs w:val="14"/>
                <w:color w:val="auto"/>
              </w:rPr>
              <w:t>Issuance of common stock - warrants</w:t>
            </w:r>
          </w:p>
        </w:tc>
        <w:tc>
          <w:tcPr>
            <w:tcW w:w="420" w:type="dxa"/>
            <w:vAlign w:val="bottom"/>
            <w:shd w:val="clear" w:color="auto" w:fill="CCEEFF"/>
          </w:tcPr>
          <w:p>
            <w:pPr>
              <w:spacing w:after="0"/>
              <w:rPr>
                <w:sz w:val="11"/>
                <w:szCs w:val="11"/>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440" w:type="dxa"/>
            <w:vAlign w:val="bottom"/>
            <w:gridSpan w:val="3"/>
          </w:tcPr>
          <w:p>
            <w:pPr>
              <w:ind w:left="100"/>
              <w:spacing w:after="0" w:line="129" w:lineRule="exact"/>
              <w:rPr>
                <w:sz w:val="20"/>
                <w:szCs w:val="20"/>
                <w:color w:val="auto"/>
              </w:rPr>
            </w:pPr>
            <w:r>
              <w:rPr>
                <w:rFonts w:ascii="Arial" w:cs="Arial" w:eastAsia="Arial" w:hAnsi="Arial"/>
                <w:sz w:val="14"/>
                <w:szCs w:val="14"/>
                <w:color w:val="auto"/>
                <w:w w:val="90"/>
              </w:rPr>
              <w:t>Impact of Tax Receivable Agreement due</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11,625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11,625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to exchanges of Units</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(13,893)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(17,340)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2022</w:t>
            </w:r>
          </w:p>
        </w:tc>
        <w:tc>
          <w:tcPr>
            <w:tcW w:w="800" w:type="dxa"/>
            <w:vAlign w:val="bottom"/>
          </w:tcPr>
          <w:p>
            <w:pPr>
              <w:spacing w:after="0"/>
              <w:rPr>
                <w:sz w:val="15"/>
                <w:szCs w:val="15"/>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83,098,990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61,206,773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43,970</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47,476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91,460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57,511</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148,971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rPr>
              <w:t>Three Months Ended March 31, 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6"/>
          </w:tcPr>
          <w:p>
            <w:pPr>
              <w:ind w:lef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Total WM</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320"/>
              <w:spacing w:after="0" w:line="129" w:lineRule="exact"/>
              <w:rPr>
                <w:sz w:val="20"/>
                <w:szCs w:val="20"/>
                <w:color w:val="auto"/>
              </w:rPr>
            </w:pPr>
            <w:r>
              <w:rPr>
                <w:rFonts w:ascii="Arial" w:cs="Arial" w:eastAsia="Arial" w:hAnsi="Arial"/>
                <w:sz w:val="14"/>
                <w:szCs w:val="14"/>
                <w:b w:val="1"/>
                <w:bCs w:val="1"/>
                <w:color w:val="auto"/>
                <w:w w:val="89"/>
              </w:rPr>
              <w:t>Class A</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0"/>
              </w:rPr>
              <w:t>Class V</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4"/>
          </w:tcPr>
          <w:p>
            <w:pPr>
              <w:jc w:val="center"/>
              <w:ind w:right="40"/>
              <w:spacing w:after="0" w:line="52" w:lineRule="exact"/>
              <w:rPr>
                <w:sz w:val="20"/>
                <w:szCs w:val="20"/>
                <w:color w:val="auto"/>
              </w:rPr>
            </w:pPr>
            <w:r>
              <w:rPr>
                <w:rFonts w:ascii="Arial" w:cs="Arial" w:eastAsia="Arial" w:hAnsi="Arial"/>
                <w:sz w:val="5"/>
                <w:szCs w:val="5"/>
                <w:b w:val="1"/>
                <w:bCs w:val="1"/>
                <w:color w:val="auto"/>
              </w:rPr>
              <w:t>Additional</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4"/>
          </w:tcPr>
          <w:p>
            <w:pPr>
              <w:jc w:val="center"/>
              <w:ind w:right="40"/>
              <w:spacing w:after="0" w:line="52" w:lineRule="exact"/>
              <w:rPr>
                <w:sz w:val="20"/>
                <w:szCs w:val="20"/>
                <w:color w:val="auto"/>
              </w:rPr>
            </w:pPr>
            <w:r>
              <w:rPr>
                <w:rFonts w:ascii="Arial" w:cs="Arial" w:eastAsia="Arial" w:hAnsi="Arial"/>
                <w:sz w:val="5"/>
                <w:szCs w:val="5"/>
                <w:b w:val="1"/>
                <w:bCs w:val="1"/>
                <w:color w:val="auto"/>
              </w:rPr>
              <w:t>Technology, Inc.</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tcPr>
          <w:p>
            <w:pPr>
              <w:jc w:val="center"/>
              <w:ind w:right="180"/>
              <w:spacing w:after="0" w:line="52" w:lineRule="exact"/>
              <w:rPr>
                <w:sz w:val="20"/>
                <w:szCs w:val="20"/>
                <w:color w:val="auto"/>
              </w:rPr>
            </w:pPr>
            <w:r>
              <w:rPr>
                <w:rFonts w:ascii="Arial" w:cs="Arial" w:eastAsia="Arial" w:hAnsi="Arial"/>
                <w:sz w:val="5"/>
                <w:szCs w:val="5"/>
                <w:b w:val="1"/>
                <w:bCs w:val="1"/>
                <w:color w:val="auto"/>
              </w:rPr>
              <w:t>Non-</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4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94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Stockholders’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1"/>
              </w:rPr>
              <w:t>Members’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88"/>
              </w:rPr>
              <w:t>As of December 31, 2020</w:t>
            </w: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3"/>
              </w:rPr>
              <w:t>— $</w:t>
            </w:r>
          </w:p>
        </w:tc>
        <w:tc>
          <w:tcPr>
            <w:tcW w:w="4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85"/>
              </w:rPr>
              <w:t>—</w:t>
            </w: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4"/>
                <w:szCs w:val="14"/>
                <w:color w:val="auto"/>
              </w:rPr>
              <w:t>— $</w:t>
            </w: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ind w:left="700"/>
              <w:spacing w:after="0"/>
              <w:rPr>
                <w:sz w:val="20"/>
                <w:szCs w:val="20"/>
                <w:color w:val="auto"/>
              </w:rPr>
            </w:pPr>
            <w:r>
              <w:rPr>
                <w:rFonts w:ascii="Arial" w:cs="Arial" w:eastAsia="Arial" w:hAnsi="Arial"/>
                <w:sz w:val="14"/>
                <w:szCs w:val="14"/>
                <w:color w:val="auto"/>
                <w:w w:val="85"/>
              </w:rPr>
              <w:t>—</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64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Distributions to</w:t>
            </w:r>
          </w:p>
        </w:tc>
        <w:tc>
          <w:tcPr>
            <w:tcW w:w="8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28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ind w:left="7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color w:val="auto"/>
              </w:rPr>
              <w:t>members</w:t>
            </w: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60"/>
              <w:spacing w:after="0" w:line="132" w:lineRule="exact"/>
              <w:rPr>
                <w:sz w:val="20"/>
                <w:szCs w:val="20"/>
                <w:color w:val="auto"/>
              </w:rPr>
            </w:pPr>
            <w:r>
              <w:rPr>
                <w:rFonts w:ascii="Arial" w:cs="Arial" w:eastAsia="Arial" w:hAnsi="Arial"/>
                <w:sz w:val="14"/>
                <w:szCs w:val="14"/>
                <w:color w:val="auto"/>
              </w:rPr>
              <w:t>Repurchase of Class B</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Units</w:t>
            </w:r>
          </w:p>
        </w:tc>
        <w:tc>
          <w:tcPr>
            <w:tcW w:w="80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85"/>
              </w:rPr>
              <w:t>—</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5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2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w w:val="93"/>
              </w:rPr>
              <w:t>— $</w:t>
            </w:r>
          </w:p>
        </w:tc>
        <w:tc>
          <w:tcPr>
            <w:tcW w:w="42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19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60" w:type="dxa"/>
            <w:vAlign w:val="bottom"/>
            <w:shd w:val="clear" w:color="auto" w:fill="CCEEFF"/>
          </w:tcPr>
          <w:p>
            <w:pPr>
              <w:spacing w:after="0"/>
              <w:rPr>
                <w:sz w:val="9"/>
                <w:szCs w:val="9"/>
                <w:color w:val="auto"/>
              </w:rPr>
            </w:pPr>
          </w:p>
        </w:tc>
        <w:tc>
          <w:tcPr>
            <w:tcW w:w="260" w:type="dxa"/>
            <w:vAlign w:val="bottom"/>
            <w:gridSpan w:val="3"/>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70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March 31, 2021</w:t>
            </w:r>
          </w:p>
        </w:tc>
        <w:tc>
          <w:tcPr>
            <w:tcW w:w="80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934"/>
              <w:spacing w:after="0"/>
              <w:rPr>
                <w:sz w:val="20"/>
                <w:szCs w:val="20"/>
                <w:color w:val="auto"/>
              </w:rPr>
            </w:pPr>
            <w:r>
              <w:rPr>
                <w:rFonts w:ascii="Arial" w:cs="Arial" w:eastAsia="Arial" w:hAnsi="Arial"/>
                <w:sz w:val="17"/>
                <w:szCs w:val="17"/>
                <w:b w:val="1"/>
                <w:bCs w:val="1"/>
                <w:color w:val="auto"/>
              </w:rPr>
              <w:t>WM TECHNOLOGY, INC. AND SUBSIDIARIES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740" w:type="dxa"/>
            <w:vAlign w:val="bottom"/>
            <w:gridSpan w:val="2"/>
          </w:tcPr>
          <w:p>
            <w:pPr>
              <w:jc w:val="center"/>
              <w:ind w:left="97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934"/>
              <w:spacing w:after="0"/>
              <w:rPr>
                <w:sz w:val="20"/>
                <w:szCs w:val="20"/>
                <w:color w:val="auto"/>
              </w:rPr>
            </w:pPr>
            <w:r>
              <w:rPr>
                <w:rFonts w:ascii="Arial" w:cs="Arial" w:eastAsia="Arial" w:hAnsi="Arial"/>
                <w:sz w:val="17"/>
                <w:szCs w:val="17"/>
                <w:b w:val="1"/>
                <w:bCs w:val="1"/>
                <w:color w:val="auto"/>
                <w:w w:val="93"/>
              </w:rPr>
              <w:t>(Unaudited)</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6780" w:type="dxa"/>
            <w:vAlign w:val="bottom"/>
          </w:tcPr>
          <w:p>
            <w:pPr>
              <w:jc w:val="center"/>
              <w:ind w:left="1954"/>
              <w:spacing w:after="0"/>
              <w:rPr>
                <w:sz w:val="20"/>
                <w:szCs w:val="20"/>
                <w:color w:val="auto"/>
              </w:rPr>
            </w:pPr>
            <w:r>
              <w:rPr>
                <w:rFonts w:ascii="Arial" w:cs="Arial" w:eastAsia="Arial" w:hAnsi="Arial"/>
                <w:sz w:val="17"/>
                <w:szCs w:val="17"/>
                <w:b w:val="1"/>
                <w:bCs w:val="1"/>
                <w:color w:val="auto"/>
                <w:w w:val="90"/>
              </w:rPr>
              <w:t>(In thousands)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1220" w:type="dxa"/>
            <w:vAlign w:val="bottom"/>
            <w:tcBorders>
              <w:bottom w:val="single" w:sz="8" w:color="CCEEFF"/>
            </w:tcBorders>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19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Net (loss) income</w:t>
            </w: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(31,233)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7,731</w:t>
            </w: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income to net cash (used in) provided by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1,002</w:t>
            </w: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Change in fair value of warrant liability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Provision for doubtful accounts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Accounts receivable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1,760</w:t>
            </w: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expenses and other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w:t>
            </w: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1,578</w:t>
            </w: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w:t>
            </w:r>
          </w:p>
        </w:tc>
      </w:tr>
      <w:tr>
        <w:trPr>
          <w:trHeight w:val="211"/>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10,587</w:t>
            </w:r>
          </w:p>
        </w:tc>
      </w:tr>
      <w:tr>
        <w:trPr>
          <w:trHeight w:val="135"/>
        </w:trPr>
        <w:tc>
          <w:tcPr>
            <w:tcW w:w="1220" w:type="dxa"/>
            <w:vAlign w:val="bottom"/>
            <w:shd w:val="clear" w:color="auto" w:fill="CCEEFF"/>
          </w:tcPr>
          <w:p>
            <w:pPr>
              <w:spacing w:after="0"/>
              <w:rPr>
                <w:sz w:val="11"/>
                <w:szCs w:val="11"/>
                <w:color w:val="auto"/>
              </w:rPr>
            </w:pPr>
          </w:p>
        </w:tc>
        <w:tc>
          <w:tcPr>
            <w:tcW w:w="6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19"/>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r>
      <w:tr>
        <w:trPr>
          <w:trHeight w:val="218"/>
        </w:trPr>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Cash paid for acquisitions, net of cash acquired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Distributions to members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(10,513)</w:t>
            </w:r>
          </w:p>
        </w:tc>
      </w:tr>
      <w:tr>
        <w:trPr>
          <w:trHeight w:val="218"/>
        </w:trPr>
        <w:tc>
          <w:tcPr>
            <w:tcW w:w="8000" w:type="dxa"/>
            <w:vAlign w:val="bottom"/>
            <w:gridSpan w:val="2"/>
          </w:tcPr>
          <w:p>
            <w:pPr>
              <w:ind w:left="220"/>
              <w:spacing w:after="0"/>
              <w:rPr>
                <w:sz w:val="20"/>
                <w:szCs w:val="20"/>
                <w:color w:val="auto"/>
              </w:rPr>
            </w:pPr>
            <w:r>
              <w:rPr>
                <w:rFonts w:ascii="Arial" w:cs="Arial" w:eastAsia="Arial" w:hAnsi="Arial"/>
                <w:sz w:val="17"/>
                <w:szCs w:val="17"/>
                <w:color w:val="auto"/>
              </w:rPr>
              <w:t>Repurchase of Class B Units</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12"/>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(10,619)</w:t>
            </w:r>
          </w:p>
        </w:tc>
      </w:tr>
      <w:tr>
        <w:trPr>
          <w:trHeight w:val="135"/>
        </w:trPr>
        <w:tc>
          <w:tcPr>
            <w:tcW w:w="12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 cash</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8"/>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19,919</w:t>
            </w: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 end of period</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19,604</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12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Issuance of equity for acquisitions</w:t>
            </w: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28,725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Holdback liability recognized in connection with acquisition</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000" w:type="dxa"/>
            <w:vAlign w:val="bottom"/>
            <w:gridSpan w:val="2"/>
          </w:tcPr>
          <w:p>
            <w:pPr>
              <w:ind w:left="120"/>
              <w:spacing w:after="0"/>
              <w:rPr>
                <w:sz w:val="20"/>
                <w:szCs w:val="20"/>
                <w:color w:val="auto"/>
              </w:rPr>
            </w:pPr>
            <w:r>
              <w:rPr>
                <w:rFonts w:ascii="Arial" w:cs="Arial" w:eastAsia="Arial" w:hAnsi="Arial"/>
                <w:sz w:val="17"/>
                <w:szCs w:val="17"/>
                <w:color w:val="auto"/>
              </w:rPr>
              <w:t>Accrued liabilities assumed in connection with acquisition</w:t>
            </w:r>
          </w:p>
        </w:tc>
        <w:tc>
          <w:tcPr>
            <w:tcW w:w="960" w:type="dxa"/>
            <w:vAlign w:val="bottom"/>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Stock-based compensation capitalized for software development</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-4755515</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0"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(customer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69"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6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7"/>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March 31, 2022, and results of its operations and its cash flows for the interim periods presented. The results of operations for the three months ended March 31,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6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Accordingly, for accounting purposes, the Reverse Recapitalization was treated as the equivalent of Legacy WMH issuing stock for the net assets of Silver Spike, accompanied by a recapitalization.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Legacy WMH was determined to be the accounting acquirer based on evaluation of the following facts and circumstances:</w:t>
      </w:r>
    </w:p>
    <w:p>
      <w:pPr>
        <w:spacing w:after="0" w:line="114" w:lineRule="exact"/>
        <w:rPr>
          <w:sz w:val="20"/>
          <w:szCs w:val="20"/>
          <w:color w:val="auto"/>
        </w:rPr>
      </w:pPr>
    </w:p>
    <w:p>
      <w:pPr>
        <w:ind w:left="124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Class A Unit holders, through their ownership of the Class V Common Stock, have the greatest voting interest in the Company with over 50% of the voting interest;</w:t>
      </w:r>
    </w:p>
    <w:p>
      <w:pPr>
        <w:spacing w:after="0" w:line="61"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selected the majority of the new board of directors of the Company;</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senior management is the senior management of the Company; and</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is the larger entity based on historical operating activity and has the larger employee base.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Thus, the financial statements included in this quarterly report reflect (i) the historical operating results of Legacy WMH prior to the Business Combination;</w:t>
      </w:r>
    </w:p>
    <w:p>
      <w:pPr>
        <w:spacing w:after="0" w:line="45" w:lineRule="exact"/>
        <w:rPr>
          <w:sz w:val="20"/>
          <w:szCs w:val="20"/>
          <w:color w:val="auto"/>
        </w:rPr>
      </w:pPr>
    </w:p>
    <w:p>
      <w:pPr>
        <w:ind w:firstLine="3"/>
        <w:spacing w:after="0" w:line="266"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5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4"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 xml:space="preserve">The Company operates in a relatively new industry where laws and regulations vary significantly by jurisdiction. Currently, the majority of U.S. states permit medical cannabis, and several permit adult- use. However, under federal law, cannabis, other than hemp (defined by the U.S. government as </w:t>
      </w:r>
      <w:r>
        <w:rPr>
          <w:rFonts w:ascii="Arial" w:cs="Arial" w:eastAsia="Arial" w:hAnsi="Arial"/>
          <w:sz w:val="16"/>
          <w:szCs w:val="16"/>
          <w:i w:val="1"/>
          <w:iCs w:val="1"/>
          <w:color w:val="auto"/>
        </w:rPr>
        <w:t>Cannabis</w:t>
      </w:r>
      <w:r>
        <w:rPr>
          <w:rFonts w:ascii="Arial" w:cs="Arial" w:eastAsia="Arial" w:hAnsi="Arial"/>
          <w:sz w:val="16"/>
          <w:szCs w:val="16"/>
          <w:color w:val="auto"/>
        </w:rPr>
        <w:t xml:space="preserve"> </w:t>
      </w:r>
      <w:r>
        <w:rPr>
          <w:rFonts w:ascii="Arial" w:cs="Arial" w:eastAsia="Arial" w:hAnsi="Arial"/>
          <w:sz w:val="16"/>
          <w:szCs w:val="16"/>
          <w:i w:val="1"/>
          <w:iCs w:val="1"/>
          <w:color w:val="auto"/>
        </w:rPr>
        <w:t>sativa L</w:t>
      </w:r>
      <w:r>
        <w:rPr>
          <w:rFonts w:ascii="Arial" w:cs="Arial" w:eastAsia="Arial" w:hAnsi="Arial"/>
          <w:sz w:val="16"/>
          <w:szCs w:val="16"/>
          <w:color w:val="auto"/>
        </w:rPr>
        <w:t>. with a THC concentration of not more than 0.3% on a dry weight basis), is still a Schedule I controlled substance under the Controlled Substances Act</w:t>
      </w:r>
      <w:r>
        <w:rPr>
          <w:rFonts w:ascii="Arial" w:cs="Arial" w:eastAsia="Arial" w:hAnsi="Arial"/>
          <w:sz w:val="16"/>
          <w:szCs w:val="16"/>
          <w:i w:val="1"/>
          <w:iCs w:val="1"/>
          <w:color w:val="auto"/>
        </w:rPr>
        <w:t xml:space="preserve"> </w:t>
      </w:r>
      <w:r>
        <w:rPr>
          <w:rFonts w:ascii="Arial" w:cs="Arial" w:eastAsia="Arial" w:hAnsi="Arial"/>
          <w:sz w:val="16"/>
          <w:szCs w:val="16"/>
          <w:color w:val="auto"/>
        </w:rPr>
        <w:t>(“CSA”).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6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The Company follows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its financial assets and liabilities that are re-measured and reported at fair value at each reporting period.</w:t>
      </w:r>
    </w:p>
    <w:p>
      <w:pPr>
        <w:spacing w:after="0" w:line="6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0" w:lineRule="exact"/>
        <w:rPr>
          <w:sz w:val="20"/>
          <w:szCs w:val="20"/>
          <w:color w:val="auto"/>
        </w:rPr>
      </w:pPr>
    </w:p>
    <w:p>
      <w:pPr>
        <w:ind w:left="620" w:hanging="307"/>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3: Unobservable inputs based on the Company assessment of the assumptions that market participants would use in pricing the asset or liability.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Accounts receivable is recorded at the invoiced amount and does not bear interest.</w:t>
      </w:r>
    </w:p>
    <w:p>
      <w:pPr>
        <w:spacing w:after="0" w:line="114"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 xml:space="preserve">The Company measures credit losses on its trade accounts receivable using the current expected credit loss model under ASC 326 </w:t>
      </w:r>
      <w:r>
        <w:rPr>
          <w:rFonts w:ascii="Arial" w:cs="Arial" w:eastAsia="Arial" w:hAnsi="Arial"/>
          <w:sz w:val="17"/>
          <w:szCs w:val="17"/>
          <w:i w:val="1"/>
          <w:iCs w:val="1"/>
          <w:color w:val="auto"/>
        </w:rPr>
        <w:t>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w:t>
      </w:r>
      <w:r>
        <w:rPr>
          <w:rFonts w:ascii="Arial" w:cs="Arial" w:eastAsia="Arial" w:hAnsi="Arial"/>
          <w:sz w:val="17"/>
          <w:szCs w:val="17"/>
          <w:color w:val="auto"/>
        </w:rPr>
        <w:t>, which is based on the expected losses rather than incurred losses. Under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credit loss model, lifetime expected credit losses are measured and recognized at each reporting date based on historical, current and forecast information.</w:t>
      </w:r>
    </w:p>
    <w:p>
      <w:pPr>
        <w:spacing w:after="0" w:line="12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Account balances are written off against the allowance when it is determined that it is probable that the receivable will not be recovered. The Company recorded a provision for doubtful accounts of $7.2 million and $5.2 million as of March 31, 2022 and December 31, 2021,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Pr>
          <w:p>
            <w:pPr>
              <w:ind w:left="460"/>
              <w:spacing w:after="0"/>
              <w:rPr>
                <w:sz w:val="20"/>
                <w:szCs w:val="20"/>
                <w:color w:val="auto"/>
              </w:rPr>
            </w:pPr>
            <w:r>
              <w:rPr>
                <w:rFonts w:ascii="Arial" w:cs="Arial" w:eastAsia="Arial" w:hAnsi="Arial"/>
                <w:sz w:val="17"/>
                <w:szCs w:val="17"/>
                <w:color w:val="auto"/>
              </w:rPr>
              <w:t>The following table summarizes the changes in the allowance for doubtful accounts: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78"/>
        </w:trPr>
        <w:tc>
          <w:tcPr>
            <w:tcW w:w="776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r>
      <w:tr>
        <w:trPr>
          <w:trHeight w:val="213"/>
        </w:trPr>
        <w:tc>
          <w:tcPr>
            <w:tcW w:w="7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beginning of year</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91"/>
              </w:rPr>
              <w:t>914</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Addition to allowance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jc w:val="center"/>
              <w:ind w:left="14"/>
              <w:spacing w:after="0"/>
              <w:rPr>
                <w:sz w:val="20"/>
                <w:szCs w:val="20"/>
                <w:color w:val="auto"/>
              </w:rPr>
            </w:pPr>
            <w:r>
              <w:rPr>
                <w:rFonts w:ascii="Arial" w:cs="Arial" w:eastAsia="Arial" w:hAnsi="Arial"/>
                <w:sz w:val="17"/>
                <w:szCs w:val="17"/>
                <w:color w:val="auto"/>
                <w:w w:val="91"/>
              </w:rPr>
              <w:t>115</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 net of recoveries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(354)</w:t>
            </w:r>
          </w:p>
        </w:tc>
      </w:tr>
      <w:tr>
        <w:trPr>
          <w:trHeight w:val="213"/>
        </w:trPr>
        <w:tc>
          <w:tcPr>
            <w:tcW w:w="7760" w:type="dxa"/>
            <w:vAlign w:val="bottom"/>
          </w:tcPr>
          <w:p>
            <w:pPr>
              <w:ind w:left="20"/>
              <w:spacing w:after="0"/>
              <w:rPr>
                <w:sz w:val="20"/>
                <w:szCs w:val="20"/>
                <w:color w:val="auto"/>
              </w:rPr>
            </w:pPr>
            <w:r>
              <w:rPr>
                <w:rFonts w:ascii="Arial" w:cs="Arial" w:eastAsia="Arial" w:hAnsi="Arial"/>
                <w:sz w:val="17"/>
                <w:szCs w:val="17"/>
                <w:color w:val="auto"/>
              </w:rPr>
              <w:t>Allowance, end of period</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1"/>
              </w:rPr>
              <w:t>675</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Equity Securities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are accounted for at cost, less any impairment, plus or minus changes resulting from observable price changes in orderly transactions for an identical or similar investment of the same issuer. As of March 31,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7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lease costs for the three months ended March 31, 2022 and 2021 were $2.5 million and $2.9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14"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6"/>
          <w:szCs w:val="16"/>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March 31, 2022 of $7.9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All revenues during the periods presented were recognized over time, as opposed to at a point in time. All revenue has been generated in the United States during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cost of revenue primarily consists of web hosting, internet service costs, credit card processing costs and inventory costs related to multi-media offerings.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Costs</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The Company expenses the cost of advertising in the period incurred. Advertising expense totaled $4.9 million and $3.0 million for the three months ended March 31, 2022 and 2021, respectively, and are included in sales and marketing expense in the accompanying condensed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80"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66"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For the three months ended March 31, 2022, the Company recorded an income tax benefit of $1.7 million and for the three months ended March 31, 2021 an income tax provision of $0.2 million was recorded. The income tax benefit for the first quarter of 2022 was the result of the tax benefit of the Company’s pro rata share of losses and tax credits flowing through from WM Holding LLC.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During the period ended March 31, 2022, the Company acquired additional interest in WM Holding Company LLC (“LLC Interests”) in connection with the exchange of LLC Interests, and activity relating to its stock compensation plan. The Company recognized a deferred tax asset in the amount of $17.2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$5.6 million, and these amounts were recorded through equity.</w:t>
      </w:r>
    </w:p>
    <w:p>
      <w:pPr>
        <w:spacing w:after="0" w:line="80"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and its subsidiaries operate in one business segment.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61"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6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6"/>
          <w:szCs w:val="16"/>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Fair Value Measurements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2022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indicates the fair value hierarchy of the valuation inputs the Company utilized to determine such fair value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Level</w:t>
            </w: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2022</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Arial" w:cs="Arial" w:eastAsia="Arial" w:hAnsi="Arial"/>
                <w:sz w:val="17"/>
                <w:szCs w:val="17"/>
                <w:b w:val="1"/>
                <w:bCs w:val="1"/>
                <w:color w:val="auto"/>
                <w:w w:val="95"/>
              </w:rPr>
              <w:t>December 31, 2021</w:t>
            </w:r>
          </w:p>
        </w:tc>
      </w:tr>
      <w:tr>
        <w:trPr>
          <w:trHeight w:val="20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8"/>
        </w:trPr>
        <w:tc>
          <w:tcPr>
            <w:tcW w:w="5520" w:type="dxa"/>
            <w:vAlign w:val="bottom"/>
          </w:tcPr>
          <w:p>
            <w:pPr>
              <w:ind w:left="20"/>
              <w:spacing w:after="0"/>
              <w:rPr>
                <w:sz w:val="20"/>
                <w:szCs w:val="20"/>
                <w:color w:val="auto"/>
              </w:rPr>
            </w:pPr>
            <w:r>
              <w:rPr>
                <w:rFonts w:ascii="Arial" w:cs="Arial" w:eastAsia="Arial" w:hAnsi="Arial"/>
                <w:sz w:val="17"/>
                <w:szCs w:val="17"/>
                <w:color w:val="auto"/>
              </w:rPr>
              <w:t>Warrant liability – Public Warrants</w:t>
            </w: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27,500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16,750</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10,710</w:t>
            </w:r>
          </w:p>
        </w:tc>
      </w:tr>
      <w:tr>
        <w:trPr>
          <w:trHeight w:val="213"/>
        </w:trPr>
        <w:tc>
          <w:tcPr>
            <w:tcW w:w="5520" w:type="dxa"/>
            <w:vAlign w:val="bottom"/>
          </w:tcPr>
          <w:p>
            <w:pPr>
              <w:ind w:left="120"/>
              <w:spacing w:after="0"/>
              <w:rPr>
                <w:sz w:val="20"/>
                <w:szCs w:val="20"/>
                <w:color w:val="auto"/>
              </w:rPr>
            </w:pPr>
            <w:r>
              <w:rPr>
                <w:rFonts w:ascii="Arial" w:cs="Arial" w:eastAsia="Arial" w:hAnsi="Arial"/>
                <w:sz w:val="17"/>
                <w:szCs w:val="17"/>
                <w:color w:val="auto"/>
              </w:rPr>
              <w:t>Total warrant liability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-596900</wp:posOffset>
            </wp:positionV>
            <wp:extent cx="5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-596900</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-596900</wp:posOffset>
            </wp:positionV>
            <wp:extent cx="5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changes in the fair value of the warrant liabilities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ind w:left="780"/>
              <w:spacing w:after="0"/>
              <w:rPr>
                <w:sz w:val="20"/>
                <w:szCs w:val="20"/>
                <w:color w:val="auto"/>
              </w:rPr>
            </w:pPr>
            <w:r>
              <w:rPr>
                <w:rFonts w:ascii="Arial" w:cs="Arial" w:eastAsia="Arial" w:hAnsi="Arial"/>
                <w:sz w:val="17"/>
                <w:szCs w:val="17"/>
                <w:b w:val="1"/>
                <w:bCs w:val="1"/>
                <w:color w:val="auto"/>
              </w:rPr>
              <w:t>Three months ended March 31, 2022</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Public Warrants</w:t>
            </w: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220" w:type="dxa"/>
            <w:vAlign w:val="bottom"/>
          </w:tcPr>
          <w:p>
            <w:pPr>
              <w:spacing w:after="0"/>
              <w:rPr>
                <w:sz w:val="14"/>
                <w:szCs w:val="14"/>
                <w:color w:val="auto"/>
              </w:rPr>
            </w:pPr>
          </w:p>
        </w:tc>
        <w:tc>
          <w:tcPr>
            <w:tcW w:w="12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Warrant</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Warrants</w:t>
            </w:r>
          </w:p>
        </w:tc>
        <w:tc>
          <w:tcPr>
            <w:tcW w:w="220" w:type="dxa"/>
            <w:vAlign w:val="bottom"/>
          </w:tcPr>
          <w:p>
            <w:pPr>
              <w:spacing w:after="0"/>
              <w:rPr>
                <w:sz w:val="19"/>
                <w:szCs w:val="19"/>
                <w:color w:val="auto"/>
              </w:rPr>
            </w:pPr>
          </w:p>
        </w:tc>
        <w:tc>
          <w:tcPr>
            <w:tcW w:w="1200" w:type="dxa"/>
            <w:vAlign w:val="bottom"/>
          </w:tcPr>
          <w:p>
            <w:pPr>
              <w:jc w:val="right"/>
              <w:ind w:right="25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16,750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27,460</w:t>
            </w:r>
          </w:p>
        </w:tc>
        <w:tc>
          <w:tcPr>
            <w:tcW w:w="0" w:type="dxa"/>
            <w:vAlign w:val="bottom"/>
          </w:tcPr>
          <w:p>
            <w:pPr>
              <w:spacing w:after="0"/>
              <w:rPr>
                <w:sz w:val="1"/>
                <w:szCs w:val="1"/>
                <w:color w:val="auto"/>
              </w:rPr>
            </w:pPr>
          </w:p>
        </w:tc>
      </w:tr>
      <w:tr>
        <w:trPr>
          <w:trHeight w:val="21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9"/>
              </w:rPr>
              <w:t>10,750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18,219</w:t>
            </w:r>
          </w:p>
        </w:tc>
        <w:tc>
          <w:tcPr>
            <w:tcW w:w="0" w:type="dxa"/>
            <w:vAlign w:val="bottom"/>
          </w:tcPr>
          <w:p>
            <w:pPr>
              <w:spacing w:after="0"/>
              <w:rPr>
                <w:sz w:val="1"/>
                <w:szCs w:val="1"/>
                <w:color w:val="auto"/>
              </w:rPr>
            </w:pPr>
          </w:p>
        </w:tc>
      </w:tr>
      <w:tr>
        <w:trPr>
          <w:trHeight w:val="238"/>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27,500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Warrants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$27.5 million and $16.8 million as of March 31, 2022 and December 31, 2021, respectively.</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Placement Warrants</w:t>
      </w:r>
    </w:p>
    <w:p>
      <w:pPr>
        <w:spacing w:after="0" w:line="114"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inputs at their measurement dates: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 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December 31, 2021</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11.50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11.50</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Stock price</w:t>
            </w:r>
          </w:p>
        </w:tc>
        <w:tc>
          <w:tcPr>
            <w:tcW w:w="1800" w:type="dxa"/>
            <w:vAlign w:val="bottom"/>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tcPr>
          <w:p>
            <w:pPr>
              <w:jc w:val="right"/>
              <w:ind w:right="114"/>
              <w:spacing w:after="0"/>
              <w:rPr>
                <w:sz w:val="20"/>
                <w:szCs w:val="20"/>
                <w:color w:val="auto"/>
              </w:rPr>
            </w:pPr>
            <w:r>
              <w:rPr>
                <w:rFonts w:ascii="Arial" w:cs="Arial" w:eastAsia="Arial" w:hAnsi="Arial"/>
                <w:sz w:val="17"/>
                <w:szCs w:val="17"/>
                <w:color w:val="auto"/>
              </w:rPr>
              <w:t>5.98</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52.4 %</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Term (years)</w:t>
            </w:r>
          </w:p>
        </w:tc>
        <w:tc>
          <w:tcPr>
            <w:tcW w:w="1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r>
    </w:tbl>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Private Placement Warrants was $18.2 million and $10.7 million as of March 31, 2022 and December 31, 2021, respectively.</w:t>
      </w:r>
    </w:p>
    <w:p>
      <w:pPr>
        <w:spacing w:after="0" w:line="12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transfers in or out of Level 3 from other levels in the fair value hierarchy.</w:t>
      </w:r>
    </w:p>
    <w:p>
      <w:pPr>
        <w:spacing w:after="0" w:line="211" w:lineRule="exact"/>
        <w:rPr>
          <w:sz w:val="20"/>
          <w:szCs w:val="20"/>
          <w:color w:val="auto"/>
        </w:rPr>
      </w:pPr>
    </w:p>
    <w:p>
      <w:pPr>
        <w:ind w:left="340" w:hanging="337"/>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previously discussed in Note 1, on June 16, 2021, the Company consummated the Business Combination pursuant to the Merger Agreement.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Silver Spike was domesticated and continues as a Delaware corporation, changing its name to “WM Technology, Inc.”</w:t>
      </w:r>
    </w:p>
    <w:p>
      <w:pPr>
        <w:spacing w:after="0" w:line="113"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1" w:lineRule="exact"/>
        <w:rPr>
          <w:rFonts w:ascii="Arial" w:cs="Arial" w:eastAsia="Arial" w:hAnsi="Arial"/>
          <w:sz w:val="17"/>
          <w:szCs w:val="17"/>
          <w:color w:val="auto"/>
        </w:rPr>
      </w:pPr>
    </w:p>
    <w:p>
      <w:pPr>
        <w:jc w:val="both"/>
        <w:ind w:left="620" w:hanging="307"/>
        <w:spacing w:after="0" w:line="292"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Arial" w:cs="Arial" w:eastAsia="Arial" w:hAnsi="Arial"/>
          <w:sz w:val="15"/>
          <w:szCs w:val="15"/>
          <w:color w:val="auto"/>
        </w:rPr>
      </w:pPr>
      <w:r>
        <w:rPr>
          <w:rFonts w:ascii="Arial" w:cs="Arial" w:eastAsia="Arial" w:hAnsi="Arial"/>
          <w:sz w:val="17"/>
          <w:szCs w:val="17"/>
          <w:color w:val="auto"/>
        </w:rPr>
        <w:t>(d) the aggregate amount of transaction expenses incurred by the parties to the Business Combination Agreement.</w:t>
      </w:r>
    </w:p>
    <w:p>
      <w:pPr>
        <w:spacing w:after="0" w:line="103" w:lineRule="exact"/>
        <w:rPr>
          <w:rFonts w:ascii="Arial" w:cs="Arial" w:eastAsia="Arial" w:hAnsi="Arial"/>
          <w:sz w:val="15"/>
          <w:szCs w:val="15"/>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transferred $455.2 million to the Legacy WMH equity holders as cash consideration.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Legacy WMH equity holders retained an aggregate of 65,502,347 Class A Units and 25,896,042 Class P Units.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65,502,347 shares of Class V Common Stock to Class A Unit holders, representing the same number of Class A Units retained by the Legacy WMH equity holders.</w:t>
      </w:r>
    </w:p>
    <w:p>
      <w:pPr>
        <w:spacing w:after="0" w:line="61" w:lineRule="exact"/>
        <w:rPr>
          <w:rFonts w:ascii="Arial" w:cs="Arial" w:eastAsia="Arial" w:hAnsi="Arial"/>
          <w:sz w:val="17"/>
          <w:szCs w:val="17"/>
          <w:color w:val="auto"/>
        </w:rPr>
      </w:pPr>
    </w:p>
    <w:p>
      <w:pPr>
        <w:jc w:val="both"/>
        <w:ind w:left="620" w:hanging="307"/>
        <w:spacing w:after="0" w:line="302" w:lineRule="auto"/>
        <w:tabs>
          <w:tab w:leader="none" w:pos="61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46" w:lineRule="exact"/>
        <w:rPr>
          <w:sz w:val="20"/>
          <w:szCs w:val="20"/>
          <w:color w:val="auto"/>
        </w:rPr>
      </w:pPr>
    </w:p>
    <w:p>
      <w:pPr>
        <w:ind w:left="340" w:hanging="337"/>
        <w:spacing w:after="0"/>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Eyechronic</w:t>
      </w:r>
    </w:p>
    <w:p>
      <w:pPr>
        <w:spacing w:after="0" w:line="23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20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The acquired assets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9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Cash consideration </w:t>
            </w:r>
            <w:r>
              <w:rPr>
                <w:rFonts w:ascii="Arial" w:cs="Arial" w:eastAsia="Arial" w:hAnsi="Arial"/>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 xml:space="preserve">Share consideration </w:t>
            </w:r>
            <w:r>
              <w:rPr>
                <w:rFonts w:ascii="Arial" w:cs="Arial" w:eastAsia="Arial" w:hAnsi="Arial"/>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28,725</w:t>
            </w: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2" w:lineRule="exact"/>
        <w:rPr>
          <w:sz w:val="20"/>
          <w:szCs w:val="20"/>
          <w:color w:val="auto"/>
        </w:rPr>
      </w:pPr>
    </w:p>
    <w:p>
      <w:pPr>
        <w:ind w:left="320" w:hanging="240"/>
        <w:spacing w:after="0" w:line="221"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$0.2 million settlement of pre-existing accounts payable with seller and holdback of $0.1 million recorded within other liabilities on the Company’s condensed consolidated balance sheets.</w:t>
      </w:r>
    </w:p>
    <w:p>
      <w:pPr>
        <w:ind w:left="320" w:hanging="240"/>
        <w:spacing w:after="0" w:line="235"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20" w:type="dxa"/>
            <w:vAlign w:val="bottom"/>
          </w:tcPr>
          <w:p>
            <w:pPr>
              <w:jc w:val="center"/>
              <w:ind w:left="1334"/>
              <w:spacing w:after="0"/>
              <w:rPr>
                <w:sz w:val="20"/>
                <w:szCs w:val="20"/>
                <w:color w:val="auto"/>
              </w:rPr>
            </w:pPr>
            <w:r>
              <w:rPr>
                <w:rFonts w:ascii="Arial" w:cs="Arial" w:eastAsia="Arial" w:hAnsi="Arial"/>
                <w:sz w:val="17"/>
                <w:szCs w:val="17"/>
                <w:b w:val="1"/>
                <w:bCs w:val="1"/>
                <w:color w:val="auto"/>
              </w:rPr>
              <w:t>WM TECHNOLOGY, INC. AND SUBSIDIARIES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9820" w:type="dxa"/>
            <w:vAlign w:val="bottom"/>
          </w:tcPr>
          <w:p>
            <w:pPr>
              <w:jc w:val="center"/>
              <w:ind w:left="1354"/>
              <w:spacing w:after="0"/>
              <w:rPr>
                <w:sz w:val="20"/>
                <w:szCs w:val="20"/>
                <w:color w:val="auto"/>
              </w:rPr>
            </w:pPr>
            <w:r>
              <w:rPr>
                <w:rFonts w:ascii="Arial" w:cs="Arial" w:eastAsia="Arial" w:hAnsi="Arial"/>
                <w:sz w:val="17"/>
                <w:szCs w:val="17"/>
                <w:b w:val="1"/>
                <w:bCs w:val="1"/>
                <w:color w:val="auto"/>
              </w:rPr>
              <w:t>NOTES TO CONDENSED CONSOLIDATED FINANCIAL STATEMENTS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9820" w:type="dxa"/>
            <w:vAlign w:val="bottom"/>
          </w:tcPr>
          <w:p>
            <w:pPr>
              <w:jc w:val="center"/>
              <w:ind w:left="1334"/>
              <w:spacing w:after="0"/>
              <w:rPr>
                <w:sz w:val="20"/>
                <w:szCs w:val="20"/>
                <w:color w:val="auto"/>
              </w:rPr>
            </w:pPr>
            <w:r>
              <w:rPr>
                <w:rFonts w:ascii="Arial" w:cs="Arial" w:eastAsia="Arial" w:hAnsi="Arial"/>
                <w:sz w:val="17"/>
                <w:szCs w:val="17"/>
                <w:b w:val="1"/>
                <w:bCs w:val="1"/>
                <w:color w:val="auto"/>
                <w:w w:val="93"/>
              </w:rPr>
              <w:t>(Unaudited)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890"/>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Estimated Assets Acquired and Liabilities Assumed: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Cash</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receivable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w:t>
            </w: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Other current assets</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2,826</w:t>
            </w: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Software technology</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1,877</w:t>
            </w: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Customer relationships</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3,779</w:t>
            </w: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20,427</w:t>
            </w:r>
          </w:p>
        </w:tc>
      </w:tr>
      <w:tr>
        <w:trPr>
          <w:trHeight w:val="211"/>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30,008</w:t>
            </w:r>
          </w:p>
        </w:tc>
      </w:tr>
      <w:tr>
        <w:trPr>
          <w:trHeight w:val="226"/>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Other current liabilities</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8"/>
        </w:trPr>
        <w:tc>
          <w:tcPr>
            <w:tcW w:w="98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liabilities</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2"/>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26"/>
        </w:trPr>
        <w:tc>
          <w:tcPr>
            <w:tcW w:w="9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three months ended March 31, 2022, the Company incurred transaction expenses associated with the Eyechronic acquisition of $0.1 million, which is included in general and administrative expenses in the condensed consolidated statements of operations.</w:t>
      </w:r>
    </w:p>
    <w:p>
      <w:pPr>
        <w:spacing w:after="0" w:line="19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revenue and operating loss from Eyechronic included the Company’s condensed consolidated statements of operations for the period from January 14, 2022 (acquisition date) through March 31, 2022 were $0.8 million and $0.4 million respectively. Pro forma revenue and earnings amounts on a combined basis have not been presented as they are not material to the Company’s historical pre-acquisition financial statements.</w:t>
      </w:r>
    </w:p>
    <w:p>
      <w:pPr>
        <w:spacing w:after="0" w:line="20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Sprout</w:t>
      </w:r>
    </w:p>
    <w:p>
      <w:pPr>
        <w:spacing w:after="0" w:line="23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5"/>
          <w:szCs w:val="15"/>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Software technology</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18"/>
        </w:trPr>
        <w:tc>
          <w:tcPr>
            <w:tcW w:w="9820" w:type="dxa"/>
            <w:vAlign w:val="bottom"/>
          </w:tcPr>
          <w:p>
            <w:pPr>
              <w:ind w:left="120"/>
              <w:spacing w:after="0"/>
              <w:rPr>
                <w:sz w:val="20"/>
                <w:szCs w:val="20"/>
                <w:color w:val="auto"/>
              </w:rPr>
            </w:pPr>
            <w:r>
              <w:rPr>
                <w:rFonts w:ascii="Arial" w:cs="Arial" w:eastAsia="Arial" w:hAnsi="Arial"/>
                <w:sz w:val="17"/>
                <w:szCs w:val="17"/>
                <w:color w:val="auto"/>
              </w:rPr>
              <w:t>Customer relationships</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1,410</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26,686</w:t>
            </w:r>
          </w:p>
        </w:tc>
        <w:tc>
          <w:tcPr>
            <w:tcW w:w="0" w:type="dxa"/>
            <w:vAlign w:val="bottom"/>
          </w:tcPr>
          <w:p>
            <w:pPr>
              <w:spacing w:after="0"/>
              <w:rPr>
                <w:sz w:val="1"/>
                <w:szCs w:val="1"/>
                <w:color w:val="auto"/>
              </w:rPr>
            </w:pPr>
          </w:p>
        </w:tc>
      </w:tr>
      <w:tr>
        <w:trPr>
          <w:trHeight w:val="211"/>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31,286</w:t>
            </w:r>
          </w:p>
        </w:tc>
        <w:tc>
          <w:tcPr>
            <w:tcW w:w="0" w:type="dxa"/>
            <w:vAlign w:val="bottom"/>
          </w:tcPr>
          <w:p>
            <w:pPr>
              <w:spacing w:after="0"/>
              <w:rPr>
                <w:sz w:val="1"/>
                <w:szCs w:val="1"/>
                <w:color w:val="auto"/>
              </w:rPr>
            </w:pPr>
          </w:p>
        </w:tc>
      </w:tr>
      <w:tr>
        <w:trPr>
          <w:trHeight w:val="226"/>
        </w:trPr>
        <w:tc>
          <w:tcPr>
            <w:tcW w:w="9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3"/>
        </w:trPr>
        <w:tc>
          <w:tcPr>
            <w:tcW w:w="9820" w:type="dxa"/>
            <w:vAlign w:val="bottom"/>
          </w:tcPr>
          <w:p>
            <w:pPr>
              <w:ind w:left="20"/>
              <w:spacing w:after="0"/>
              <w:rPr>
                <w:sz w:val="20"/>
                <w:szCs w:val="20"/>
                <w:color w:val="auto"/>
              </w:rPr>
            </w:pPr>
            <w:r>
              <w:rPr>
                <w:rFonts w:ascii="Arial" w:cs="Arial" w:eastAsia="Arial" w:hAnsi="Arial"/>
                <w:sz w:val="17"/>
                <w:szCs w:val="17"/>
                <w:color w:val="auto"/>
              </w:rPr>
              <w:t>Total net assets acquired</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12" w:lineRule="exact"/>
        <w:rPr>
          <w:sz w:val="20"/>
          <w:szCs w:val="20"/>
          <w:color w:val="auto"/>
        </w:rPr>
      </w:pPr>
    </w:p>
    <w:p>
      <w:pPr>
        <w:ind w:left="320" w:hanging="317"/>
        <w:spacing w:after="0" w:line="235"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revenue and operating loss from Sprout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20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Transport Logistics Holding</w:t>
      </w:r>
    </w:p>
    <w:p>
      <w:pPr>
        <w:spacing w:after="0" w:line="23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20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Cash consideration </w:t>
            </w:r>
            <w:r>
              <w:rPr>
                <w:rFonts w:ascii="Arial" w:cs="Arial" w:eastAsia="Arial" w:hAnsi="Arial"/>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____________________________________</w:t>
      </w:r>
    </w:p>
    <w:p>
      <w:pPr>
        <w:ind w:left="920" w:hanging="298"/>
        <w:spacing w:after="0" w:line="236"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holdback of $1.0 million recorded within other current liabilities on the Company’s condensed consolidated balance sheets.</w:t>
      </w:r>
    </w:p>
    <w:p>
      <w:pPr>
        <w:ind w:left="940" w:hanging="318"/>
        <w:spacing w:after="0" w:line="235" w:lineRule="auto"/>
        <w:tabs>
          <w:tab w:leader="none" w:pos="9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0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revenue and operating loss from TLH included the Company’s condensed consolidated statements of operations for the three months ended March 31, 2022 were not material. Pro forma revenue and earnings amounts on a combined basis have not been presented as they are not material to the Company’s historical pre-acquisition financial statements.</w:t>
      </w:r>
    </w:p>
    <w:p>
      <w:pPr>
        <w:spacing w:after="0" w:line="201"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20" w:type="dxa"/>
            <w:vAlign w:val="bottom"/>
          </w:tcPr>
          <w:p>
            <w:pPr>
              <w:spacing w:after="0"/>
              <w:rPr>
                <w:sz w:val="20"/>
                <w:szCs w:val="20"/>
                <w:color w:val="auto"/>
              </w:rPr>
            </w:pPr>
            <w:r>
              <w:rPr>
                <w:rFonts w:ascii="Arial" w:cs="Arial" w:eastAsia="Arial" w:hAnsi="Arial"/>
                <w:sz w:val="17"/>
                <w:szCs w:val="17"/>
                <w:b w:val="1"/>
                <w:bCs w:val="1"/>
                <w:color w:val="auto"/>
              </w:rPr>
              <w:t>7.   Goodwill and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9820" w:type="dxa"/>
            <w:vAlign w:val="bottom"/>
          </w:tcPr>
          <w:p>
            <w:pPr>
              <w:ind w:left="620"/>
              <w:spacing w:after="0"/>
              <w:rPr>
                <w:sz w:val="20"/>
                <w:szCs w:val="20"/>
                <w:color w:val="auto"/>
              </w:rPr>
            </w:pPr>
            <w:r>
              <w:rPr>
                <w:rFonts w:ascii="Arial" w:cs="Arial" w:eastAsia="Arial" w:hAnsi="Arial"/>
                <w:sz w:val="17"/>
                <w:szCs w:val="17"/>
                <w:color w:val="auto"/>
              </w:rPr>
              <w:t>A summary of changes in goodwill for the three months ended March 31, 2022 is as follows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2"/>
        </w:trPr>
        <w:tc>
          <w:tcPr>
            <w:tcW w:w="98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Goodwill</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45,295</w:t>
            </w: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 of Eyechronic</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20,427</w:t>
            </w: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2022</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as of March 31, 2022 and December 31, 2021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840"/>
              <w:spacing w:after="0"/>
              <w:rPr>
                <w:sz w:val="20"/>
                <w:szCs w:val="20"/>
                <w:color w:val="auto"/>
              </w:rPr>
            </w:pPr>
            <w:r>
              <w:rPr>
                <w:rFonts w:ascii="Arial" w:cs="Arial" w:eastAsia="Arial" w:hAnsi="Arial"/>
                <w:sz w:val="17"/>
                <w:szCs w:val="17"/>
                <w:b w:val="1"/>
                <w:bCs w:val="1"/>
                <w:color w:val="auto"/>
              </w:rPr>
              <w:t>March 31, 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6"/>
          </w:tcPr>
          <w:p>
            <w:pPr>
              <w:jc w:val="center"/>
              <w:ind w:right="34"/>
              <w:spacing w:after="0" w:line="162" w:lineRule="exact"/>
              <w:rPr>
                <w:sz w:val="20"/>
                <w:szCs w:val="20"/>
                <w:color w:val="auto"/>
              </w:rPr>
            </w:pPr>
            <w:r>
              <w:rPr>
                <w:rFonts w:ascii="Arial" w:cs="Arial" w:eastAsia="Arial" w:hAnsi="Arial"/>
                <w:sz w:val="17"/>
                <w:szCs w:val="17"/>
                <w:b w:val="1"/>
                <w:bCs w:val="1"/>
                <w:color w:val="auto"/>
                <w:w w:val="90"/>
              </w:rPr>
              <w:t>Weighted Average</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0"/>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w w:val="99"/>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6"/>
              </w:rPr>
              <w:t>Net Intangible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left="94"/>
              <w:spacing w:after="0" w:line="167" w:lineRule="exact"/>
              <w:rPr>
                <w:sz w:val="20"/>
                <w:szCs w:val="20"/>
                <w:color w:val="auto"/>
              </w:rPr>
            </w:pPr>
            <w:r>
              <w:rPr>
                <w:rFonts w:ascii="Arial" w:cs="Arial" w:eastAsia="Arial" w:hAnsi="Arial"/>
                <w:sz w:val="17"/>
                <w:szCs w:val="17"/>
                <w:b w:val="1"/>
                <w:bCs w:val="1"/>
                <w:color w:val="auto"/>
                <w:w w:val="94"/>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7"/>
                <w:szCs w:val="17"/>
                <w:b w:val="1"/>
                <w:bCs w:val="1"/>
                <w:color w:val="auto"/>
                <w:w w:val="91"/>
              </w:rPr>
              <w:t>Period (Years)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2"/>
              </w:rPr>
              <w:t>Assets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Assets</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0"/>
              </w:rPr>
              <w:t>14.4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3,402</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2"/>
              </w:rPr>
              <w:t>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8,568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(3,487)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5,081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2"/>
              </w:rPr>
              <w:t>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5,005</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2"/>
              </w:rPr>
              <w:t>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21,568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(8,080)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Arial" w:cs="Arial" w:eastAsia="Arial" w:hAnsi="Arial"/>
                <w:sz w:val="17"/>
                <w:szCs w:val="17"/>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2" w:lineRule="exact"/>
              <w:rPr>
                <w:sz w:val="20"/>
                <w:szCs w:val="20"/>
                <w:color w:val="auto"/>
              </w:rPr>
            </w:pPr>
            <w:r>
              <w:rPr>
                <w:rFonts w:ascii="Arial" w:cs="Arial" w:eastAsia="Arial" w:hAnsi="Arial"/>
                <w:sz w:val="17"/>
                <w:szCs w:val="17"/>
                <w:b w:val="1"/>
                <w:bCs w:val="1"/>
                <w:color w:val="auto"/>
                <w:w w:val="88"/>
              </w:rPr>
              <w:t>Weighted Average</w:t>
            </w:r>
          </w:p>
        </w:tc>
        <w:tc>
          <w:tcPr>
            <w:tcW w:w="80" w:type="dxa"/>
            <w:vAlign w:val="bottom"/>
          </w:tcPr>
          <w:p>
            <w:pPr>
              <w:spacing w:after="0"/>
              <w:rPr>
                <w:sz w:val="14"/>
                <w:szCs w:val="14"/>
                <w:color w:val="auto"/>
              </w:rPr>
            </w:pPr>
          </w:p>
        </w:tc>
        <w:tc>
          <w:tcPr>
            <w:tcW w:w="1440" w:type="dxa"/>
            <w:vAlign w:val="bottom"/>
            <w:gridSpan w:val="5"/>
            <w:vMerge w:val="restart"/>
          </w:tcPr>
          <w:p>
            <w:pPr>
              <w:jc w:val="center"/>
              <w:ind w:right="200"/>
              <w:spacing w:after="0"/>
              <w:rPr>
                <w:sz w:val="20"/>
                <w:szCs w:val="20"/>
                <w:color w:val="auto"/>
              </w:rPr>
            </w:pPr>
            <w:r>
              <w:rPr>
                <w:rFonts w:ascii="Arial" w:cs="Arial" w:eastAsia="Arial" w:hAnsi="Arial"/>
                <w:sz w:val="17"/>
                <w:szCs w:val="17"/>
                <w:b w:val="1"/>
                <w:bCs w:val="1"/>
                <w:color w:val="auto"/>
                <w:w w:val="92"/>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7" w:lineRule="exact"/>
              <w:rPr>
                <w:sz w:val="20"/>
                <w:szCs w:val="20"/>
                <w:color w:val="auto"/>
              </w:rPr>
            </w:pPr>
            <w:r>
              <w:rPr>
                <w:rFonts w:ascii="Arial" w:cs="Arial" w:eastAsia="Arial" w:hAnsi="Arial"/>
                <w:sz w:val="17"/>
                <w:szCs w:val="17"/>
                <w:b w:val="1"/>
                <w:bCs w:val="1"/>
                <w:color w:val="auto"/>
                <w:w w:val="96"/>
              </w:rPr>
              <w:t>Amortization</w:t>
            </w:r>
          </w:p>
        </w:tc>
        <w:tc>
          <w:tcPr>
            <w:tcW w:w="8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w w:val="91"/>
              </w:rPr>
              <w:t>Net Intangible Assets</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Period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Amortization</w:t>
            </w: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14.3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3,451</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84"/>
              </w:rPr>
              <w:t>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3,469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90"/>
              </w:rPr>
              <w:t>10.4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15,803</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2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for intangible assets was $0.6 million and $0.2 million during the three months ended March 31, 2022 and 2021, respectively.</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future amortization expense of intangible assets as of March 31, 2022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325755</wp:posOffset>
            </wp:positionV>
            <wp:extent cx="680593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Remaining period in 2022 (nine months)</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2024</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2026</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60960</wp:posOffset>
            </wp:positionV>
            <wp:extent cx="13538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500"/>
          </w:cols>
          <w:pgMar w:left="320" w:top="127" w:right="239" w:bottom="1440" w:gutter="0" w:footer="0" w:header="0"/>
          <w:type w:val="continuous"/>
        </w:sectPr>
      </w:pPr>
    </w:p>
    <w:p>
      <w:pPr>
        <w:spacing w:after="0" w:line="187"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liabilities as of March 31, 2022 and December 31, 2021 consisted of the following (in thousands):</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March 31, 2022</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December 31, 2</w:t>
            </w:r>
          </w:p>
        </w:tc>
      </w:tr>
      <w:tr>
        <w:trPr>
          <w:trHeight w:val="213"/>
        </w:trPr>
        <w:tc>
          <w:tcPr>
            <w:tcW w:w="62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6,378</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rPr>
              <w:t>$</w:t>
            </w:r>
          </w:p>
        </w:tc>
      </w:tr>
      <w:tr>
        <w:trPr>
          <w:trHeight w:val="218"/>
        </w:trPr>
        <w:tc>
          <w:tcPr>
            <w:tcW w:w="6220" w:type="dxa"/>
            <w:vAlign w:val="bottom"/>
          </w:tcPr>
          <w:p>
            <w:pPr>
              <w:ind w:left="640"/>
              <w:spacing w:after="0"/>
              <w:rPr>
                <w:sz w:val="20"/>
                <w:szCs w:val="20"/>
                <w:color w:val="auto"/>
              </w:rPr>
            </w:pPr>
            <w:r>
              <w:rPr>
                <w:rFonts w:ascii="Arial" w:cs="Arial" w:eastAsia="Arial" w:hAnsi="Arial"/>
                <w:sz w:val="17"/>
                <w:szCs w:val="17"/>
                <w:color w:val="auto"/>
              </w:rPr>
              <w:t>Accrued employee expenses</w:t>
            </w:r>
          </w:p>
        </w:tc>
        <w:tc>
          <w:tcPr>
            <w:tcW w:w="8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9,965</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6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accrued liabilities</w:t>
            </w:r>
          </w:p>
        </w:tc>
        <w:tc>
          <w:tcPr>
            <w:tcW w:w="8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6,012</w:t>
            </w:r>
          </w:p>
        </w:tc>
        <w:tc>
          <w:tcPr>
            <w:tcW w:w="8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r>
      <w:tr>
        <w:trPr>
          <w:trHeight w:val="212"/>
        </w:trPr>
        <w:tc>
          <w:tcPr>
            <w:tcW w:w="6220" w:type="dxa"/>
            <w:vAlign w:val="bottom"/>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22,355</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rPr>
              <w:t>$</w:t>
            </w:r>
          </w:p>
        </w:tc>
      </w:tr>
      <w:tr>
        <w:trPr>
          <w:trHeight w:val="20"/>
        </w:trPr>
        <w:tc>
          <w:tcPr>
            <w:tcW w:w="6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-605155</wp:posOffset>
            </wp:positionV>
            <wp:extent cx="5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-605155</wp:posOffset>
            </wp:positionV>
            <wp:extent cx="5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5" w:lineRule="exact"/>
        <w:rPr>
          <w:sz w:val="20"/>
          <w:szCs w:val="20"/>
          <w:color w:val="auto"/>
        </w:rPr>
      </w:pPr>
    </w:p>
    <w:p>
      <w:pPr>
        <w:ind w:left="340" w:hanging="337"/>
        <w:spacing w:after="0"/>
        <w:tabs>
          <w:tab w:leader="none" w:pos="3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Warrant Liability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March 31, 2022, there were 12,499,973 Public Warrants outstanding and 7,000,000 Private Placement Warrants outstanding.</w:t>
      </w:r>
    </w:p>
    <w:p>
      <w:pPr>
        <w:spacing w:after="0" w:line="114" w:lineRule="exact"/>
        <w:rPr>
          <w:sz w:val="20"/>
          <w:szCs w:val="20"/>
          <w:color w:val="auto"/>
        </w:rPr>
      </w:pPr>
    </w:p>
    <w:p>
      <w:pPr>
        <w:jc w:val="both"/>
        <w:ind w:right="100" w:firstLine="464"/>
        <w:spacing w:after="0" w:line="283"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0"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80" w:lineRule="exact"/>
        <w:rPr>
          <w:sz w:val="20"/>
          <w:szCs w:val="20"/>
          <w:color w:val="auto"/>
        </w:rPr>
      </w:pPr>
    </w:p>
    <w:p>
      <w:pPr>
        <w:jc w:val="both"/>
        <w:ind w:right="100" w:firstLine="464"/>
        <w:spacing w:after="0" w:line="274"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may exercise its redemption right even if it is unable to register or qualify the underlying securities for sale under all applicable state securities laws.</w:t>
      </w:r>
    </w:p>
    <w:p>
      <w:pPr>
        <w:spacing w:after="0" w:line="6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was remeasured as of March 31, 2022, resulting in a non-cash loss of $18.2 million in the condensed consolidated statements of operations for the three months ended March 31, 2022.</w:t>
      </w:r>
    </w:p>
    <w:p>
      <w:pPr>
        <w:spacing w:after="0" w:line="172" w:lineRule="exact"/>
        <w:rPr>
          <w:sz w:val="20"/>
          <w:szCs w:val="20"/>
          <w:color w:val="auto"/>
        </w:rPr>
      </w:pPr>
    </w:p>
    <w:p>
      <w:pPr>
        <w:ind w:left="440" w:hanging="437"/>
        <w:spacing w:after="0"/>
        <w:tabs>
          <w:tab w:leader="none" w:pos="4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V 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holders of the Class V Common Stock will not participate in any dividends declared by the Company’s board of directors.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Class V Common Stock are not entitled to receive any of the Company’s assets.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Issuance and Retirement of Class V Common Stock</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2022, there were no shares of preferred stock issued or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noncontrolling interest represents the Units held by holders other than the Company. As of March 31, 2022, the noncontrolling interests owned 46.3% of the Units outstanding. The noncontrolling interests’ ownership percentage can fluctuate over time, including as the WMH LLC equity holders elect to exchange Units for Class A Common Stock.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Company has consolidated the financial position and results of operations of WMH LLC and reflected the proportionate interest held by the WMH LLC Unit equity holders as noncontrolling interests.</w:t>
      </w:r>
    </w:p>
    <w:p>
      <w:pPr>
        <w:spacing w:after="0" w:line="158" w:lineRule="exact"/>
        <w:rPr>
          <w:sz w:val="20"/>
          <w:szCs w:val="20"/>
          <w:color w:val="auto"/>
        </w:rPr>
      </w:pPr>
    </w:p>
    <w:p>
      <w:pPr>
        <w:ind w:left="420" w:hanging="417"/>
        <w:spacing w:after="0"/>
        <w:tabs>
          <w:tab w:leader="none" w:pos="4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Holding Company, LLC Equity Incentive Plan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Class P Unit activity for the three months ended March 31, 2022 is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Number of Units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P Units, December 31, 2021</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25,660,529</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Cancellations</w:t>
            </w:r>
          </w:p>
        </w:tc>
        <w:tc>
          <w:tcPr>
            <w:tcW w:w="2220" w:type="dxa"/>
            <w:vAlign w:val="bottom"/>
          </w:tcPr>
          <w:p>
            <w:pPr>
              <w:jc w:val="right"/>
              <w:spacing w:after="0"/>
              <w:rPr>
                <w:sz w:val="20"/>
                <w:szCs w:val="20"/>
                <w:color w:val="auto"/>
              </w:rPr>
            </w:pPr>
            <w:r>
              <w:rPr>
                <w:rFonts w:ascii="Arial" w:cs="Arial" w:eastAsia="Arial" w:hAnsi="Arial"/>
                <w:sz w:val="17"/>
                <w:szCs w:val="17"/>
                <w:color w:val="auto"/>
              </w:rPr>
              <w:t>(27,891)</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Exchanged for Class A Common Stock</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(9,383,608)</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Outstanding, Class P Units, March 31, 2022</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16,249,030</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6"/>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March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14,702,575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of March 31, 2022, unrecognized stock-based compensation expense for non-vested Class P Units was $3.5 million, which is expected to be recognized over a weighted-average period of 1.9 years. For the three months ended March 31, 2022, the Company recorded stock-based compensation expense for the Class P Units of $0.7 million.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Technology, Inc. Equity Incentive Plan</w:t>
      </w:r>
    </w:p>
    <w:p>
      <w:pPr>
        <w:spacing w:after="0" w:line="114"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2022, 25,768,971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2022, 12,213,211 shares of Class A Common Stock are available for future issuance.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restricted stock unit (“RSU”) activity for the three months ended March 31, 2022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24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Number of RSUs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5,829,881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Arial" w:cs="Arial" w:eastAsia="Arial" w:hAnsi="Arial"/>
                <w:sz w:val="17"/>
                <w:szCs w:val="17"/>
                <w:color w:val="auto"/>
              </w:rPr>
              <w:t>Granted</w:t>
            </w:r>
          </w:p>
        </w:tc>
        <w:tc>
          <w:tcPr>
            <w:tcW w:w="2240" w:type="dxa"/>
            <w:vAlign w:val="bottom"/>
          </w:tcPr>
          <w:p>
            <w:pPr>
              <w:ind w:left="1520"/>
              <w:spacing w:after="0"/>
              <w:rPr>
                <w:sz w:val="20"/>
                <w:szCs w:val="20"/>
                <w:color w:val="auto"/>
              </w:rPr>
            </w:pPr>
            <w:r>
              <w:rPr>
                <w:rFonts w:ascii="Arial" w:cs="Arial" w:eastAsia="Arial" w:hAnsi="Arial"/>
                <w:sz w:val="17"/>
                <w:szCs w:val="17"/>
                <w:color w:val="auto"/>
                <w:w w:val="92"/>
              </w:rPr>
              <w:t>5,062,234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240" w:type="dxa"/>
            <w:vAlign w:val="bottom"/>
            <w:shd w:val="clear" w:color="auto" w:fill="CCEEFF"/>
          </w:tcPr>
          <w:p>
            <w:pPr>
              <w:ind w:left="1540"/>
              <w:spacing w:after="0"/>
              <w:rPr>
                <w:sz w:val="20"/>
                <w:szCs w:val="20"/>
                <w:color w:val="auto"/>
              </w:rPr>
            </w:pPr>
            <w:r>
              <w:rPr>
                <w:rFonts w:ascii="Arial" w:cs="Arial" w:eastAsia="Arial" w:hAnsi="Arial"/>
                <w:sz w:val="17"/>
                <w:szCs w:val="17"/>
                <w:color w:val="auto"/>
                <w:w w:val="93"/>
              </w:rPr>
              <w:t>(319,588)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24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w w:val="93"/>
              </w:rPr>
              <w:t>(342,681)</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March 31,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10,229,846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of March 31, 2022, unrecognized stock-based compensation expense for non-vested RSUs was $80.1 million, which is expected to be recognized over a weighted-average period of 3.3 years. For the three months ended March 31, 2022, the Company recorded stock-based compensation expense for the RSUs of $5.0 million.</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gridSpan w:val="2"/>
          </w:tcPr>
          <w:p>
            <w:pPr>
              <w:ind w:left="620"/>
              <w:spacing w:after="0"/>
              <w:rPr>
                <w:sz w:val="20"/>
                <w:szCs w:val="20"/>
                <w:color w:val="auto"/>
              </w:rPr>
            </w:pPr>
            <w:r>
              <w:rPr>
                <w:rFonts w:ascii="Arial" w:cs="Arial" w:eastAsia="Arial" w:hAnsi="Arial"/>
                <w:sz w:val="17"/>
                <w:szCs w:val="17"/>
                <w:color w:val="auto"/>
                <w:w w:val="93"/>
              </w:rPr>
              <w:t>A summary of the PRSU activity for the three months ended March 31, 2022 is as follows: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w w:val="98"/>
              </w:rPr>
              <w:t>Number of PRSUs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December 31, 2021</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18"/>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March 31, 2022</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of March 31, 2022, unrecognized stock-based compensation expense for non-vested PRSUs was $13.3 million, which is expected to be recognized over a weighted-average period of 1.8 years. For the three months ended March 31, 2022, the Company recorded stock-based compensation expense for the PRSUs of $1.9 million.</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recorded stock-based compensation cost related to the Class P Units, RSUs and PRSUs in the following expense categories on the accompanying condensed consolidated statements of operations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8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March 31, 2022</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r>
      <w:tr>
        <w:trPr>
          <w:trHeight w:val="218"/>
        </w:trPr>
        <w:tc>
          <w:tcPr>
            <w:tcW w:w="836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1,412</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4,294</w:t>
            </w:r>
          </w:p>
        </w:tc>
      </w:tr>
      <w:tr>
        <w:trPr>
          <w:trHeight w:val="211"/>
        </w:trPr>
        <w:tc>
          <w:tcPr>
            <w:tcW w:w="8360" w:type="dxa"/>
            <w:vAlign w:val="bottom"/>
          </w:tcPr>
          <w:p>
            <w:pPr>
              <w:ind w:left="120"/>
              <w:spacing w:after="0"/>
              <w:rPr>
                <w:sz w:val="20"/>
                <w:szCs w:val="20"/>
                <w:color w:val="auto"/>
              </w:rPr>
            </w:pPr>
            <w:r>
              <w:rPr>
                <w:rFonts w:ascii="Arial" w:cs="Arial" w:eastAsia="Arial" w:hAnsi="Arial"/>
                <w:sz w:val="17"/>
                <w:szCs w:val="17"/>
                <w:color w:val="auto"/>
              </w:rPr>
              <w:t>Total stock-based compensation expense</w:t>
            </w:r>
          </w:p>
        </w:tc>
        <w:tc>
          <w:tcPr>
            <w:tcW w:w="3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7,517</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capitalized to software development</w:t>
            </w:r>
          </w:p>
        </w:tc>
        <w:tc>
          <w:tcPr>
            <w:tcW w:w="38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3"/>
        </w:trPr>
        <w:tc>
          <w:tcPr>
            <w:tcW w:w="8360" w:type="dxa"/>
            <w:vAlign w:val="bottom"/>
          </w:tcPr>
          <w:p>
            <w:pPr>
              <w:ind w:left="220"/>
              <w:spacing w:after="0"/>
              <w:rPr>
                <w:sz w:val="20"/>
                <w:szCs w:val="20"/>
                <w:color w:val="auto"/>
              </w:rPr>
            </w:pPr>
            <w:r>
              <w:rPr>
                <w:rFonts w:ascii="Arial" w:cs="Arial" w:eastAsia="Arial" w:hAnsi="Arial"/>
                <w:sz w:val="17"/>
                <w:szCs w:val="17"/>
                <w:color w:val="auto"/>
              </w:rPr>
              <w:t>Total stock-based compensation cost</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7,927</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40" w:hanging="437"/>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computation of loss per share attributable to WM Technology, Inc. and weighted-average shares of the Company’s Class A Common Stock outstanding are as follows for the three months ended March 31, 2022 (amounts in thousands, except for share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8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Three Months Ended March</w:t>
            </w:r>
          </w:p>
        </w:tc>
      </w:tr>
      <w:tr>
        <w:trPr>
          <w:trHeight w:val="219"/>
        </w:trPr>
        <w:tc>
          <w:tcPr>
            <w:tcW w:w="89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31, 2022</w:t>
            </w:r>
          </w:p>
        </w:tc>
      </w:tr>
      <w:tr>
        <w:trPr>
          <w:trHeight w:val="199"/>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8"/>
        </w:trPr>
        <w:tc>
          <w:tcPr>
            <w:tcW w:w="8980" w:type="dxa"/>
            <w:vAlign w:val="bottom"/>
          </w:tcPr>
          <w:p>
            <w:pPr>
              <w:ind w:left="20"/>
              <w:spacing w:after="0"/>
              <w:rPr>
                <w:sz w:val="20"/>
                <w:szCs w:val="20"/>
                <w:color w:val="auto"/>
              </w:rPr>
            </w:pPr>
            <w:r>
              <w:rPr>
                <w:rFonts w:ascii="Arial" w:cs="Arial" w:eastAsia="Arial" w:hAnsi="Arial"/>
                <w:sz w:val="17"/>
                <w:szCs w:val="17"/>
                <w:color w:val="auto"/>
              </w:rPr>
              <w:t>Net loss</w:t>
            </w: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(31,233)</w:t>
            </w:r>
          </w:p>
        </w:tc>
      </w:tr>
      <w:tr>
        <w:trPr>
          <w:trHeight w:val="220"/>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loss attributable to 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(17,340)</w:t>
            </w:r>
          </w:p>
        </w:tc>
      </w:tr>
      <w:tr>
        <w:trPr>
          <w:trHeight w:val="186"/>
        </w:trPr>
        <w:tc>
          <w:tcPr>
            <w:tcW w:w="8980" w:type="dxa"/>
            <w:vAlign w:val="bottom"/>
          </w:tcPr>
          <w:p>
            <w:pPr>
              <w:ind w:left="120"/>
              <w:spacing w:after="0" w:line="186" w:lineRule="exact"/>
              <w:rPr>
                <w:sz w:val="20"/>
                <w:szCs w:val="20"/>
                <w:color w:val="auto"/>
              </w:rPr>
            </w:pPr>
            <w:r>
              <w:rPr>
                <w:rFonts w:ascii="Arial" w:cs="Arial" w:eastAsia="Arial" w:hAnsi="Arial"/>
                <w:sz w:val="17"/>
                <w:szCs w:val="17"/>
                <w:color w:val="auto"/>
              </w:rPr>
              <w:t>Net loss attributable to WM Technology, Inc. - basic and diluted</w:t>
            </w:r>
          </w:p>
        </w:tc>
        <w:tc>
          <w:tcPr>
            <w:tcW w:w="480" w:type="dxa"/>
            <w:vAlign w:val="bottom"/>
            <w:tcBorders>
              <w:bottom w:val="single" w:sz="8" w:color="auto"/>
            </w:tcBorders>
          </w:tcPr>
          <w:p>
            <w:pPr>
              <w:jc w:val="right"/>
              <w:ind w:right="274"/>
              <w:spacing w:after="0" w:line="186" w:lineRule="exact"/>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(13,893)</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1"/>
        </w:trPr>
        <w:tc>
          <w:tcPr>
            <w:tcW w:w="8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Denominator:</w:t>
            </w: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11"/>
        </w:trPr>
        <w:tc>
          <w:tcPr>
            <w:tcW w:w="898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Weighted average Class A Common Stock outstanding - basic and diluted</w:t>
            </w:r>
          </w:p>
        </w:tc>
        <w:tc>
          <w:tcPr>
            <w:tcW w:w="4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72,450,204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per share of Class A Common Stock:</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r>
      <w:tr>
        <w:trPr>
          <w:trHeight w:val="212"/>
        </w:trPr>
        <w:tc>
          <w:tcPr>
            <w:tcW w:w="8980" w:type="dxa"/>
            <w:vAlign w:val="bottom"/>
          </w:tcPr>
          <w:p>
            <w:pPr>
              <w:ind w:left="20"/>
              <w:spacing w:after="0"/>
              <w:rPr>
                <w:sz w:val="20"/>
                <w:szCs w:val="20"/>
                <w:color w:val="auto"/>
              </w:rPr>
            </w:pPr>
            <w:r>
              <w:rPr>
                <w:rFonts w:ascii="Arial" w:cs="Arial" w:eastAsia="Arial" w:hAnsi="Arial"/>
                <w:sz w:val="17"/>
                <w:szCs w:val="17"/>
                <w:color w:val="auto"/>
              </w:rPr>
              <w:t>Net loss per share of Class A Common Stock - basic and diluted</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(0.19)</w:t>
            </w:r>
          </w:p>
        </w:tc>
      </w:tr>
      <w:tr>
        <w:trPr>
          <w:trHeight w:val="20"/>
        </w:trPr>
        <w:tc>
          <w:tcPr>
            <w:tcW w:w="8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excluded the following securities from its computation of diluted shares outstanding, as their effect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620" w:type="dxa"/>
            <w:vAlign w:val="bottom"/>
          </w:tcPr>
          <w:p>
            <w:pPr>
              <w:jc w:val="right"/>
              <w:ind w:right="34"/>
              <w:spacing w:after="0"/>
              <w:rPr>
                <w:sz w:val="20"/>
                <w:szCs w:val="20"/>
                <w:color w:val="auto"/>
              </w:rPr>
            </w:pPr>
            <w:r>
              <w:rPr>
                <w:rFonts w:ascii="Arial" w:cs="Arial" w:eastAsia="Arial" w:hAnsi="Arial"/>
                <w:sz w:val="17"/>
                <w:szCs w:val="17"/>
                <w:b w:val="1"/>
                <w:bCs w:val="1"/>
                <w:color w:val="auto"/>
                <w:w w:val="98"/>
              </w:rPr>
              <w:t>Three Months Ended March 31,</w:t>
            </w:r>
          </w:p>
        </w:tc>
      </w:tr>
      <w:tr>
        <w:trPr>
          <w:trHeight w:val="219"/>
        </w:trPr>
        <w:tc>
          <w:tcPr>
            <w:tcW w:w="376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262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b w:val="1"/>
                <w:bCs w:val="1"/>
                <w:color w:val="auto"/>
              </w:rPr>
              <w:t>2022</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Units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61,206,773</w:t>
            </w: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7480" w:type="dxa"/>
            <w:vAlign w:val="bottom"/>
            <w:gridSpan w:val="2"/>
          </w:tcPr>
          <w:p>
            <w:pPr>
              <w:jc w:val="right"/>
              <w:spacing w:after="0"/>
              <w:rPr>
                <w:sz w:val="20"/>
                <w:szCs w:val="20"/>
                <w:color w:val="auto"/>
              </w:rPr>
            </w:pPr>
            <w:r>
              <w:rPr>
                <w:rFonts w:ascii="Arial" w:cs="Arial" w:eastAsia="Arial" w:hAnsi="Arial"/>
                <w:sz w:val="17"/>
                <w:szCs w:val="17"/>
                <w:color w:val="auto"/>
              </w:rPr>
              <w:t>16,249,030</w:t>
            </w:r>
          </w:p>
        </w:tc>
      </w:t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RSUs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10,229,846</w:t>
            </w: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PRSUs</w:t>
            </w:r>
          </w:p>
        </w:tc>
        <w:tc>
          <w:tcPr>
            <w:tcW w:w="7480" w:type="dxa"/>
            <w:vAlign w:val="bottom"/>
            <w:gridSpan w:val="2"/>
          </w:tcPr>
          <w:p>
            <w:pPr>
              <w:jc w:val="right"/>
              <w:spacing w:after="0"/>
              <w:rPr>
                <w:sz w:val="20"/>
                <w:szCs w:val="20"/>
                <w:color w:val="auto"/>
              </w:rPr>
            </w:pPr>
            <w:r>
              <w:rPr>
                <w:rFonts w:ascii="Arial" w:cs="Arial" w:eastAsia="Arial" w:hAnsi="Arial"/>
                <w:sz w:val="17"/>
                <w:szCs w:val="17"/>
                <w:color w:val="auto"/>
              </w:rPr>
              <w:t>2,437,500</w:t>
            </w:r>
          </w:p>
        </w:tc>
      </w:t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Warrants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12,499,973</w:t>
            </w:r>
          </w:p>
        </w:tc>
      </w:tr>
      <w:tr>
        <w:trPr>
          <w:trHeight w:val="218"/>
        </w:trPr>
        <w:tc>
          <w:tcPr>
            <w:tcW w:w="3760" w:type="dxa"/>
            <w:vAlign w:val="bottom"/>
          </w:tcPr>
          <w:p>
            <w:pPr>
              <w:ind w:left="20"/>
              <w:spacing w:after="0"/>
              <w:rPr>
                <w:sz w:val="20"/>
                <w:szCs w:val="20"/>
                <w:color w:val="auto"/>
              </w:rPr>
            </w:pPr>
            <w:r>
              <w:rPr>
                <w:rFonts w:ascii="Arial" w:cs="Arial" w:eastAsia="Arial" w:hAnsi="Arial"/>
                <w:sz w:val="17"/>
                <w:szCs w:val="17"/>
                <w:color w:val="auto"/>
              </w:rPr>
              <w:t>Private Warrants</w:t>
            </w:r>
          </w:p>
        </w:tc>
        <w:tc>
          <w:tcPr>
            <w:tcW w:w="7480" w:type="dxa"/>
            <w:vAlign w:val="bottom"/>
            <w:gridSpan w:val="2"/>
          </w:tcPr>
          <w:p>
            <w:pPr>
              <w:jc w:val="right"/>
              <w:spacing w:after="0"/>
              <w:rPr>
                <w:sz w:val="20"/>
                <w:szCs w:val="20"/>
                <w:color w:val="auto"/>
              </w:rPr>
            </w:pPr>
            <w:r>
              <w:rPr>
                <w:rFonts w:ascii="Arial" w:cs="Arial" w:eastAsia="Arial" w:hAnsi="Arial"/>
                <w:sz w:val="17"/>
                <w:szCs w:val="17"/>
                <w:color w:val="auto"/>
              </w:rPr>
              <w:t>7,000,000</w:t>
            </w:r>
          </w:p>
        </w:tc>
      </w:t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holdback shares</w:t>
            </w: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677,847</w:t>
            </w:r>
          </w:p>
        </w:tc>
      </w:tr>
      <w:tr>
        <w:trPr>
          <w:trHeight w:val="849"/>
        </w:trPr>
        <w:tc>
          <w:tcPr>
            <w:tcW w:w="3760" w:type="dxa"/>
            <w:vAlign w:val="bottom"/>
          </w:tcPr>
          <w:p>
            <w:pPr>
              <w:spacing w:after="0"/>
              <w:rPr>
                <w:sz w:val="24"/>
                <w:szCs w:val="24"/>
                <w:color w:val="auto"/>
              </w:rPr>
            </w:pPr>
          </w:p>
        </w:tc>
        <w:tc>
          <w:tcPr>
            <w:tcW w:w="4860" w:type="dxa"/>
            <w:vAlign w:val="bottom"/>
          </w:tcPr>
          <w:p>
            <w:pPr>
              <w:jc w:val="right"/>
              <w:ind w:right="2834"/>
              <w:spacing w:after="0"/>
              <w:rPr>
                <w:sz w:val="20"/>
                <w:szCs w:val="20"/>
                <w:color w:val="auto"/>
              </w:rPr>
            </w:pPr>
            <w:r>
              <w:rPr>
                <w:rFonts w:ascii="Arial" w:cs="Arial" w:eastAsia="Arial" w:hAnsi="Arial"/>
                <w:sz w:val="17"/>
                <w:szCs w:val="17"/>
                <w:color w:val="auto"/>
              </w:rPr>
              <w:t>26</w:t>
            </w:r>
          </w:p>
        </w:tc>
        <w:tc>
          <w:tcPr>
            <w:tcW w:w="2620" w:type="dxa"/>
            <w:vAlign w:val="bottom"/>
          </w:tcPr>
          <w:p>
            <w:pPr>
              <w:spacing w:after="0"/>
              <w:rPr>
                <w:sz w:val="24"/>
                <w:szCs w:val="24"/>
                <w:color w:val="auto"/>
              </w:rPr>
            </w:pPr>
          </w:p>
        </w:tc>
      </w:tr>
      <w:tr>
        <w:trPr>
          <w:trHeight w:val="110"/>
        </w:trPr>
        <w:tc>
          <w:tcPr>
            <w:tcW w:w="376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0"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March 31, 2022, we had 16.4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solutions and Enlighten (software, digital signage services and multi-media offerings)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9" w:lineRule="exact"/>
        <w:rPr>
          <w:sz w:val="20"/>
          <w:szCs w:val="20"/>
          <w:color w:val="auto"/>
        </w:rPr>
      </w:pPr>
    </w:p>
    <w:p>
      <w:pPr>
        <w:jc w:val="both"/>
        <w:ind w:firstLine="464"/>
        <w:spacing w:after="0" w:line="297" w:lineRule="auto"/>
        <w:rPr>
          <w:sz w:val="20"/>
          <w:szCs w:val="20"/>
          <w:color w:val="auto"/>
        </w:rPr>
      </w:pPr>
      <w:r>
        <w:rPr>
          <w:rFonts w:ascii="Arial" w:cs="Arial" w:eastAsia="Arial" w:hAnsi="Arial"/>
          <w:sz w:val="15"/>
          <w:szCs w:val="15"/>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5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have grown the Weedmaps marketplace to become the premier destination for cannabis consumers to discover and browse information regarding cannabis and cannabis products, with 16.4 million monthly active users (“MAUs”) as of March 31, 2022 on the demand-side and 5,026 average monthly paying business clients during the three months March 31, 2022 on the supply-side of our marketplace. These paying clients include retailers, brands and other client types (such as doctors). Further, these clients, who can choose to purchase multiple listings solutions for each business, had purchased over 9,700 listing pages as of March 31, 2022 (of the over 18,400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and Public Company Costs</w:t>
      </w:r>
    </w:p>
    <w:p>
      <w:pPr>
        <w:spacing w:after="0" w:line="249"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18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19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Metrics</w:t>
      </w:r>
    </w:p>
    <w:p>
      <w:pPr>
        <w:spacing w:after="0" w:line="249"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933"/>
        </w:trPr>
        <w:tc>
          <w:tcPr>
            <w:tcW w:w="1220" w:type="dxa"/>
            <w:vAlign w:val="bottom"/>
            <w:tcBorders>
              <w:top w:val="single" w:sz="8" w:color="0000FF"/>
            </w:tcBorders>
          </w:tcPr>
          <w:p>
            <w:pPr>
              <w:spacing w:after="0"/>
              <w:rPr>
                <w:sz w:val="24"/>
                <w:szCs w:val="24"/>
                <w:color w:val="auto"/>
              </w:rPr>
            </w:pPr>
          </w:p>
        </w:tc>
        <w:tc>
          <w:tcPr>
            <w:tcW w:w="6380" w:type="dxa"/>
            <w:vAlign w:val="bottom"/>
          </w:tcPr>
          <w:p>
            <w:pPr>
              <w:spacing w:after="0"/>
              <w:rPr>
                <w:sz w:val="24"/>
                <w:szCs w:val="24"/>
                <w:color w:val="auto"/>
              </w:rPr>
            </w:pPr>
          </w:p>
        </w:tc>
        <w:tc>
          <w:tcPr>
            <w:tcW w:w="306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7"/>
                <w:szCs w:val="17"/>
                <w:b w:val="1"/>
                <w:bCs w:val="1"/>
                <w:color w:val="auto"/>
                <w:w w:val="93"/>
              </w:rPr>
              <w:t>Three Months Ended March 31,</w:t>
            </w:r>
          </w:p>
        </w:tc>
        <w:tc>
          <w:tcPr>
            <w:tcW w:w="580" w:type="dxa"/>
            <w:vAlign w:val="bottom"/>
            <w:tcBorders>
              <w:bottom w:val="single" w:sz="8" w:color="auto"/>
            </w:tcBorders>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60"/>
        </w:trPr>
        <w:tc>
          <w:tcPr>
            <w:tcW w:w="12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640" w:type="dxa"/>
            <w:vAlign w:val="bottom"/>
            <w:gridSpan w:val="4"/>
          </w:tcPr>
          <w:p>
            <w:pPr>
              <w:jc w:val="center"/>
              <w:spacing w:after="0" w:line="161" w:lineRule="exact"/>
              <w:rPr>
                <w:sz w:val="20"/>
                <w:szCs w:val="20"/>
                <w:color w:val="auto"/>
              </w:rPr>
            </w:pPr>
            <w:r>
              <w:rPr>
                <w:rFonts w:ascii="Arial" w:cs="Arial" w:eastAsia="Arial" w:hAnsi="Arial"/>
                <w:sz w:val="17"/>
                <w:szCs w:val="17"/>
                <w:b w:val="1"/>
                <w:bCs w:val="1"/>
                <w:color w:val="auto"/>
                <w:w w:val="90"/>
              </w:rPr>
              <w:t>(dollars in thousands, except for revenue per</w:t>
            </w:r>
          </w:p>
        </w:tc>
      </w:tr>
      <w:tr>
        <w:trPr>
          <w:trHeight w:val="219"/>
        </w:trPr>
        <w:tc>
          <w:tcPr>
            <w:tcW w:w="12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gridSpan w:val="2"/>
          </w:tcPr>
          <w:p>
            <w:pPr>
              <w:jc w:val="center"/>
              <w:ind w:right="454"/>
              <w:spacing w:after="0"/>
              <w:rPr>
                <w:sz w:val="20"/>
                <w:szCs w:val="20"/>
                <w:color w:val="auto"/>
              </w:rPr>
            </w:pPr>
            <w:r>
              <w:rPr>
                <w:rFonts w:ascii="Arial" w:cs="Arial" w:eastAsia="Arial" w:hAnsi="Arial"/>
                <w:sz w:val="17"/>
                <w:szCs w:val="17"/>
                <w:b w:val="1"/>
                <w:bCs w:val="1"/>
                <w:color w:val="auto"/>
                <w:w w:val="91"/>
              </w:rPr>
              <w:t>paying client)</w:t>
            </w:r>
          </w:p>
        </w:tc>
        <w:tc>
          <w:tcPr>
            <w:tcW w:w="580" w:type="dxa"/>
            <w:vAlign w:val="bottom"/>
          </w:tcPr>
          <w:p>
            <w:pPr>
              <w:spacing w:after="0"/>
              <w:rPr>
                <w:sz w:val="19"/>
                <w:szCs w:val="19"/>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57,452</w:t>
            </w:r>
          </w:p>
        </w:tc>
        <w:tc>
          <w:tcPr>
            <w:tcW w:w="124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41,154</w:t>
            </w:r>
          </w:p>
        </w:tc>
      </w:tr>
      <w:tr>
        <w:trPr>
          <w:trHeight w:val="218"/>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(loss) income</w:t>
            </w:r>
          </w:p>
        </w:tc>
        <w:tc>
          <w:tcPr>
            <w:tcW w:w="1120" w:type="dxa"/>
            <w:vAlign w:val="bottom"/>
          </w:tcPr>
          <w:p>
            <w:pPr>
              <w:jc w:val="right"/>
              <w:ind w:right="93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97"/>
              </w:rPr>
              <w:t>(31,233)</w:t>
            </w:r>
          </w:p>
        </w:tc>
        <w:tc>
          <w:tcPr>
            <w:tcW w:w="1240" w:type="dxa"/>
            <w:vAlign w:val="bottom"/>
          </w:tcPr>
          <w:p>
            <w:pPr>
              <w:jc w:val="right"/>
              <w:ind w:right="10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7,731</w:t>
            </w:r>
          </w:p>
        </w:tc>
      </w:tr>
      <w:tr>
        <w:trPr>
          <w:trHeight w:val="32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(29,036)</w:t>
            </w:r>
          </w:p>
        </w:tc>
        <w:tc>
          <w:tcPr>
            <w:tcW w:w="124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8,974</w:t>
            </w:r>
          </w:p>
        </w:tc>
      </w:tr>
      <w:tr>
        <w:trPr>
          <w:trHeight w:val="322"/>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1120" w:type="dxa"/>
            <w:vAlign w:val="bottom"/>
          </w:tcPr>
          <w:p>
            <w:pPr>
              <w:jc w:val="right"/>
              <w:ind w:right="93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(953)</w:t>
            </w:r>
          </w:p>
        </w:tc>
        <w:tc>
          <w:tcPr>
            <w:tcW w:w="1240" w:type="dxa"/>
            <w:vAlign w:val="bottom"/>
          </w:tcPr>
          <w:p>
            <w:pPr>
              <w:jc w:val="right"/>
              <w:ind w:right="101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8,974</w:t>
            </w:r>
          </w:p>
        </w:tc>
      </w:tr>
      <w:tr>
        <w:trPr>
          <w:trHeight w:val="32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(2)</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3,810</w:t>
            </w:r>
          </w:p>
        </w:tc>
        <w:tc>
          <w:tcPr>
            <w:tcW w:w="124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w:t>
            </w:r>
          </w:p>
        </w:tc>
      </w:tr>
      <w:tr>
        <w:trPr>
          <w:trHeight w:val="322"/>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Average monthly paying clients</w:t>
            </w:r>
            <w:r>
              <w:rPr>
                <w:rFonts w:ascii="Arial" w:cs="Arial" w:eastAsia="Arial" w:hAnsi="Arial"/>
                <w:sz w:val="22"/>
                <w:szCs w:val="22"/>
                <w:color w:val="auto"/>
                <w:vertAlign w:val="superscript"/>
              </w:rPr>
              <w:t>(3)</w:t>
            </w:r>
          </w:p>
        </w:tc>
        <w:tc>
          <w:tcPr>
            <w:tcW w:w="112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5,026</w:t>
            </w:r>
          </w:p>
        </w:tc>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3,916</w:t>
            </w:r>
          </w:p>
        </w:tc>
      </w:tr>
      <w:tr>
        <w:trPr>
          <w:trHeight w:val="32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MAUs (in thousands)</w:t>
            </w:r>
            <w:r>
              <w:rPr>
                <w:rFonts w:ascii="Arial" w:cs="Arial" w:eastAsia="Arial" w:hAnsi="Arial"/>
                <w:sz w:val="22"/>
                <w:szCs w:val="22"/>
                <w:color w:val="auto"/>
                <w:vertAlign w:val="superscript"/>
              </w:rPr>
              <w:t>(4)</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16,437</w:t>
            </w:r>
          </w:p>
        </w:tc>
        <w:tc>
          <w:tcPr>
            <w:tcW w:w="12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10,800</w:t>
            </w:r>
          </w:p>
        </w:tc>
      </w:tr>
      <w:tr>
        <w:trPr>
          <w:trHeight w:val="295"/>
        </w:trPr>
        <w:tc>
          <w:tcPr>
            <w:tcW w:w="7600" w:type="dxa"/>
            <w:vAlign w:val="bottom"/>
            <w:gridSpan w:val="2"/>
          </w:tcPr>
          <w:p>
            <w:pPr>
              <w:spacing w:after="0"/>
              <w:rPr>
                <w:sz w:val="20"/>
                <w:szCs w:val="20"/>
                <w:color w:val="auto"/>
              </w:rPr>
            </w:pPr>
            <w:r>
              <w:rPr>
                <w:rFonts w:ascii="Arial" w:cs="Arial" w:eastAsia="Arial" w:hAnsi="Arial"/>
                <w:sz w:val="17"/>
                <w:szCs w:val="17"/>
                <w:color w:val="auto"/>
              </w:rPr>
              <w:t>___________________________</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2" w:lineRule="exact"/>
        <w:rPr>
          <w:sz w:val="20"/>
          <w:szCs w:val="20"/>
          <w:color w:val="auto"/>
        </w:rPr>
      </w:pPr>
    </w:p>
    <w:p>
      <w:pPr>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We generate revenue primarily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80"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3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8" w:lineRule="exact"/>
        <w:rPr>
          <w:sz w:val="20"/>
          <w:szCs w:val="20"/>
          <w:color w:val="auto"/>
        </w:rPr>
      </w:pPr>
    </w:p>
    <w:p>
      <w:pPr>
        <w:jc w:val="both"/>
        <w:ind w:left="780" w:hanging="313"/>
        <w:spacing w:after="0" w:line="236"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7"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changes in, or cash requirements for, our working capital needs; and</w:t>
      </w:r>
    </w:p>
    <w:p>
      <w:pPr>
        <w:spacing w:after="0" w:line="88"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tax payments that may represent a reduction in cash available to us.</w:t>
      </w:r>
    </w:p>
    <w:p>
      <w:pPr>
        <w:spacing w:after="0" w:line="101"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94"/>
        </w:trPr>
        <w:tc>
          <w:tcPr>
            <w:tcW w:w="7600" w:type="dxa"/>
            <w:vAlign w:val="bottom"/>
            <w:gridSpan w:val="2"/>
          </w:tcPr>
          <w:p>
            <w:pPr>
              <w:ind w:left="460"/>
              <w:spacing w:after="0"/>
              <w:rPr>
                <w:sz w:val="20"/>
                <w:szCs w:val="20"/>
                <w:color w:val="auto"/>
              </w:rPr>
            </w:pPr>
            <w:r>
              <w:rPr>
                <w:rFonts w:ascii="Arial" w:cs="Arial" w:eastAsia="Arial" w:hAnsi="Arial"/>
                <w:sz w:val="17"/>
                <w:szCs w:val="17"/>
                <w:color w:val="auto"/>
              </w:rPr>
              <w:t>A reconciliation of net (loss) income to non-GAAP EBITDA and Adjusted EBITDA is as follows: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9"/>
        </w:trPr>
        <w:tc>
          <w:tcPr>
            <w:tcW w:w="12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2"/>
        </w:trPr>
        <w:tc>
          <w:tcPr>
            <w:tcW w:w="12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gridSpan w:val="3"/>
          </w:tcPr>
          <w:p>
            <w:pPr>
              <w:jc w:val="right"/>
              <w:ind w:right="674"/>
              <w:spacing w:after="0"/>
              <w:rPr>
                <w:sz w:val="20"/>
                <w:szCs w:val="20"/>
                <w:color w:val="auto"/>
              </w:rPr>
            </w:pPr>
            <w:r>
              <w:rPr>
                <w:rFonts w:ascii="Arial" w:cs="Arial" w:eastAsia="Arial" w:hAnsi="Arial"/>
                <w:sz w:val="17"/>
                <w:szCs w:val="17"/>
                <w:b w:val="1"/>
                <w:bCs w:val="1"/>
                <w:color w:val="auto"/>
              </w:rPr>
              <w:t>(in thousands)</w:t>
            </w:r>
          </w:p>
        </w:tc>
        <w:tc>
          <w:tcPr>
            <w:tcW w:w="540" w:type="dxa"/>
            <w:vAlign w:val="bottom"/>
          </w:tcPr>
          <w:p>
            <w:pPr>
              <w:spacing w:after="0"/>
              <w:rPr>
                <w:sz w:val="18"/>
                <w:szCs w:val="18"/>
                <w:color w:val="auto"/>
              </w:rPr>
            </w:pP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(31,233)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7,731</w:t>
            </w:r>
          </w:p>
        </w:tc>
      </w:tr>
      <w:tr>
        <w:trPr>
          <w:trHeight w:val="218"/>
        </w:trPr>
        <w:tc>
          <w:tcPr>
            <w:tcW w:w="7600" w:type="dxa"/>
            <w:vAlign w:val="bottom"/>
            <w:gridSpan w:val="2"/>
          </w:tcPr>
          <w:p>
            <w:pPr>
              <w:ind w:left="18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(1,748)</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20"/>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3,945</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w:t>
            </w:r>
          </w:p>
        </w:tc>
      </w:tr>
      <w:tr>
        <w:trPr>
          <w:trHeight w:val="211"/>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EBITDA</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(29,036)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8,974</w:t>
            </w:r>
          </w:p>
        </w:tc>
      </w:tr>
      <w:tr>
        <w:trPr>
          <w:trHeight w:val="220"/>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0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18,219</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Transaction related bonuses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00" w:type="dxa"/>
            <w:vAlign w:val="bottom"/>
            <w:gridSpan w:val="2"/>
          </w:tcPr>
          <w:p>
            <w:pPr>
              <w:ind w:left="180"/>
              <w:spacing w:after="0"/>
              <w:rPr>
                <w:sz w:val="20"/>
                <w:szCs w:val="20"/>
                <w:color w:val="auto"/>
              </w:rPr>
            </w:pPr>
            <w:r>
              <w:rPr>
                <w:rFonts w:ascii="Arial" w:cs="Arial" w:eastAsia="Arial" w:hAnsi="Arial"/>
                <w:sz w:val="17"/>
                <w:szCs w:val="17"/>
                <w:color w:val="auto"/>
              </w:rPr>
              <w:t>Transaction costs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Legal settlements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8,974</w:t>
            </w:r>
          </w:p>
        </w:tc>
      </w:tr>
      <w:tr>
        <w:trPr>
          <w:trHeight w:val="20"/>
        </w:trPr>
        <w:tc>
          <w:tcPr>
            <w:tcW w:w="12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Revenue Per Paying Client</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78"/>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w:t>
            </w:r>
          </w:p>
        </w:tc>
      </w:tr>
      <w:tr>
        <w:trPr>
          <w:trHeight w:val="617"/>
        </w:trPr>
        <w:tc>
          <w:tcPr>
            <w:tcW w:w="8360" w:type="dxa"/>
            <w:vAlign w:val="bottom"/>
          </w:tcPr>
          <w:p>
            <w:pPr>
              <w:spacing w:after="0"/>
              <w:rPr>
                <w:sz w:val="20"/>
                <w:szCs w:val="20"/>
                <w:color w:val="auto"/>
              </w:rPr>
            </w:pPr>
            <w:r>
              <w:rPr>
                <w:rFonts w:ascii="Arial" w:cs="Arial" w:eastAsia="Arial" w:hAnsi="Arial"/>
                <w:sz w:val="17"/>
                <w:szCs w:val="17"/>
                <w:i w:val="1"/>
                <w:iCs w:val="1"/>
                <w:color w:val="auto"/>
              </w:rPr>
              <w:t>Prior definition¹:</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5"/>
        </w:trPr>
        <w:tc>
          <w:tcPr>
            <w:tcW w:w="8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78"/>
        </w:trPr>
        <w:tc>
          <w:tcPr>
            <w:tcW w:w="83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Monthly revenue per paying client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p>
    <w:p>
      <w:pPr>
        <w:jc w:val="both"/>
        <w:ind w:firstLine="3"/>
        <w:spacing w:after="0" w:line="256" w:lineRule="auto"/>
        <w:tabs>
          <w:tab w:leader="none" w:pos="9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Paying Clients</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March 31, 2022 increased approximately 28% to 5,026 average monthly paying clients from 3,916 average monthly paying clients in the same period in 2021. The increase in average monthly paying clients in the three months ended March 31, 2022 as compared to the same period in 2021 was primarily due to broad increases throughout our Featured Listing product, WM Business subscription offering and other ad solutions represented.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9"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 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r>
      <w:tr>
        <w:trPr>
          <w:trHeight w:val="213"/>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monthly paying clients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5,026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3,916</w:t>
            </w:r>
          </w:p>
        </w:tc>
      </w:tr>
      <w:tr>
        <w:trPr>
          <w:trHeight w:val="630"/>
        </w:trPr>
        <w:tc>
          <w:tcPr>
            <w:tcW w:w="9260" w:type="dxa"/>
            <w:vAlign w:val="bottom"/>
            <w:gridSpan w:val="2"/>
          </w:tcPr>
          <w:p>
            <w:pPr>
              <w:spacing w:after="0"/>
              <w:rPr>
                <w:sz w:val="20"/>
                <w:szCs w:val="20"/>
                <w:color w:val="auto"/>
              </w:rPr>
            </w:pPr>
            <w:r>
              <w:rPr>
                <w:rFonts w:ascii="Arial" w:cs="Arial" w:eastAsia="Arial" w:hAnsi="Arial"/>
                <w:sz w:val="17"/>
                <w:szCs w:val="17"/>
                <w:i w:val="1"/>
                <w:iCs w:val="1"/>
                <w:color w:val="auto"/>
              </w:rPr>
              <w:t>Prior definition¹:</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2"/>
        </w:trPr>
        <w:tc>
          <w:tcPr>
            <w:tcW w:w="8360" w:type="dxa"/>
            <w:vAlign w:val="bottom"/>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r>
      <w:tr>
        <w:trPr>
          <w:trHeight w:val="178"/>
        </w:trPr>
        <w:tc>
          <w:tcPr>
            <w:tcW w:w="8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r>
      <w:tr>
        <w:trPr>
          <w:trHeight w:val="213"/>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clients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5,141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4,058</w:t>
            </w:r>
          </w:p>
        </w:tc>
      </w:tr>
      <w:tr>
        <w:trPr>
          <w:trHeight w:val="275"/>
        </w:trPr>
        <w:tc>
          <w:tcPr>
            <w:tcW w:w="836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jc w:val="both"/>
        <w:ind w:firstLine="3"/>
        <w:spacing w:after="0" w:line="266" w:lineRule="auto"/>
        <w:tabs>
          <w:tab w:leader="none" w:pos="94"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Monthly Active Users</w:t>
      </w:r>
    </w:p>
    <w:p>
      <w:pPr>
        <w:spacing w:after="0" w:line="11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49"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As our business has grown, our MAUs increased each year from 2018 through the current period.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5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Since the beginning of the pandemic, we have continued to grow our MAUs, reaching 16.4 million at March 31, 2022. While we believe, like other industries, the pandemic accelerated existing trends towards consumer adoption of online platforms, we cannot be certain to what impact, if any, the end of the pandemic will have on our MAUs or MAU growth.</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as we increase MAUs, we increase the value of our bundled SaaS solutions to business customers.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ind w:left="820"/>
              <w:spacing w:after="0"/>
              <w:rPr>
                <w:sz w:val="20"/>
                <w:szCs w:val="20"/>
                <w:color w:val="auto"/>
              </w:rPr>
            </w:pPr>
            <w:r>
              <w:rPr>
                <w:rFonts w:ascii="Arial" w:cs="Arial" w:eastAsia="Arial" w:hAnsi="Arial"/>
                <w:sz w:val="14"/>
                <w:szCs w:val="14"/>
                <w:b w:val="1"/>
                <w:bCs w:val="1"/>
                <w:color w:val="auto"/>
                <w:w w:val="98"/>
              </w:rPr>
              <w:t>As of March 31,</w:t>
            </w:r>
          </w:p>
        </w:tc>
        <w:tc>
          <w:tcPr>
            <w:tcW w:w="860" w:type="dxa"/>
            <w:vAlign w:val="bottom"/>
          </w:tcPr>
          <w:p>
            <w:pPr>
              <w:spacing w:after="0"/>
              <w:rPr>
                <w:sz w:val="15"/>
                <w:szCs w:val="15"/>
                <w:color w:val="auto"/>
              </w:rPr>
            </w:pPr>
          </w:p>
        </w:tc>
      </w:tr>
      <w:tr>
        <w:trPr>
          <w:trHeight w:val="24"/>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2"/>
        </w:trPr>
        <w:tc>
          <w:tcPr>
            <w:tcW w:w="83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9"/>
              </w:rPr>
              <w:t>2021</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10,800</w:t>
            </w:r>
          </w:p>
        </w:tc>
      </w:tr>
      <w:tr>
        <w:trPr>
          <w:trHeight w:val="630"/>
        </w:trPr>
        <w:tc>
          <w:tcPr>
            <w:tcW w:w="8360" w:type="dxa"/>
            <w:vAlign w:val="bottom"/>
          </w:tcPr>
          <w:p>
            <w:pPr>
              <w:spacing w:after="0"/>
              <w:rPr>
                <w:sz w:val="20"/>
                <w:szCs w:val="20"/>
                <w:color w:val="auto"/>
              </w:rPr>
            </w:pPr>
            <w:r>
              <w:rPr>
                <w:rFonts w:ascii="Arial" w:cs="Arial" w:eastAsia="Arial" w:hAnsi="Arial"/>
                <w:sz w:val="17"/>
                <w:szCs w:val="17"/>
                <w:i w:val="1"/>
                <w:iCs w:val="1"/>
                <w:color w:val="auto"/>
              </w:rPr>
              <w:t>Prior definition¹:</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2"/>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ind w:left="900"/>
              <w:spacing w:after="0"/>
              <w:rPr>
                <w:sz w:val="20"/>
                <w:szCs w:val="20"/>
                <w:color w:val="auto"/>
              </w:rPr>
            </w:pPr>
            <w:r>
              <w:rPr>
                <w:rFonts w:ascii="Arial" w:cs="Arial" w:eastAsia="Arial" w:hAnsi="Arial"/>
                <w:sz w:val="14"/>
                <w:szCs w:val="14"/>
                <w:b w:val="1"/>
                <w:bCs w:val="1"/>
                <w:color w:val="auto"/>
                <w:w w:val="90"/>
              </w:rPr>
              <w:t>As of March 31,</w:t>
            </w:r>
          </w:p>
        </w:tc>
        <w:tc>
          <w:tcPr>
            <w:tcW w:w="860" w:type="dxa"/>
            <w:vAlign w:val="bottom"/>
          </w:tcPr>
          <w:p>
            <w:pPr>
              <w:spacing w:after="0"/>
              <w:rPr>
                <w:sz w:val="24"/>
                <w:szCs w:val="24"/>
                <w:color w:val="auto"/>
              </w:rPr>
            </w:pPr>
          </w:p>
        </w:tc>
      </w:tr>
      <w:tr>
        <w:trPr>
          <w:trHeight w:val="24"/>
        </w:trPr>
        <w:tc>
          <w:tcPr>
            <w:tcW w:w="83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2"/>
        </w:trPr>
        <w:tc>
          <w:tcPr>
            <w:tcW w:w="83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15,866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9,163</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7" w:lineRule="exact"/>
        <w:rPr>
          <w:sz w:val="20"/>
          <w:szCs w:val="20"/>
          <w:color w:val="auto"/>
        </w:rPr>
      </w:pPr>
    </w:p>
    <w:p>
      <w:pPr>
        <w:ind w:firstLine="3"/>
        <w:spacing w:after="0" w:line="248" w:lineRule="auto"/>
        <w:tabs>
          <w:tab w:leader="none" w:pos="89"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When calculating our MAUs, we previously excluded the MAUs attributed to the Learn section of weedmaps.com, which we began tracking in March 2021. We believe including MAUs from the Learn section of weedmaps.com more accurately reflects our total MAUs.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of Our Two-Sided Weedmaps Marketplace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and Retention of Our Paying Clients</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102% in the first three months of 2022.</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and Maturation of Cannabis Markets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Brand Recognition and Reputation</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5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Growth</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5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On January 14, 2022, the Company acquired Eyechronic LLC (“Eyechronic”) d/b/a Enlighten, a Delaware limited liability company and a provider of software, digital signage services and multi-media offerings to dispensaries and brands.</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are working towards the integration of these businesses and will invest in them appropriately to scale both solutions during this fiscal year 2022. We will also continue to explore inorganic opportunities that can help support and accelerate growth opportunities and new market openings.</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We generate revenue primarily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placement subscriptions services we record deferred revenue and recognizes revenue over the applicable subscription term.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primarily consists of web hosting, internet service, credit card processing costs and inventory costs related to multi-media offerings.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Expenses</w:t>
      </w:r>
    </w:p>
    <w:p>
      <w:pPr>
        <w:spacing w:after="0" w:line="11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60" w:type="dxa"/>
            <w:vAlign w:val="bottom"/>
          </w:tcPr>
          <w:p>
            <w:pPr>
              <w:spacing w:after="0"/>
              <w:rPr>
                <w:sz w:val="19"/>
                <w:szCs w:val="19"/>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7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r>
      <w:tr>
        <w:trPr>
          <w:trHeight w:val="212"/>
        </w:trPr>
        <w:tc>
          <w:tcPr>
            <w:tcW w:w="7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b w:val="1"/>
                <w:bCs w:val="1"/>
                <w:color w:val="auto"/>
                <w:w w:val="99"/>
              </w:rPr>
              <w:t>(in thousands)</w:t>
            </w:r>
          </w:p>
        </w:tc>
        <w:tc>
          <w:tcPr>
            <w:tcW w:w="1040" w:type="dxa"/>
            <w:vAlign w:val="bottom"/>
          </w:tcPr>
          <w:p>
            <w:pPr>
              <w:spacing w:after="0"/>
              <w:rPr>
                <w:sz w:val="18"/>
                <w:szCs w:val="18"/>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57,452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41,154</w:t>
            </w:r>
          </w:p>
        </w:tc>
      </w:tr>
      <w:tr>
        <w:trPr>
          <w:trHeight w:val="245"/>
        </w:trPr>
        <w:tc>
          <w:tcPr>
            <w:tcW w:w="7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7960" w:type="dxa"/>
            <w:vAlign w:val="bottom"/>
          </w:tcPr>
          <w:p>
            <w:pPr>
              <w:ind w:left="180"/>
              <w:spacing w:after="0"/>
              <w:rPr>
                <w:sz w:val="20"/>
                <w:szCs w:val="20"/>
                <w:color w:val="auto"/>
              </w:rPr>
            </w:pPr>
            <w:r>
              <w:rPr>
                <w:rFonts w:ascii="Arial" w:cs="Arial" w:eastAsia="Arial" w:hAnsi="Arial"/>
                <w:sz w:val="17"/>
                <w:szCs w:val="17"/>
                <w:color w:val="auto"/>
              </w:rPr>
              <w:t>Cost of revenues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1,857</w:t>
            </w:r>
          </w:p>
        </w:tc>
      </w:tr>
      <w:tr>
        <w:trPr>
          <w:trHeight w:val="220"/>
        </w:trPr>
        <w:tc>
          <w:tcPr>
            <w:tcW w:w="7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21,882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9,117</w:t>
            </w:r>
          </w:p>
        </w:tc>
      </w:tr>
      <w:tr>
        <w:trPr>
          <w:trHeight w:val="218"/>
        </w:trPr>
        <w:tc>
          <w:tcPr>
            <w:tcW w:w="796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13,090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7,868</w:t>
            </w:r>
          </w:p>
        </w:tc>
      </w:tr>
      <w:tr>
        <w:trPr>
          <w:trHeight w:val="220"/>
        </w:trPr>
        <w:tc>
          <w:tcPr>
            <w:tcW w:w="7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29,055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13,366</w:t>
            </w:r>
          </w:p>
        </w:tc>
      </w:tr>
      <w:tr>
        <w:trPr>
          <w:trHeight w:val="218"/>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71,712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33,210</w:t>
            </w:r>
          </w:p>
        </w:tc>
      </w:tr>
      <w:tr>
        <w:trPr>
          <w:trHeight w:val="211"/>
        </w:trPr>
        <w:tc>
          <w:tcPr>
            <w:tcW w:w="7960" w:type="dxa"/>
            <w:vAlign w:val="bottom"/>
          </w:tcPr>
          <w:p>
            <w:pPr>
              <w:ind w:left="220"/>
              <w:spacing w:after="0"/>
              <w:rPr>
                <w:sz w:val="20"/>
                <w:szCs w:val="20"/>
                <w:color w:val="auto"/>
              </w:rPr>
            </w:pPr>
            <w:r>
              <w:rPr>
                <w:rFonts w:ascii="Arial" w:cs="Arial" w:eastAsia="Arial" w:hAnsi="Arial"/>
                <w:sz w:val="17"/>
                <w:szCs w:val="17"/>
                <w:color w:val="auto"/>
              </w:rPr>
              <w:t>Operating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8"/>
              </w:rPr>
              <w:t>(14,260)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7,944</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796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8"/>
              </w:rPr>
              <w:t>(18,219)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income, net</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1"/>
        </w:trPr>
        <w:tc>
          <w:tcPr>
            <w:tcW w:w="7960" w:type="dxa"/>
            <w:vAlign w:val="bottom"/>
          </w:tcPr>
          <w:p>
            <w:pPr>
              <w:ind w:left="220"/>
              <w:spacing w:after="0"/>
              <w:rPr>
                <w:sz w:val="20"/>
                <w:szCs w:val="20"/>
                <w:color w:val="auto"/>
              </w:rPr>
            </w:pPr>
            <w:r>
              <w:rPr>
                <w:rFonts w:ascii="Arial" w:cs="Arial" w:eastAsia="Arial" w:hAnsi="Arial"/>
                <w:sz w:val="17"/>
                <w:szCs w:val="17"/>
                <w:color w:val="auto"/>
              </w:rPr>
              <w:t>(Loss) income before income taxes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8"/>
              </w:rPr>
              <w:t>(32,981)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7,972</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11"/>
        </w:trPr>
        <w:tc>
          <w:tcPr>
            <w:tcW w:w="7960" w:type="dxa"/>
            <w:vAlign w:val="bottom"/>
          </w:tcPr>
          <w:p>
            <w:pPr>
              <w:ind w:left="120"/>
              <w:spacing w:after="0"/>
              <w:rPr>
                <w:sz w:val="20"/>
                <w:szCs w:val="20"/>
                <w:color w:val="auto"/>
              </w:rPr>
            </w:pPr>
            <w:r>
              <w:rPr>
                <w:rFonts w:ascii="Arial" w:cs="Arial" w:eastAsia="Arial" w:hAnsi="Arial"/>
                <w:sz w:val="17"/>
                <w:szCs w:val="17"/>
                <w:color w:val="auto"/>
              </w:rPr>
              <w:t>Net (loss) income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8"/>
              </w:rPr>
              <w:t>(31,233)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7,731</w:t>
            </w:r>
          </w:p>
        </w:tc>
      </w:tr>
      <w:tr>
        <w:trPr>
          <w:trHeight w:val="219"/>
        </w:trPr>
        <w:tc>
          <w:tcPr>
            <w:tcW w:w="7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(17,340)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960" w:type="dxa"/>
            <w:vAlign w:val="bottom"/>
          </w:tcPr>
          <w:p>
            <w:pPr>
              <w:ind w:left="120"/>
              <w:spacing w:after="0"/>
              <w:rPr>
                <w:sz w:val="20"/>
                <w:szCs w:val="20"/>
                <w:color w:val="auto"/>
              </w:rPr>
            </w:pPr>
            <w:r>
              <w:rPr>
                <w:rFonts w:ascii="Arial" w:cs="Arial" w:eastAsia="Arial" w:hAnsi="Arial"/>
                <w:sz w:val="17"/>
                <w:szCs w:val="17"/>
                <w:color w:val="auto"/>
              </w:rPr>
              <w:t>Net (loss) income attributable to WM Technology, Inc.</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(13,893)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7,731</w:t>
            </w: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7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00" w:type="dxa"/>
            <w:vAlign w:val="bottom"/>
            <w:gridSpan w:val="2"/>
          </w:tcPr>
          <w:p>
            <w:pPr>
              <w:ind w:left="180"/>
              <w:spacing w:after="0"/>
              <w:rPr>
                <w:sz w:val="20"/>
                <w:szCs w:val="20"/>
                <w:color w:val="auto"/>
              </w:rPr>
            </w:pPr>
            <w:r>
              <w:rPr>
                <w:rFonts w:ascii="Arial" w:cs="Arial" w:eastAsia="Arial" w:hAnsi="Arial"/>
                <w:sz w:val="17"/>
                <w:szCs w:val="17"/>
                <w:color w:val="auto"/>
              </w:rPr>
              <w:t>Cost of revenues</w:t>
            </w:r>
          </w:p>
        </w:tc>
        <w:tc>
          <w:tcPr>
            <w:tcW w:w="56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18"/>
        </w:trPr>
        <w:tc>
          <w:tcPr>
            <w:tcW w:w="890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56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0"/>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7 %</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12"/>
        </w:trPr>
        <w:tc>
          <w:tcPr>
            <w:tcW w:w="8900" w:type="dxa"/>
            <w:vAlign w:val="bottom"/>
            <w:gridSpan w:val="2"/>
          </w:tcPr>
          <w:p>
            <w:pPr>
              <w:ind w:left="220"/>
              <w:spacing w:after="0"/>
              <w:rPr>
                <w:sz w:val="20"/>
                <w:szCs w:val="20"/>
                <w:color w:val="auto"/>
              </w:rPr>
            </w:pPr>
            <w:r>
              <w:rPr>
                <w:rFonts w:ascii="Arial" w:cs="Arial" w:eastAsia="Arial" w:hAnsi="Arial"/>
                <w:sz w:val="17"/>
                <w:szCs w:val="17"/>
                <w:color w:val="auto"/>
              </w:rPr>
              <w:t>Operating (loss) income</w:t>
            </w: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2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0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income, net</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12"/>
        </w:trPr>
        <w:tc>
          <w:tcPr>
            <w:tcW w:w="8900" w:type="dxa"/>
            <w:vAlign w:val="bottom"/>
            <w:gridSpan w:val="2"/>
          </w:tcPr>
          <w:p>
            <w:pPr>
              <w:ind w:left="220"/>
              <w:spacing w:after="0"/>
              <w:rPr>
                <w:sz w:val="20"/>
                <w:szCs w:val="20"/>
                <w:color w:val="auto"/>
              </w:rPr>
            </w:pPr>
            <w:r>
              <w:rPr>
                <w:rFonts w:ascii="Arial" w:cs="Arial" w:eastAsia="Arial" w:hAnsi="Arial"/>
                <w:sz w:val="17"/>
                <w:szCs w:val="17"/>
                <w:color w:val="auto"/>
              </w:rPr>
              <w:t>(Loss) income before income taxes</w:t>
            </w:r>
          </w:p>
        </w:tc>
        <w:tc>
          <w:tcPr>
            <w:tcW w:w="56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12"/>
        </w:trPr>
        <w:tc>
          <w:tcPr>
            <w:tcW w:w="8900" w:type="dxa"/>
            <w:vAlign w:val="bottom"/>
            <w:gridSpan w:val="2"/>
          </w:tcPr>
          <w:p>
            <w:pPr>
              <w:ind w:left="120"/>
              <w:spacing w:after="0"/>
              <w:rPr>
                <w:sz w:val="20"/>
                <w:szCs w:val="20"/>
                <w:color w:val="auto"/>
              </w:rPr>
            </w:pPr>
            <w:r>
              <w:rPr>
                <w:rFonts w:ascii="Arial" w:cs="Arial" w:eastAsia="Arial" w:hAnsi="Arial"/>
                <w:sz w:val="17"/>
                <w:szCs w:val="17"/>
                <w:color w:val="auto"/>
              </w:rPr>
              <w:t>Net (loss) income</w:t>
            </w:r>
          </w:p>
        </w:tc>
        <w:tc>
          <w:tcPr>
            <w:tcW w:w="5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 attributable to noncontrolling interests</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3"/>
        </w:trPr>
        <w:tc>
          <w:tcPr>
            <w:tcW w:w="8900" w:type="dxa"/>
            <w:vAlign w:val="bottom"/>
            <w:gridSpan w:val="2"/>
          </w:tcPr>
          <w:p>
            <w:pPr>
              <w:ind w:left="120"/>
              <w:spacing w:after="0"/>
              <w:rPr>
                <w:sz w:val="20"/>
                <w:szCs w:val="20"/>
                <w:color w:val="auto"/>
              </w:rPr>
            </w:pPr>
            <w:r>
              <w:rPr>
                <w:rFonts w:ascii="Arial" w:cs="Arial" w:eastAsia="Arial" w:hAnsi="Arial"/>
                <w:sz w:val="17"/>
                <w:szCs w:val="17"/>
                <w:color w:val="auto"/>
              </w:rPr>
              <w:t>Net (loss) income attributable to WM Technology, Inc.</w:t>
            </w:r>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40"/>
              <w:spacing w:after="0"/>
              <w:rPr>
                <w:sz w:val="20"/>
                <w:szCs w:val="20"/>
                <w:color w:val="auto"/>
              </w:rPr>
            </w:pPr>
            <w:r>
              <w:rPr>
                <w:rFonts w:ascii="Arial" w:cs="Arial" w:eastAsia="Arial" w:hAnsi="Arial"/>
                <w:sz w:val="17"/>
                <w:szCs w:val="17"/>
                <w:color w:val="auto"/>
              </w:rPr>
              <w:t>35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7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20"/>
                <w:szCs w:val="20"/>
                <w:color w:val="auto"/>
              </w:rPr>
            </w:pPr>
            <w:r>
              <w:rPr>
                <w:rFonts w:ascii="Arial" w:cs="Arial" w:eastAsia="Arial" w:hAnsi="Arial"/>
                <w:sz w:val="17"/>
                <w:szCs w:val="17"/>
                <w:b w:val="1"/>
                <w:bCs w:val="1"/>
                <w:i w:val="1"/>
                <w:iCs w:val="1"/>
                <w:color w:val="auto"/>
                <w:w w:val="93"/>
              </w:rPr>
              <w:t>Comparison of Three Months Ended March 31, 2022 and 2021</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09"/>
        </w:trPr>
        <w:tc>
          <w:tcPr>
            <w:tcW w:w="4660" w:type="dxa"/>
            <w:vAlign w:val="bottom"/>
          </w:tcPr>
          <w:p>
            <w:pPr>
              <w:spacing w:after="0"/>
              <w:rPr>
                <w:sz w:val="20"/>
                <w:szCs w:val="20"/>
                <w:color w:val="auto"/>
              </w:rPr>
            </w:pPr>
            <w:r>
              <w:rPr>
                <w:rFonts w:ascii="Arial" w:cs="Arial" w:eastAsia="Arial" w:hAnsi="Arial"/>
                <w:sz w:val="17"/>
                <w:szCs w:val="17"/>
                <w:b w:val="1"/>
                <w:bCs w:val="1"/>
                <w:i w:val="1"/>
                <w:iCs w:val="1"/>
                <w:color w:val="auto"/>
              </w:rPr>
              <w:t>Revenue</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9"/>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Arial" w:cs="Arial" w:eastAsia="Arial" w:hAnsi="Arial"/>
                <w:sz w:val="17"/>
                <w:szCs w:val="17"/>
                <w:b w:val="1"/>
                <w:bCs w:val="1"/>
                <w:color w:val="auto"/>
              </w:rPr>
              <w:t>Three Months Ended March 31,</w:t>
            </w:r>
          </w:p>
        </w:tc>
        <w:tc>
          <w:tcPr>
            <w:tcW w:w="940" w:type="dxa"/>
            <w:vAlign w:val="bottom"/>
          </w:tcPr>
          <w:p>
            <w:pPr>
              <w:spacing w:after="0"/>
              <w:rPr>
                <w:sz w:val="24"/>
                <w:szCs w:val="24"/>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180" w:type="dxa"/>
            <w:vAlign w:val="bottom"/>
          </w:tcPr>
          <w:p>
            <w:pPr>
              <w:spacing w:after="0"/>
              <w:rPr>
                <w:sz w:val="24"/>
                <w:szCs w:val="24"/>
                <w:color w:val="auto"/>
              </w:rPr>
            </w:pPr>
          </w:p>
        </w:tc>
      </w:tr>
      <w:tr>
        <w:trPr>
          <w:trHeight w:val="213"/>
        </w:trPr>
        <w:tc>
          <w:tcPr>
            <w:tcW w:w="46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w:t>
            </w:r>
          </w:p>
        </w:tc>
      </w:tr>
      <w:tr>
        <w:trPr>
          <w:trHeight w:val="212"/>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rPr>
              <w:t>(dollars in thousands)</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57,452</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w w:val="99"/>
              </w:rPr>
              <w:t>16,298</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r>
    </w:tbl>
    <w:p>
      <w:pPr>
        <w:spacing w:after="0" w:line="18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Total revenue increased by $16.3 million, or 40%, for the three months ended March 31, 2022 compared to the same period in 2021. The increase was driven by a 9% increase in average monthly revenue per paying client and a 28% increase in average monthly paying clients. Our growth in average monthly revenue per paying client and average monthly paying clients primarily reflects continued growth in our WM Business subscription offering and other ad solutions and more client engagement driven by the increased functionality across our WM Business suite of solutions. For the three months ended March 31, 2022, Featured Listing product, WM Business subscription offering and other ad solutions represented 53%, 20% and 27% of our total revenues,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6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49"/>
        </w:trPr>
        <w:tc>
          <w:tcPr>
            <w:tcW w:w="4260" w:type="dxa"/>
            <w:vAlign w:val="bottom"/>
          </w:tcPr>
          <w:p>
            <w:pPr>
              <w:spacing w:after="0"/>
              <w:rPr>
                <w:sz w:val="24"/>
                <w:szCs w:val="24"/>
                <w:color w:val="auto"/>
              </w:rPr>
            </w:pPr>
          </w:p>
        </w:tc>
        <w:tc>
          <w:tcPr>
            <w:tcW w:w="3500" w:type="dxa"/>
            <w:vAlign w:val="bottom"/>
            <w:gridSpan w:val="5"/>
          </w:tcPr>
          <w:p>
            <w:pPr>
              <w:ind w:left="520"/>
              <w:spacing w:after="0"/>
              <w:rPr>
                <w:sz w:val="20"/>
                <w:szCs w:val="20"/>
                <w:color w:val="auto"/>
              </w:rPr>
            </w:pPr>
            <w:r>
              <w:rPr>
                <w:rFonts w:ascii="Arial" w:cs="Arial" w:eastAsia="Arial" w:hAnsi="Arial"/>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100" w:type="dxa"/>
            <w:vAlign w:val="bottom"/>
          </w:tcPr>
          <w:p>
            <w:pPr>
              <w:spacing w:after="0"/>
              <w:rPr>
                <w:sz w:val="24"/>
                <w:szCs w:val="24"/>
                <w:color w:val="auto"/>
              </w:rPr>
            </w:pPr>
          </w:p>
        </w:tc>
      </w:tr>
      <w:tr>
        <w:trPr>
          <w:trHeight w:val="213"/>
        </w:trPr>
        <w:tc>
          <w:tcPr>
            <w:tcW w:w="4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w:t>
            </w:r>
          </w:p>
        </w:tc>
      </w:tr>
      <w:tr>
        <w:trPr>
          <w:trHeight w:val="212"/>
        </w:trPr>
        <w:tc>
          <w:tcPr>
            <w:tcW w:w="4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93"/>
              </w:rPr>
              <w:t>3,740</w:t>
            </w:r>
          </w:p>
        </w:tc>
        <w:tc>
          <w:tcPr>
            <w:tcW w:w="108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3"/>
              </w:rPr>
              <w:t>1,857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1,883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93 %</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95 %</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 increased by $1.9 million, or 101%, for the three months ended March 31, 2022 compared to the same period in 2021. The increase was primarily related to an increase of $1.6 million attributable to inventory costs in connection with certain advertising revenue as well as cost of revenue attributable to a company we acquired in the third quarter of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9"/>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ind w:left="220"/>
              <w:spacing w:after="0"/>
              <w:rPr>
                <w:sz w:val="20"/>
                <w:szCs w:val="20"/>
                <w:color w:val="auto"/>
              </w:rPr>
            </w:pPr>
            <w:r>
              <w:rPr>
                <w:rFonts w:ascii="Arial" w:cs="Arial" w:eastAsia="Arial" w:hAnsi="Arial"/>
                <w:sz w:val="17"/>
                <w:szCs w:val="17"/>
                <w:b w:val="1"/>
                <w:bCs w:val="1"/>
                <w:color w:val="auto"/>
              </w:rPr>
              <w:t>Three Months Ended March 31,</w:t>
            </w:r>
          </w:p>
        </w:tc>
        <w:tc>
          <w:tcPr>
            <w:tcW w:w="92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b w:val="1"/>
                <w:bCs w:val="1"/>
                <w:color w:val="auto"/>
              </w:rPr>
              <w:t>Change</w:t>
            </w:r>
          </w:p>
        </w:tc>
        <w:tc>
          <w:tcPr>
            <w:tcW w:w="1080" w:type="dxa"/>
            <w:vAlign w:val="bottom"/>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w:t>
            </w:r>
          </w:p>
        </w:tc>
      </w:tr>
      <w:tr>
        <w:trPr>
          <w:trHeight w:val="212"/>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3"/>
          </w:tcPr>
          <w:p>
            <w:pPr>
              <w:jc w:val="right"/>
              <w:ind w:right="234"/>
              <w:spacing w:after="0"/>
              <w:rPr>
                <w:sz w:val="20"/>
                <w:szCs w:val="20"/>
                <w:color w:val="auto"/>
              </w:rPr>
            </w:pPr>
            <w:r>
              <w:rPr>
                <w:rFonts w:ascii="Arial" w:cs="Arial" w:eastAsia="Arial" w:hAnsi="Arial"/>
                <w:sz w:val="17"/>
                <w:szCs w:val="17"/>
                <w:b w:val="1"/>
                <w:bCs w:val="1"/>
                <w:color w:val="auto"/>
              </w:rPr>
              <w:t>(dollars in thousands)</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21,882</w:t>
            </w:r>
          </w:p>
        </w:tc>
        <w:tc>
          <w:tcPr>
            <w:tcW w:w="4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9,117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96"/>
              </w:rPr>
              <w:t>12,765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38 %</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Sales and marketing expenses increased by $12.8 million, or 140%, for the three months ended March 31, 2022 compared to the same period in 2021. The increase was primarily due to an increase in personnel-related costs of $9.0 million, an increase in outside services costs of $1.8 million, an increase in website advertising costs of $1.0 million and an increase in branding and advertising costs of $0.5 million. The increase in personnel-related costs was primarily due to increased headcount, including increases in salaries and wages of $3.9 million, bonus expense of $2.8 million, which includes $1.3 million of expense amortization related future bonus payouts in connection with prior acquisitions, and stock-based compensation expense of $1.8 million.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49"/>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4"/>
          </w:tcPr>
          <w:p>
            <w:pPr>
              <w:ind w:left="220"/>
              <w:spacing w:after="0"/>
              <w:rPr>
                <w:sz w:val="20"/>
                <w:szCs w:val="20"/>
                <w:color w:val="auto"/>
              </w:rPr>
            </w:pPr>
            <w:r>
              <w:rPr>
                <w:rFonts w:ascii="Arial" w:cs="Arial" w:eastAsia="Arial" w:hAnsi="Arial"/>
                <w:sz w:val="17"/>
                <w:szCs w:val="17"/>
                <w:b w:val="1"/>
                <w:bCs w:val="1"/>
                <w:color w:val="auto"/>
              </w:rPr>
              <w:t>Three Months Ended March 31,</w:t>
            </w:r>
          </w:p>
        </w:tc>
        <w:tc>
          <w:tcPr>
            <w:tcW w:w="96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120" w:type="dxa"/>
            <w:vAlign w:val="bottom"/>
          </w:tcPr>
          <w:p>
            <w:pPr>
              <w:spacing w:after="0"/>
              <w:rPr>
                <w:sz w:val="24"/>
                <w:szCs w:val="24"/>
                <w:color w:val="auto"/>
              </w:rPr>
            </w:pPr>
          </w:p>
        </w:tc>
      </w:tr>
      <w:tr>
        <w:trPr>
          <w:trHeight w:val="213"/>
        </w:trPr>
        <w:tc>
          <w:tcPr>
            <w:tcW w:w="4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212"/>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gridSpan w:val="3"/>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13,090</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7,868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5,222</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23 %</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183"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Product development expenses increased by $5.2 million, or 66% for the three months ended March 31, 2022 compared to the same period in 2021. The increase was primarily due to increases in personnel-related costs of $7.4 million and an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increase in outside services of $0.8 million, offset by an increase in capitalized software development costs of $3.1 million. The increase in personnel-related costs was primarily due to increases in salaries, wages and bonus of $5.5 million, due to increased headcount, and stock-based compensation costs of $1.8 million. Bonus expense for the first quarter of 2022 includes $0.5 million of expense amortization related to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9"/>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4"/>
          </w:tcPr>
          <w:p>
            <w:pPr>
              <w:ind w:left="200"/>
              <w:spacing w:after="0"/>
              <w:rPr>
                <w:sz w:val="20"/>
                <w:szCs w:val="20"/>
                <w:color w:val="auto"/>
              </w:rPr>
            </w:pPr>
            <w:r>
              <w:rPr>
                <w:rFonts w:ascii="Arial" w:cs="Arial" w:eastAsia="Arial" w:hAnsi="Arial"/>
                <w:sz w:val="17"/>
                <w:szCs w:val="17"/>
                <w:b w:val="1"/>
                <w:bCs w:val="1"/>
                <w:color w:val="auto"/>
              </w:rPr>
              <w:t>Three Months Ended March 31,</w:t>
            </w:r>
          </w:p>
        </w:tc>
        <w:tc>
          <w:tcPr>
            <w:tcW w:w="90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080" w:type="dxa"/>
            <w:vAlign w:val="bottom"/>
          </w:tcPr>
          <w:p>
            <w:pPr>
              <w:spacing w:after="0"/>
              <w:rPr>
                <w:sz w:val="24"/>
                <w:szCs w:val="24"/>
                <w:color w:val="auto"/>
              </w:rPr>
            </w:pPr>
          </w:p>
        </w:tc>
      </w:tr>
      <w:tr>
        <w:trPr>
          <w:trHeight w:val="213"/>
        </w:trPr>
        <w:tc>
          <w:tcPr>
            <w:tcW w:w="4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w:t>
            </w:r>
          </w:p>
        </w:tc>
      </w:tr>
      <w:tr>
        <w:trPr>
          <w:trHeight w:val="212"/>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3"/>
          </w:tcPr>
          <w:p>
            <w:pPr>
              <w:jc w:val="right"/>
              <w:ind w:right="214"/>
              <w:spacing w:after="0"/>
              <w:rPr>
                <w:sz w:val="20"/>
                <w:szCs w:val="20"/>
                <w:color w:val="auto"/>
              </w:rPr>
            </w:pPr>
            <w:r>
              <w:rPr>
                <w:rFonts w:ascii="Arial" w:cs="Arial" w:eastAsia="Arial" w:hAnsi="Arial"/>
                <w:sz w:val="17"/>
                <w:szCs w:val="17"/>
                <w:b w:val="1"/>
                <w:bCs w:val="1"/>
                <w:color w:val="auto"/>
              </w:rPr>
              <w:t>(dollars in thousands)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29,055</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13,366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99"/>
              </w:rPr>
              <w:t>15,689</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18"/>
        </w:trPr>
        <w:tc>
          <w:tcPr>
            <w:tcW w:w="466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51 %</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26" w:lineRule="auto"/>
        <w:rPr>
          <w:sz w:val="20"/>
          <w:szCs w:val="20"/>
          <w:color w:val="auto"/>
        </w:rPr>
      </w:pPr>
      <w:r>
        <w:rPr>
          <w:rFonts w:ascii="Arial" w:cs="Arial" w:eastAsia="Arial" w:hAnsi="Arial"/>
          <w:sz w:val="17"/>
          <w:szCs w:val="17"/>
          <w:color w:val="auto"/>
        </w:rPr>
        <w:t>General and administrative expenses increased by $15.7 million, or 117%, for the three months ended March 31, 2022 compared to the same period in 2021. This increase was primarily due to an increase in personnel-related costs of $7.0 million, insurance costs of $3.1 million as a result of additional insurance coverage as a public company, bad debt expense of $2.7 million due to higher reserves for past due balances outstanding greater than ninety days, software expense of $1.4 million and professional services of $1.1 million. The increase in personal-related costs was primarily due to increases in stock-based compensation expense of $4.3 million, salaries and wages expense of $1.3 million and bonus expense of $0.9 million, which includes $0.2 million of expense amortization related future bonus payouts in connection with prior acquisitions. The increase in our stock-based compensation was partially due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second half of 2021 and the first quarter of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49"/>
        </w:trPr>
        <w:tc>
          <w:tcPr>
            <w:tcW w:w="4560" w:type="dxa"/>
            <w:vAlign w:val="bottom"/>
          </w:tcPr>
          <w:p>
            <w:pPr>
              <w:spacing w:after="0"/>
              <w:rPr>
                <w:sz w:val="24"/>
                <w:szCs w:val="24"/>
                <w:color w:val="auto"/>
              </w:rPr>
            </w:pPr>
          </w:p>
        </w:tc>
        <w:tc>
          <w:tcPr>
            <w:tcW w:w="3520" w:type="dxa"/>
            <w:vAlign w:val="bottom"/>
            <w:gridSpan w:val="5"/>
          </w:tcPr>
          <w:p>
            <w:pPr>
              <w:ind w:left="540"/>
              <w:spacing w:after="0"/>
              <w:rPr>
                <w:sz w:val="20"/>
                <w:szCs w:val="20"/>
                <w:color w:val="auto"/>
              </w:rPr>
            </w:pPr>
            <w:r>
              <w:rPr>
                <w:rFonts w:ascii="Arial" w:cs="Arial" w:eastAsia="Arial" w:hAnsi="Arial"/>
                <w:sz w:val="17"/>
                <w:szCs w:val="17"/>
                <w:b w:val="1"/>
                <w:bCs w:val="1"/>
                <w:color w:val="auto"/>
              </w:rPr>
              <w:t>Three Months Ended March 31,</w:t>
            </w:r>
          </w:p>
        </w:tc>
        <w:tc>
          <w:tcPr>
            <w:tcW w:w="980" w:type="dxa"/>
            <w:vAlign w:val="bottom"/>
          </w:tcPr>
          <w:p>
            <w:pPr>
              <w:spacing w:after="0"/>
              <w:rPr>
                <w:sz w:val="24"/>
                <w:szCs w:val="24"/>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b w:val="1"/>
                <w:bCs w:val="1"/>
                <w:color w:val="auto"/>
              </w:rPr>
              <w:t>Change</w:t>
            </w:r>
          </w:p>
        </w:tc>
        <w:tc>
          <w:tcPr>
            <w:tcW w:w="1100" w:type="dxa"/>
            <w:vAlign w:val="bottom"/>
          </w:tcPr>
          <w:p>
            <w:pPr>
              <w:spacing w:after="0"/>
              <w:rPr>
                <w:sz w:val="24"/>
                <w:szCs w:val="24"/>
                <w:color w:val="auto"/>
              </w:rPr>
            </w:pPr>
          </w:p>
        </w:tc>
      </w:tr>
      <w:tr>
        <w:trPr>
          <w:trHeight w:val="213"/>
        </w:trPr>
        <w:tc>
          <w:tcPr>
            <w:tcW w:w="4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w:t>
            </w:r>
          </w:p>
        </w:tc>
      </w:tr>
      <w:tr>
        <w:trPr>
          <w:trHeight w:val="212"/>
        </w:trPr>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expenses</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3"/>
              </w:rPr>
              <w:t>3,945</w:t>
            </w:r>
          </w:p>
        </w:tc>
        <w:tc>
          <w:tcPr>
            <w:tcW w:w="108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3"/>
              </w:rPr>
              <w:t>1,002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rPr>
              <w:t>2,943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r>
      <w:tr>
        <w:trPr>
          <w:trHeight w:val="218"/>
        </w:trPr>
        <w:tc>
          <w:tcPr>
            <w:tcW w:w="456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7 %</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Depreciation and amortization increased $2.9 million for the three months ended March 31, 2022 compared to the same period in 2021. The increase was primarily due to increases in capitalized software amortization of $1.7 million, fixed asset depreciation of $0.8 million and intangible asset amortization of $0.4 million. Capitalized software amortization included accelerated depreciation of $1.1 million related to discontinued product features of WM Retail.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20"/>
                <w:szCs w:val="20"/>
                <w:color w:val="auto"/>
              </w:rPr>
            </w:pPr>
            <w:r>
              <w:rPr>
                <w:rFonts w:ascii="Arial" w:cs="Arial" w:eastAsia="Arial" w:hAnsi="Arial"/>
                <w:sz w:val="17"/>
                <w:szCs w:val="17"/>
                <w:b w:val="1"/>
                <w:bCs w:val="1"/>
                <w:i w:val="1"/>
                <w:iCs w:val="1"/>
                <w:color w:val="auto"/>
              </w:rPr>
              <w:t>Other (Expense) Income , net</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6"/>
        </w:trPr>
        <w:tc>
          <w:tcPr>
            <w:tcW w:w="4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00" w:type="dxa"/>
            <w:vAlign w:val="bottom"/>
            <w:gridSpan w:val="6"/>
          </w:tcPr>
          <w:p>
            <w:pPr>
              <w:ind w:left="220"/>
              <w:spacing w:after="0"/>
              <w:rPr>
                <w:sz w:val="20"/>
                <w:szCs w:val="20"/>
                <w:color w:val="auto"/>
              </w:rPr>
            </w:pPr>
            <w:r>
              <w:rPr>
                <w:rFonts w:ascii="Arial" w:cs="Arial" w:eastAsia="Arial" w:hAnsi="Arial"/>
                <w:sz w:val="17"/>
                <w:szCs w:val="17"/>
                <w:b w:val="1"/>
                <w:bCs w:val="1"/>
                <w:color w:val="auto"/>
              </w:rPr>
              <w:t>Three Months Ended March 31,</w:t>
            </w:r>
          </w:p>
        </w:tc>
        <w:tc>
          <w:tcPr>
            <w:tcW w:w="1460" w:type="dxa"/>
            <w:vAlign w:val="bottom"/>
          </w:tcPr>
          <w:p>
            <w:pPr>
              <w:jc w:val="right"/>
              <w:ind w:right="134"/>
              <w:spacing w:after="0"/>
              <w:rPr>
                <w:sz w:val="20"/>
                <w:szCs w:val="20"/>
                <w:color w:val="auto"/>
              </w:rPr>
            </w:pPr>
            <w:r>
              <w:rPr>
                <w:rFonts w:ascii="Arial" w:cs="Arial" w:eastAsia="Arial" w:hAnsi="Arial"/>
                <w:sz w:val="17"/>
                <w:szCs w:val="17"/>
                <w:b w:val="1"/>
                <w:bCs w:val="1"/>
                <w:color w:val="auto"/>
              </w:rPr>
              <w:t>Change</w:t>
            </w:r>
          </w:p>
        </w:tc>
        <w:tc>
          <w:tcPr>
            <w:tcW w:w="1120" w:type="dxa"/>
            <w:vAlign w:val="bottom"/>
          </w:tcPr>
          <w:p>
            <w:pPr>
              <w:spacing w:after="0"/>
              <w:rPr>
                <w:sz w:val="21"/>
                <w:szCs w:val="21"/>
                <w:color w:val="auto"/>
              </w:rPr>
            </w:pPr>
          </w:p>
        </w:tc>
      </w:tr>
      <w:tr>
        <w:trPr>
          <w:trHeight w:val="213"/>
        </w:trPr>
        <w:tc>
          <w:tcPr>
            <w:tcW w:w="44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212"/>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gridSpan w:val="3"/>
          </w:tcPr>
          <w:p>
            <w:pPr>
              <w:ind w:left="440"/>
              <w:spacing w:after="0"/>
              <w:rPr>
                <w:sz w:val="20"/>
                <w:szCs w:val="20"/>
                <w:color w:val="auto"/>
              </w:rPr>
            </w:pPr>
            <w:r>
              <w:rPr>
                <w:rFonts w:ascii="Arial" w:cs="Arial" w:eastAsia="Arial" w:hAnsi="Arial"/>
                <w:sz w:val="17"/>
                <w:szCs w:val="17"/>
                <w:b w:val="1"/>
                <w:bCs w:val="1"/>
                <w:color w:val="auto"/>
                <w:w w:val="90"/>
              </w:rPr>
              <w:t>(dollars in thousands)</w:t>
            </w: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206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(18,219)</w:t>
            </w:r>
          </w:p>
        </w:tc>
        <w:tc>
          <w:tcPr>
            <w:tcW w:w="11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100</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(502)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ind w:right="474"/>
              <w:spacing w:after="0"/>
              <w:rPr>
                <w:sz w:val="20"/>
                <w:szCs w:val="20"/>
                <w:color w:val="auto"/>
              </w:rPr>
            </w:pPr>
            <w:r>
              <w:rPr>
                <w:rFonts w:ascii="Arial" w:cs="Arial" w:eastAsia="Arial" w:hAnsi="Arial"/>
                <w:sz w:val="17"/>
                <w:szCs w:val="17"/>
                <w:color w:val="auto"/>
              </w:rPr>
              <w:t>(530)</w:t>
            </w:r>
          </w:p>
        </w:tc>
        <w:tc>
          <w:tcPr>
            <w:tcW w:w="1120" w:type="dxa"/>
            <w:vAlign w:val="bottom"/>
            <w:tcBorders>
              <w:bottom w:val="single" w:sz="8" w:color="CCEEFF"/>
            </w:tcBorders>
          </w:tcPr>
          <w:p>
            <w:pPr>
              <w:ind w:left="780"/>
              <w:spacing w:after="0"/>
              <w:rPr>
                <w:sz w:val="20"/>
                <w:szCs w:val="20"/>
                <w:color w:val="auto"/>
              </w:rPr>
            </w:pPr>
            <w:r>
              <w:rPr>
                <w:rFonts w:ascii="Arial" w:cs="Arial" w:eastAsia="Arial" w:hAnsi="Arial"/>
                <w:sz w:val="17"/>
                <w:szCs w:val="17"/>
                <w:color w:val="auto"/>
              </w:rPr>
              <w:t>N/M</w:t>
            </w:r>
          </w:p>
        </w:tc>
      </w:tr>
      <w:tr>
        <w:trPr>
          <w:trHeight w:val="213"/>
        </w:trPr>
        <w:tc>
          <w:tcPr>
            <w:tcW w:w="4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(expense)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(18,721)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ind w:left="94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(18,749)</w:t>
            </w:r>
          </w:p>
        </w:tc>
        <w:tc>
          <w:tcPr>
            <w:tcW w:w="1120" w:type="dxa"/>
            <w:vAlign w:val="bottom"/>
            <w:shd w:val="clear" w:color="auto" w:fill="CCEEFF"/>
          </w:tcPr>
          <w:p>
            <w:pPr>
              <w:ind w:left="780"/>
              <w:spacing w:after="0"/>
              <w:rPr>
                <w:sz w:val="20"/>
                <w:szCs w:val="20"/>
                <w:color w:val="auto"/>
              </w:rPr>
            </w:pPr>
            <w:r>
              <w:rPr>
                <w:rFonts w:ascii="Arial" w:cs="Arial" w:eastAsia="Arial" w:hAnsi="Arial"/>
                <w:sz w:val="17"/>
                <w:szCs w:val="17"/>
                <w:color w:val="auto"/>
              </w:rPr>
              <w:t>N/M</w:t>
            </w:r>
          </w:p>
        </w:tc>
      </w:tr>
    </w:tbl>
    <w:p>
      <w:pPr>
        <w:ind w:left="20"/>
        <w:spacing w:after="0"/>
        <w:tabs>
          <w:tab w:leader="none" w:pos="5660" w:val="left"/>
          <w:tab w:leader="none" w:pos="7520" w:val="left"/>
        </w:tabs>
        <w:rPr>
          <w:sz w:val="20"/>
          <w:szCs w:val="20"/>
          <w:color w:val="auto"/>
        </w:rPr>
      </w:pPr>
      <w:r>
        <w:rPr>
          <w:rFonts w:ascii="Arial" w:cs="Arial" w:eastAsia="Arial" w:hAnsi="Arial"/>
          <w:sz w:val="17"/>
          <w:szCs w:val="17"/>
          <w:color w:val="auto"/>
        </w:rPr>
        <w:t>Percentage of revenue</w:t>
      </w:r>
      <w:r>
        <w:rPr>
          <w:sz w:val="20"/>
          <w:szCs w:val="20"/>
          <w:color w:val="auto"/>
        </w:rPr>
        <w:tab/>
      </w: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 %</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Other (expense) income, net increased by $18.7 million for the three months ended March 31, 2022 compared to the same period in 2021. The increase in other expense was primarily due to changes in fair value of warrant liability of $18.2 million as well as an increase in other expense, net of $0.5 million.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March 31, 2022</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6"/>
              </w:rPr>
              <w:t>December 31, 2021</w:t>
            </w:r>
          </w:p>
        </w:tc>
      </w:tr>
      <w:tr>
        <w:trPr>
          <w:trHeight w:val="213"/>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3"/>
          </w:tcPr>
          <w:p>
            <w:pPr>
              <w:jc w:val="right"/>
              <w:ind w:right="1394"/>
              <w:spacing w:after="0"/>
              <w:rPr>
                <w:sz w:val="20"/>
                <w:szCs w:val="20"/>
                <w:color w:val="auto"/>
              </w:rPr>
            </w:pPr>
            <w:r>
              <w:rPr>
                <w:rFonts w:ascii="Arial" w:cs="Arial" w:eastAsia="Arial" w:hAnsi="Arial"/>
                <w:sz w:val="17"/>
                <w:szCs w:val="17"/>
                <w:b w:val="1"/>
                <w:bCs w:val="1"/>
                <w:color w:val="auto"/>
              </w:rPr>
              <w:t>(in thousands)</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55,857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67,777</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23,657</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17,550</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54,620</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61,134</w:t>
            </w:r>
          </w:p>
        </w:tc>
      </w:tr>
    </w:tbl>
    <w:p>
      <w:pPr>
        <w:spacing w:after="0" w:line="18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As of March 31, 2022, we had cash of $55.9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primarily finance our operations and capital expenditures through cash flows generated by operations.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61"/>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w w:val="92"/>
              </w:rPr>
              <w:t>Three months ended March 31,</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4"/>
              </w:rPr>
              <w:t>2021</w:t>
            </w:r>
          </w:p>
        </w:tc>
      </w:tr>
      <w:tr>
        <w:trPr>
          <w:trHeight w:val="212"/>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7"/>
                <w:szCs w:val="17"/>
                <w:b w:val="1"/>
                <w:bCs w:val="1"/>
                <w:color w:val="auto"/>
              </w:rPr>
              <w:t>(in thousands)</w:t>
            </w:r>
          </w:p>
        </w:tc>
        <w:tc>
          <w:tcPr>
            <w:tcW w:w="840" w:type="dxa"/>
            <w:vAlign w:val="bottom"/>
          </w:tcPr>
          <w:p>
            <w:pPr>
              <w:spacing w:after="0"/>
              <w:rPr>
                <w:sz w:val="18"/>
                <w:szCs w:val="18"/>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(6,993)</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10,587</w:t>
            </w:r>
          </w:p>
        </w:tc>
      </w:tr>
      <w:tr>
        <w:trPr>
          <w:trHeight w:val="218"/>
        </w:trPr>
        <w:tc>
          <w:tcPr>
            <w:tcW w:w="84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(4,914)</w:t>
            </w:r>
          </w:p>
        </w:tc>
        <w:tc>
          <w:tcPr>
            <w:tcW w:w="52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(283)</w:t>
            </w:r>
          </w:p>
        </w:tc>
      </w:tr>
      <w:tr>
        <w:trPr>
          <w:trHeight w:val="22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r>
    </w:tbl>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Provided by Operating Activities</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Cash from operating activities consists primarily of net income (loss) adjusted for certain non-cash items, including depreciation and amortization, change in fair value of warrant liability, stock-based compensation, provision for doubtful accounts, deferred taxes and the effect of changes in working capital.</w:t>
      </w:r>
    </w:p>
    <w:p>
      <w:pPr>
        <w:spacing w:after="0" w:line="3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Net cash used in operating activities for the three months ended March 31, 2022 was $7.0 million, which resulted from a net loss of $31.2 million, together with net cash outflows of $6.5 million from changes in operating assets and liabilities, and non-cash items of $30.7 million, consisting of depreciation and amortization of $3.9 million, fair value of warrant liability of $18.2 million, stock-based compensation of $7.5 million, deferred income taxes of $1.7 million and provision for doubtful accounts of $2.8 million. Net cash outflows from changes in operating assets and liabilities were primarily due to an increase in accounts receivable of $7.8 million and a decrease in deferred revenue of 0.3 million, offset by a decrease in prepaid and other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assets of $1.6 million. The changes in operating assets and liabilities are mostly due to fluctuations in timing of cash receipts and payments.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Net cash provided by operating activities for the three months ended March 31, 2021 was $10.6 million, which resulted from net income of approximately $7.7 million, together with net cash inflows of approximately $1.7 million from changes in operating assets and liabilities, and non-cash items of $1.1 million, consisting of depreciation and amortization and provision for doubtful accounts. The net cash inflows from changes in operating assets and liabilities were primarily due to a decrease in accounts receivables of $1.8 million, an increase in accounts payable and accrued expenses of $1.6 million and an increase in deferred revenue of $0.9 million. These changes were partially offset by an increase in prepaid expenses and other current assets of $2.5 million. The changes in operating assets and liabilities are mostly due to fluctuations in timing of cash receipts and payments.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Cash used in investing activities for the three months ended March 31, 2022 was $4.9 million, which resulted from $4.2 million cash paid for purchases of property and equipment, including certain capitalized software development cost and $0.7 million net cash paid for acquisition.</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Cash used in investing activities for the three months ended March 31, 2021 was $0.3 million for purchases of property and equipment.</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Less than $0.1 million of cash outflow was used in financing activities for the three months ended March 31, 2022 for the taxes paid related to net share settlement of equity awards.</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Net cash used in financing activities for the three months ended March 31, 2021 was $10.6 million, which resulted from $10.5 million distributions to members and $0.1 million paid for the repurchase of Class B Units.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recognition of such items as over time or point-in-time requires us to make significant judgement and estimates.</w:t>
      </w:r>
    </w:p>
    <w:p>
      <w:pPr>
        <w:spacing w:after="0" w:line="82"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March 31, 2022, total net deferred tax assets and TRA liability were $171.0 million and $134.1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March 31, 2022, we recognized stock-based compensation expense of $7.5 million. See Note 11 to our condensed consolidated financial statements included herein.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 Development Costs</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months ended March 31, 2022, we capitalized $4.1 million of costs related to the development of software applications.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 xml:space="preserve">In connection with the Business Combination, we assumed 12,499,993 Public Warrants and 7,000,000 Private Placement Warrants. As of March 31, 2022, 12,499,973 of the Public Warrants and all of the Private Placement Warrants remained outstanding . The warrants are measured at fair value under ASC 820 -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Measurements</w:t>
      </w:r>
      <w:r>
        <w:rPr>
          <w:rFonts w:ascii="Arial" w:cs="Arial" w:eastAsia="Arial" w:hAnsi="Arial"/>
          <w:sz w:val="16"/>
          <w:szCs w:val="16"/>
          <w:color w:val="auto"/>
        </w:rPr>
        <w:t>. The fair value of the Public Warrants is classified as Level 1 financial instruments and is based on the publicly listed trading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March 31, 2022 and December 31, 2021, warranty liability was $45.7 million and $27.5 million, respectively. See Note 4 to our condensed consolidated financial statements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our condensed consolidated financial statements included herein.</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consider all highly liquid investments with an original maturity of three months or less to be cash equivalents. As of March 31, 2022, we did not have any cash equivalents.</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for the year ended December 31, 2020,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March 31, 2022, our disclosure controls and procedures continue to not be effective.</w:t>
      </w:r>
    </w:p>
    <w:p>
      <w:pPr>
        <w:spacing w:after="0" w:line="75"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for the year ended December 31, 2020,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when making investment decisions regarding our securities. The risk factors that were disclosed in our 2021 Form 10-K have not materially changed since the date of our 2021 Form 10-K was filed.</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4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On January 3, 2022, the Company entered into the Agreement and Plan of Reorganization with Janus Merger Sub I, LLC, WM In-Store Solutions, LLC, Eyechronic and Brian Schwartz, as certain holders’ representative, pursuant to which the Company acquired Eyechronic for a total consideration of approximately $29.4 million, including the issuance by the Company of 4,721,706 shares of Class A Common Stock. The shares were issued in reliance on the exemption from registration in Section 4(a)(2) under the Securities Act.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 on Form 10-Q.</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80" w:type="dxa"/>
            <w:vAlign w:val="bottom"/>
            <w:gridSpan w:val="5"/>
          </w:tcPr>
          <w:p>
            <w:pPr>
              <w:ind w:left="20"/>
              <w:spacing w:after="0"/>
              <w:rPr>
                <w:sz w:val="20"/>
                <w:szCs w:val="20"/>
                <w:color w:val="auto"/>
              </w:rPr>
            </w:pPr>
            <w:r>
              <w:rPr>
                <w:rFonts w:ascii="Arial" w:cs="Arial" w:eastAsia="Arial" w:hAnsi="Arial"/>
                <w:sz w:val="17"/>
                <w:szCs w:val="17"/>
                <w:b w:val="1"/>
                <w:bCs w:val="1"/>
                <w:color w:val="auto"/>
              </w:rPr>
              <w:t>Exhibit No.</w:t>
            </w: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20" w:type="dxa"/>
            <w:vAlign w:val="bottom"/>
            <w:gridSpan w:val="6"/>
          </w:tcPr>
          <w:p>
            <w:pPr>
              <w:ind w:left="5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80"/>
        </w:trPr>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gridSpan w:val="2"/>
            <w:shd w:val="clear" w:color="auto" w:fill="CCEEFF"/>
          </w:tcPr>
          <w:p>
            <w:pPr>
              <w:spacing w:after="0" w:line="161" w:lineRule="exact"/>
              <w:rPr>
                <w:rFonts w:ascii="Arial" w:cs="Arial" w:eastAsia="Arial" w:hAnsi="Arial"/>
                <w:sz w:val="17"/>
                <w:szCs w:val="17"/>
                <w:color w:val="0000FF"/>
              </w:rPr>
            </w:pPr>
            <w:hyperlink w:anchor="page48">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80" w:type="dxa"/>
            <w:vAlign w:val="bottom"/>
            <w:tcBorders>
              <w:top w:val="single" w:sz="8" w:color="auto"/>
            </w:tcBorders>
            <w:gridSpan w:val="8"/>
            <w:shd w:val="clear" w:color="auto" w:fill="CCEEFF"/>
          </w:tcPr>
          <w:p>
            <w:pPr>
              <w:spacing w:after="0" w:line="161" w:lineRule="exact"/>
              <w:rPr>
                <w:rFonts w:ascii="Arial" w:cs="Arial" w:eastAsia="Arial" w:hAnsi="Arial"/>
                <w:sz w:val="17"/>
                <w:szCs w:val="17"/>
                <w:color w:val="0000FF"/>
              </w:rPr>
            </w:pPr>
            <w:hyperlink w:anchor="page48">
              <w:r>
                <w:rPr>
                  <w:rFonts w:ascii="Arial" w:cs="Arial" w:eastAsia="Arial" w:hAnsi="Arial"/>
                  <w:sz w:val="17"/>
                  <w:szCs w:val="17"/>
                  <w:color w:val="0000FF"/>
                </w:rPr>
                <w:t>WM Technology, Inc. Amended and Restated Non-Employee Director Compensation Policy, effective February 9, 2022</w:t>
              </w:r>
            </w:hyperlink>
          </w:p>
        </w:tc>
        <w:tc>
          <w:tcPr>
            <w:tcW w:w="0" w:type="dxa"/>
            <w:vAlign w:val="bottom"/>
          </w:tcPr>
          <w:p>
            <w:pPr>
              <w:spacing w:after="0"/>
              <w:rPr>
                <w:sz w:val="1"/>
                <w:szCs w:val="1"/>
                <w:color w:val="auto"/>
              </w:rPr>
            </w:pPr>
          </w:p>
        </w:tc>
      </w:tr>
      <w:tr>
        <w:trPr>
          <w:trHeight w:val="26"/>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284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80" w:type="dxa"/>
            <w:vAlign w:val="bottom"/>
            <w:gridSpan w:val="2"/>
          </w:tcPr>
          <w:p>
            <w:pPr>
              <w:spacing w:after="0" w:line="180" w:lineRule="exact"/>
              <w:rPr>
                <w:rFonts w:ascii="Arial" w:cs="Arial" w:eastAsia="Arial" w:hAnsi="Arial"/>
                <w:sz w:val="17"/>
                <w:szCs w:val="17"/>
                <w:color w:val="0000FF"/>
              </w:rPr>
            </w:pPr>
            <w:hyperlink w:anchor="page51">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8"/>
          </w:tcPr>
          <w:p>
            <w:pPr>
              <w:spacing w:after="0" w:line="180" w:lineRule="exact"/>
              <w:rPr>
                <w:rFonts w:ascii="Arial" w:cs="Arial" w:eastAsia="Arial" w:hAnsi="Arial"/>
                <w:sz w:val="17"/>
                <w:szCs w:val="17"/>
                <w:color w:val="0000FF"/>
              </w:rPr>
            </w:pPr>
            <w:hyperlink w:anchor="page51">
              <w:r>
                <w:rPr>
                  <w:rFonts w:ascii="Arial" w:cs="Arial" w:eastAsia="Arial" w:hAnsi="Arial"/>
                  <w:sz w:val="17"/>
                  <w:szCs w:val="17"/>
                  <w:color w:val="0000FF"/>
                </w:rPr>
                <w:t>Offer letter by and between Ghost Management Group, LLC and Brian Camire, dated April 4,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4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80" w:type="dxa"/>
            <w:vAlign w:val="bottom"/>
            <w:gridSpan w:val="8"/>
            <w:shd w:val="clear" w:color="auto" w:fill="CCEEFF"/>
          </w:tcPr>
          <w:p>
            <w:pPr>
              <w:spacing w:after="0" w:line="192" w:lineRule="exact"/>
              <w:rPr>
                <w:rFonts w:ascii="Arial" w:cs="Arial" w:eastAsia="Arial" w:hAnsi="Arial"/>
                <w:sz w:val="17"/>
                <w:szCs w:val="17"/>
                <w:color w:val="0000FF"/>
                <w:w w:val="92"/>
              </w:rPr>
            </w:pPr>
            <w:hyperlink w:anchor="page57">
              <w:r>
                <w:rPr>
                  <w:rFonts w:ascii="Arial" w:cs="Arial" w:eastAsia="Arial" w:hAnsi="Arial"/>
                  <w:sz w:val="17"/>
                  <w:szCs w:val="17"/>
                  <w:color w:val="0000FF"/>
                  <w:w w:val="92"/>
                </w:rPr>
                <w:t>Certification of the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5"/>
            <w:shd w:val="clear" w:color="auto" w:fill="CCEEFF"/>
          </w:tcPr>
          <w:p>
            <w:pPr>
              <w:spacing w:after="0" w:line="148" w:lineRule="exact"/>
              <w:rPr>
                <w:rFonts w:ascii="Arial" w:cs="Arial" w:eastAsia="Arial" w:hAnsi="Arial"/>
                <w:sz w:val="17"/>
                <w:szCs w:val="17"/>
                <w:color w:val="0000FF"/>
              </w:rPr>
            </w:pPr>
            <w:hyperlink w:anchor="page57">
              <w:r>
                <w:rPr>
                  <w:rFonts w:ascii="Arial" w:cs="Arial" w:eastAsia="Arial" w:hAnsi="Arial"/>
                  <w:sz w:val="17"/>
                  <w:szCs w:val="17"/>
                  <w:color w:val="0000FF"/>
                </w:rPr>
                <w:t>pursuant to Section 302 of the Sarbanes-Oxley Act of 2002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8"/>
          </w:tcPr>
          <w:p>
            <w:pPr>
              <w:spacing w:after="0" w:line="180" w:lineRule="exact"/>
              <w:rPr>
                <w:rFonts w:ascii="Arial" w:cs="Arial" w:eastAsia="Arial" w:hAnsi="Arial"/>
                <w:sz w:val="17"/>
                <w:szCs w:val="17"/>
                <w:color w:val="0000FF"/>
                <w:w w:val="92"/>
              </w:rPr>
            </w:pPr>
            <w:hyperlink w:anchor="page59">
              <w:r>
                <w:rPr>
                  <w:rFonts w:ascii="Arial" w:cs="Arial" w:eastAsia="Arial" w:hAnsi="Arial"/>
                  <w:sz w:val="17"/>
                  <w:szCs w:val="17"/>
                  <w:color w:val="0000FF"/>
                  <w:w w:val="92"/>
                </w:rPr>
                <w:t>Certification of the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6"/>
          </w:tcPr>
          <w:p>
            <w:pPr>
              <w:spacing w:after="0" w:line="161" w:lineRule="exact"/>
              <w:rPr>
                <w:rFonts w:ascii="Arial" w:cs="Arial" w:eastAsia="Arial" w:hAnsi="Arial"/>
                <w:sz w:val="17"/>
                <w:szCs w:val="17"/>
                <w:color w:val="0000FF"/>
              </w:rPr>
            </w:pPr>
            <w:hyperlink w:anchor="page59">
              <w:r>
                <w:rPr>
                  <w:rFonts w:ascii="Arial" w:cs="Arial" w:eastAsia="Arial" w:hAnsi="Arial"/>
                  <w:sz w:val="17"/>
                  <w:szCs w:val="17"/>
                  <w:color w:val="0000FF"/>
                </w:rPr>
                <w:t>pursuant to Section 302 of the Sarbanes-Oxley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w w:val="90"/>
              </w:rPr>
            </w:pPr>
            <w:hyperlink w:anchor="page60">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80" w:type="dxa"/>
            <w:vAlign w:val="bottom"/>
            <w:gridSpan w:val="8"/>
            <w:shd w:val="clear" w:color="auto" w:fill="CCEEFF"/>
          </w:tcPr>
          <w:p>
            <w:pPr>
              <w:spacing w:after="0" w:line="192" w:lineRule="exact"/>
              <w:rPr>
                <w:rFonts w:ascii="Arial" w:cs="Arial" w:eastAsia="Arial" w:hAnsi="Arial"/>
                <w:sz w:val="17"/>
                <w:szCs w:val="17"/>
                <w:color w:val="0000FF"/>
                <w:w w:val="97"/>
              </w:rPr>
            </w:pPr>
            <w:hyperlink w:anchor="page60">
              <w:r>
                <w:rPr>
                  <w:rFonts w:ascii="Arial" w:cs="Arial" w:eastAsia="Arial" w:hAnsi="Arial"/>
                  <w:sz w:val="17"/>
                  <w:szCs w:val="17"/>
                  <w:color w:val="0000FF"/>
                  <w:w w:val="97"/>
                </w:rPr>
                <w:t>Certifications of the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380" w:type="dxa"/>
            <w:vAlign w:val="bottom"/>
            <w:tcBorders>
              <w:top w:val="single" w:sz="8" w:color="CCEEFF"/>
              <w:bottom w:val="single" w:sz="8" w:color="0000FF"/>
            </w:tcBorders>
            <w:gridSpan w:val="2"/>
            <w:vMerge w:val="continue"/>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60" w:type="dxa"/>
            <w:vAlign w:val="bottom"/>
            <w:tcBorders>
              <w:top w:val="single" w:sz="8" w:color="0000FF"/>
              <w:bottom w:val="single" w:sz="8" w:color="0000FF"/>
            </w:tcBorders>
            <w:shd w:val="clear" w:color="auto" w:fill="CCEEFF"/>
          </w:tcPr>
          <w:p>
            <w:pPr>
              <w:spacing w:after="0" w:line="148" w:lineRule="exact"/>
              <w:rPr>
                <w:rFonts w:ascii="Arial" w:cs="Arial" w:eastAsia="Arial" w:hAnsi="Arial"/>
                <w:sz w:val="17"/>
                <w:szCs w:val="17"/>
                <w:color w:val="0000FF"/>
                <w:w w:val="91"/>
              </w:rPr>
            </w:pPr>
            <w:hyperlink w:anchor="page60">
              <w:r>
                <w:rPr>
                  <w:rFonts w:ascii="Arial" w:cs="Arial" w:eastAsia="Arial" w:hAnsi="Arial"/>
                  <w:sz w:val="17"/>
                  <w:szCs w:val="17"/>
                  <w:color w:val="0000FF"/>
                  <w:w w:val="91"/>
                </w:rPr>
                <w:t>Section 906 of the Sarbanes-Oxley Act of 2002</w:t>
              </w:r>
            </w:hyperlink>
          </w:p>
        </w:tc>
        <w:tc>
          <w:tcPr>
            <w:tcW w:w="680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180" w:type="dxa"/>
            <w:vAlign w:val="bottom"/>
            <w:gridSpan w:val="5"/>
            <w:vMerge w:val="restart"/>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4"/>
                <w:szCs w:val="14"/>
                <w:color w:val="auto"/>
              </w:rPr>
            </w:pPr>
          </w:p>
        </w:tc>
        <w:tc>
          <w:tcPr>
            <w:tcW w:w="10080" w:type="dxa"/>
            <w:vAlign w:val="bottom"/>
            <w:gridSpan w:val="8"/>
          </w:tcPr>
          <w:p>
            <w:pPr>
              <w:spacing w:after="0" w:line="168" w:lineRule="exact"/>
              <w:rPr>
                <w:sz w:val="20"/>
                <w:szCs w:val="20"/>
                <w:color w:val="auto"/>
              </w:rPr>
            </w:pPr>
            <w:r>
              <w:rPr>
                <w:rFonts w:ascii="Arial" w:cs="Arial" w:eastAsia="Arial" w:hAnsi="Arial"/>
                <w:sz w:val="17"/>
                <w:szCs w:val="17"/>
                <w:color w:val="auto"/>
                <w:w w:val="92"/>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8"/>
        </w:trPr>
        <w:tc>
          <w:tcPr>
            <w:tcW w:w="118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20"/>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20" w:type="dxa"/>
            <w:vAlign w:val="bottom"/>
            <w:shd w:val="clear" w:color="auto" w:fill="CCEEFF"/>
          </w:tcPr>
          <w:p>
            <w:pPr>
              <w:spacing w:after="0"/>
              <w:rPr>
                <w:sz w:val="19"/>
                <w:szCs w:val="19"/>
                <w:color w:val="auto"/>
              </w:rPr>
            </w:pPr>
          </w:p>
        </w:tc>
        <w:tc>
          <w:tcPr>
            <w:tcW w:w="1008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18"/>
        </w:trPr>
        <w:tc>
          <w:tcPr>
            <w:tcW w:w="1180" w:type="dxa"/>
            <w:vAlign w:val="bottom"/>
            <w:gridSpan w:val="5"/>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20" w:type="dxa"/>
            <w:vAlign w:val="bottom"/>
            <w:shd w:val="clear" w:color="auto" w:fill="CCEEFF"/>
          </w:tcPr>
          <w:p>
            <w:pPr>
              <w:spacing w:after="0"/>
              <w:rPr>
                <w:sz w:val="19"/>
                <w:szCs w:val="19"/>
                <w:color w:val="auto"/>
              </w:rPr>
            </w:pPr>
          </w:p>
        </w:tc>
        <w:tc>
          <w:tcPr>
            <w:tcW w:w="1008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18"/>
        </w:trPr>
        <w:tc>
          <w:tcPr>
            <w:tcW w:w="1180" w:type="dxa"/>
            <w:vAlign w:val="bottom"/>
            <w:gridSpan w:val="5"/>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0"/>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20" w:type="dxa"/>
            <w:vAlign w:val="bottom"/>
            <w:shd w:val="clear" w:color="auto" w:fill="CCEEFF"/>
          </w:tcPr>
          <w:p>
            <w:pPr>
              <w:spacing w:after="0"/>
              <w:rPr>
                <w:sz w:val="19"/>
                <w:szCs w:val="19"/>
                <w:color w:val="auto"/>
              </w:rPr>
            </w:pPr>
          </w:p>
        </w:tc>
        <w:tc>
          <w:tcPr>
            <w:tcW w:w="1008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18"/>
        </w:trPr>
        <w:tc>
          <w:tcPr>
            <w:tcW w:w="320" w:type="dxa"/>
            <w:vAlign w:val="bottom"/>
            <w:gridSpan w:val="2"/>
          </w:tcPr>
          <w:p>
            <w:pPr>
              <w:ind w:left="20"/>
              <w:spacing w:after="0"/>
              <w:rPr>
                <w:sz w:val="20"/>
                <w:szCs w:val="20"/>
                <w:color w:val="auto"/>
              </w:rPr>
            </w:pPr>
            <w:r>
              <w:rPr>
                <w:rFonts w:ascii="Arial" w:cs="Arial" w:eastAsia="Arial" w:hAnsi="Arial"/>
                <w:sz w:val="17"/>
                <w:szCs w:val="17"/>
                <w:color w:val="auto"/>
                <w:w w:val="98"/>
              </w:rPr>
              <w:t>104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Indicates management contract or compensatory plan, contract or agreement.</w:t>
      </w:r>
    </w:p>
    <w:p>
      <w:pPr>
        <w:spacing w:after="0" w:line="37" w:lineRule="exact"/>
        <w:rPr>
          <w:sz w:val="20"/>
          <w:szCs w:val="20"/>
          <w:color w:val="auto"/>
        </w:rPr>
      </w:pPr>
    </w:p>
    <w:p>
      <w:pPr>
        <w:jc w:val="both"/>
        <w:ind w:left="1200" w:right="20" w:hanging="217"/>
        <w:spacing w:after="0" w:line="257"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Pursuant to the requirements of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720" w:type="dxa"/>
            <w:vAlign w:val="bottom"/>
            <w:gridSpan w:val="3"/>
          </w:tcPr>
          <w:p>
            <w:pPr>
              <w:ind w:left="2460"/>
              <w:spacing w:after="0"/>
              <w:rPr>
                <w:sz w:val="20"/>
                <w:szCs w:val="20"/>
                <w:color w:val="auto"/>
              </w:rPr>
            </w:pPr>
            <w:r>
              <w:rPr>
                <w:rFonts w:ascii="Arial" w:cs="Arial" w:eastAsia="Arial" w:hAnsi="Arial"/>
                <w:sz w:val="17"/>
                <w:szCs w:val="17"/>
                <w:b w:val="1"/>
                <w:bCs w:val="1"/>
                <w:color w:val="auto"/>
              </w:rPr>
              <w:t>WM TECHNOLOGY, INC.</w:t>
            </w:r>
          </w:p>
        </w:tc>
      </w:tr>
      <w:tr>
        <w:trPr>
          <w:trHeight w:val="710"/>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Pr>
          <w:p>
            <w:pPr>
              <w:ind w:left="120"/>
              <w:spacing w:after="0"/>
              <w:rPr>
                <w:sz w:val="20"/>
                <w:szCs w:val="20"/>
                <w:color w:val="auto"/>
              </w:rPr>
            </w:pPr>
            <w:r>
              <w:rPr>
                <w:rFonts w:ascii="Arial" w:cs="Arial" w:eastAsia="Arial" w:hAnsi="Arial"/>
                <w:sz w:val="17"/>
                <w:szCs w:val="17"/>
                <w:color w:val="auto"/>
              </w:rPr>
              <w:t>May 6, 2022</w:t>
            </w:r>
          </w:p>
        </w:tc>
        <w:tc>
          <w:tcPr>
            <w:tcW w:w="2900" w:type="dxa"/>
            <w:vAlign w:val="bottom"/>
          </w:tcPr>
          <w:p>
            <w:pPr>
              <w:ind w:left="246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Christopher Beals</w:t>
            </w:r>
          </w:p>
        </w:tc>
      </w:tr>
      <w:tr>
        <w:trPr>
          <w:trHeight w:val="211"/>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Christopher Beals</w:t>
            </w:r>
          </w:p>
        </w:tc>
      </w:tr>
      <w:tr>
        <w:trPr>
          <w:trHeight w:val="219"/>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Executive Officer</w:t>
            </w:r>
          </w:p>
        </w:tc>
      </w:tr>
      <w:tr>
        <w:trPr>
          <w:trHeight w:val="219"/>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r>
        <w:trPr>
          <w:trHeight w:val="568"/>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Pr>
          <w:p>
            <w:pPr>
              <w:ind w:left="120"/>
              <w:spacing w:after="0"/>
              <w:rPr>
                <w:sz w:val="20"/>
                <w:szCs w:val="20"/>
                <w:color w:val="auto"/>
              </w:rPr>
            </w:pPr>
            <w:r>
              <w:rPr>
                <w:rFonts w:ascii="Arial" w:cs="Arial" w:eastAsia="Arial" w:hAnsi="Arial"/>
                <w:sz w:val="17"/>
                <w:szCs w:val="17"/>
                <w:color w:val="auto"/>
              </w:rPr>
              <w:t>May 6, 2022</w:t>
            </w:r>
          </w:p>
        </w:tc>
        <w:tc>
          <w:tcPr>
            <w:tcW w:w="2900" w:type="dxa"/>
            <w:vAlign w:val="bottom"/>
          </w:tcPr>
          <w:p>
            <w:pPr>
              <w:ind w:left="246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Arden Lee</w:t>
            </w:r>
          </w:p>
        </w:tc>
      </w:tr>
      <w:tr>
        <w:trPr>
          <w:trHeight w:val="211"/>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Arden Lee</w:t>
            </w:r>
          </w:p>
        </w:tc>
      </w:tr>
      <w:tr>
        <w:trPr>
          <w:trHeight w:val="219"/>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Financial Officer</w:t>
            </w:r>
          </w:p>
        </w:tc>
      </w:tr>
      <w:tr>
        <w:trPr>
          <w:trHeight w:val="170"/>
        </w:trPr>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tcPr>
          <w:p>
            <w:pPr>
              <w:ind w:left="120"/>
              <w:spacing w:after="0" w:line="170" w:lineRule="exact"/>
              <w:rPr>
                <w:sz w:val="20"/>
                <w:szCs w:val="20"/>
                <w:color w:val="auto"/>
              </w:rPr>
            </w:pPr>
            <w:r>
              <w:rPr>
                <w:rFonts w:ascii="Arial" w:cs="Arial" w:eastAsia="Arial" w:hAnsi="Arial"/>
                <w:sz w:val="17"/>
                <w:szCs w:val="17"/>
                <w:i w:val="1"/>
                <w:iCs w:val="1"/>
                <w:color w:val="auto"/>
              </w:rPr>
              <w:t>(Principal Financial Officer and Principal Accounting</w:t>
            </w:r>
          </w:p>
        </w:tc>
      </w:tr>
      <w:tr>
        <w:trPr>
          <w:trHeight w:val="217"/>
        </w:trPr>
        <w:tc>
          <w:tcPr>
            <w:tcW w:w="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Officer)</w:t>
            </w:r>
          </w:p>
        </w:tc>
      </w:tr>
      <w:tr>
        <w:trPr>
          <w:trHeight w:val="864"/>
        </w:trPr>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00" w:type="dxa"/>
            <w:vAlign w:val="bottom"/>
          </w:tcPr>
          <w:p>
            <w:pPr>
              <w:jc w:val="right"/>
              <w:ind w:right="634"/>
              <w:spacing w:after="0"/>
              <w:rPr>
                <w:sz w:val="20"/>
                <w:szCs w:val="20"/>
                <w:color w:val="auto"/>
              </w:rPr>
            </w:pPr>
            <w:r>
              <w:rPr>
                <w:rFonts w:ascii="Arial" w:cs="Arial" w:eastAsia="Arial" w:hAnsi="Arial"/>
                <w:sz w:val="17"/>
                <w:szCs w:val="17"/>
                <w:color w:val="auto"/>
              </w:rPr>
              <w:t>45</w:t>
            </w: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240"/>
          </w:cols>
          <w:pgMar w:left="320" w:top="2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312"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WM Technology, Inc.</w:t>
      </w:r>
    </w:p>
    <w:p>
      <w:pPr>
        <w:spacing w:after="0" w:line="210" w:lineRule="exact"/>
        <w:rPr>
          <w:sz w:val="20"/>
          <w:szCs w:val="20"/>
          <w:color w:val="auto"/>
        </w:rPr>
      </w:pPr>
    </w:p>
    <w:p>
      <w:pPr>
        <w:ind w:left="2460"/>
        <w:spacing w:after="0"/>
        <w:rPr>
          <w:sz w:val="20"/>
          <w:szCs w:val="20"/>
          <w:color w:val="auto"/>
        </w:rPr>
      </w:pPr>
      <w:r>
        <w:rPr>
          <w:rFonts w:ascii="Arial" w:cs="Arial" w:eastAsia="Arial" w:hAnsi="Arial"/>
          <w:sz w:val="21"/>
          <w:szCs w:val="21"/>
          <w:b w:val="1"/>
          <w:bCs w:val="1"/>
          <w:color w:val="auto"/>
        </w:rPr>
        <w:t>Amended and Restated Non-Employee Director Compensation Policy</w:t>
      </w:r>
    </w:p>
    <w:p>
      <w:pPr>
        <w:spacing w:after="0" w:line="186" w:lineRule="exact"/>
        <w:rPr>
          <w:sz w:val="20"/>
          <w:szCs w:val="20"/>
          <w:color w:val="auto"/>
        </w:rPr>
      </w:pPr>
    </w:p>
    <w:p>
      <w:pPr>
        <w:ind w:left="2520"/>
        <w:spacing w:after="0"/>
        <w:rPr>
          <w:sz w:val="20"/>
          <w:szCs w:val="20"/>
          <w:color w:val="auto"/>
        </w:rPr>
      </w:pPr>
      <w:r>
        <w:rPr>
          <w:rFonts w:ascii="Arial" w:cs="Arial" w:eastAsia="Arial" w:hAnsi="Arial"/>
          <w:sz w:val="21"/>
          <w:szCs w:val="21"/>
          <w:b w:val="1"/>
          <w:bCs w:val="1"/>
          <w:color w:val="auto"/>
        </w:rPr>
        <w:t>Approved and Adopted by the Board of Directors: February 9, 2022</w:t>
      </w:r>
    </w:p>
    <w:p>
      <w:pPr>
        <w:jc w:val="center"/>
        <w:ind w:right="100"/>
        <w:spacing w:after="0"/>
        <w:rPr>
          <w:sz w:val="20"/>
          <w:szCs w:val="20"/>
          <w:color w:val="auto"/>
        </w:rPr>
      </w:pPr>
      <w:r>
        <w:rPr>
          <w:rFonts w:ascii="Arial" w:cs="Arial" w:eastAsia="Arial" w:hAnsi="Arial"/>
          <w:sz w:val="21"/>
          <w:szCs w:val="21"/>
          <w:b w:val="1"/>
          <w:bCs w:val="1"/>
          <w:color w:val="auto"/>
        </w:rPr>
        <w:t>Effective February 9, 2022</w:t>
      </w:r>
    </w:p>
    <w:p>
      <w:pPr>
        <w:spacing w:after="0" w:line="179" w:lineRule="exact"/>
        <w:rPr>
          <w:sz w:val="20"/>
          <w:szCs w:val="20"/>
          <w:color w:val="auto"/>
        </w:rPr>
      </w:pPr>
    </w:p>
    <w:p>
      <w:pPr>
        <w:ind w:right="60"/>
        <w:spacing w:after="0" w:line="216" w:lineRule="auto"/>
        <w:rPr>
          <w:sz w:val="20"/>
          <w:szCs w:val="20"/>
          <w:color w:val="auto"/>
        </w:rPr>
      </w:pPr>
      <w:r>
        <w:rPr>
          <w:rFonts w:ascii="Arial" w:cs="Arial" w:eastAsia="Arial" w:hAnsi="Arial"/>
          <w:sz w:val="21"/>
          <w:szCs w:val="21"/>
          <w:color w:val="auto"/>
        </w:rPr>
        <w:t>The purpose of this Non-Employee Director Compensation Policy (the “</w:t>
      </w:r>
      <w:r>
        <w:rPr>
          <w:rFonts w:ascii="Arial" w:cs="Arial" w:eastAsia="Arial" w:hAnsi="Arial"/>
          <w:sz w:val="21"/>
          <w:szCs w:val="21"/>
          <w:u w:val="single" w:color="auto"/>
          <w:color w:val="auto"/>
        </w:rPr>
        <w:t>Policy</w:t>
      </w:r>
      <w:r>
        <w:rPr>
          <w:rFonts w:ascii="Arial" w:cs="Arial" w:eastAsia="Arial" w:hAnsi="Arial"/>
          <w:sz w:val="21"/>
          <w:szCs w:val="21"/>
          <w:color w:val="auto"/>
        </w:rPr>
        <w:t>”) of WM Technology,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is to provide a total compensation package that enables the Company to attract and retain, on a long-term basis, high-caliber directors who are not employees or officers of the Company or its subsidiaries (“</w:t>
      </w:r>
      <w:r>
        <w:rPr>
          <w:rFonts w:ascii="Arial" w:cs="Arial" w:eastAsia="Arial" w:hAnsi="Arial"/>
          <w:sz w:val="21"/>
          <w:szCs w:val="21"/>
          <w:u w:val="single" w:color="auto"/>
          <w:color w:val="auto"/>
        </w:rPr>
        <w:t>Outside Directors</w:t>
      </w:r>
      <w:r>
        <w:rPr>
          <w:rFonts w:ascii="Arial" w:cs="Arial" w:eastAsia="Arial" w:hAnsi="Arial"/>
          <w:sz w:val="21"/>
          <w:szCs w:val="21"/>
          <w:color w:val="auto"/>
        </w:rPr>
        <w:t>”). An Outside Director may decline all or any portion of his or her compensation by giving notice to the Company prior to the date cash may be paid or equity awards are to be granted, as the case may be.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In furtherance of the purpose stated above, all Outside Directors who will continue as a member of the Board of Directors (the</w:t>
      </w:r>
    </w:p>
    <w:p>
      <w:pPr>
        <w:jc w:val="both"/>
        <w:ind w:right="460"/>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following the closing of the Company’s business combination with Silver Spike Acquisition Corp. (the “</w:t>
      </w:r>
      <w:r>
        <w:rPr>
          <w:rFonts w:ascii="Arial" w:cs="Arial" w:eastAsia="Arial" w:hAnsi="Arial"/>
          <w:sz w:val="21"/>
          <w:szCs w:val="21"/>
          <w:u w:val="single" w:color="auto"/>
          <w:color w:val="auto"/>
        </w:rPr>
        <w:t>Closing</w:t>
      </w:r>
      <w:r>
        <w:rPr>
          <w:rFonts w:ascii="Arial" w:cs="Arial" w:eastAsia="Arial" w:hAnsi="Arial"/>
          <w:sz w:val="21"/>
          <w:szCs w:val="21"/>
          <w:color w:val="auto"/>
        </w:rPr>
        <w:t>”) shall receive, as compensation for services provided to the Company, (a) the cash retainers set forth below and (b) a grant of restricted stock units as set forth below.</w:t>
      </w:r>
    </w:p>
    <w:p>
      <w:pPr>
        <w:spacing w:after="0" w:line="169" w:lineRule="exact"/>
        <w:rPr>
          <w:sz w:val="20"/>
          <w:szCs w:val="20"/>
          <w:color w:val="auto"/>
        </w:rPr>
      </w:pPr>
    </w:p>
    <w:p>
      <w:pPr>
        <w:ind w:left="920" w:hanging="612"/>
        <w:spacing w:after="0"/>
        <w:tabs>
          <w:tab w:leader="none" w:pos="920"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Cash Retainers</w:t>
      </w:r>
    </w:p>
    <w:p>
      <w:pPr>
        <w:spacing w:after="0" w:line="203" w:lineRule="exact"/>
        <w:rPr>
          <w:sz w:val="20"/>
          <w:szCs w:val="20"/>
          <w:color w:val="auto"/>
        </w:rPr>
      </w:pPr>
    </w:p>
    <w:p>
      <w:pPr>
        <w:jc w:val="both"/>
        <w:ind w:right="260"/>
        <w:spacing w:after="0" w:line="224" w:lineRule="auto"/>
        <w:rPr>
          <w:sz w:val="20"/>
          <w:szCs w:val="20"/>
          <w:color w:val="auto"/>
        </w:rPr>
      </w:pPr>
      <w:r>
        <w:rPr>
          <w:rFonts w:ascii="Arial" w:cs="Arial" w:eastAsia="Arial" w:hAnsi="Arial"/>
          <w:sz w:val="21"/>
          <w:szCs w:val="21"/>
          <w:color w:val="auto"/>
        </w:rPr>
        <w:t>Outside Directors are eligible to receive the annual cash retainers in the amounts and subject to the terms and conditions as set forth below. All payments shall be made in arrears on the last business day of each fiscal quarter in which the Outside Director’s service occurred. All annual cash retainers are vested upon payment.</w:t>
      </w:r>
    </w:p>
    <w:p>
      <w:pPr>
        <w:spacing w:after="0" w:line="175" w:lineRule="exact"/>
        <w:rPr>
          <w:sz w:val="20"/>
          <w:szCs w:val="20"/>
          <w:color w:val="auto"/>
        </w:rPr>
      </w:pPr>
    </w:p>
    <w:p>
      <w:pPr>
        <w:ind w:right="180"/>
        <w:spacing w:after="0" w:line="225" w:lineRule="auto"/>
        <w:rPr>
          <w:sz w:val="20"/>
          <w:szCs w:val="20"/>
          <w:color w:val="auto"/>
        </w:rPr>
      </w:pPr>
      <w:r>
        <w:rPr>
          <w:rFonts w:ascii="Arial" w:cs="Arial" w:eastAsia="Arial" w:hAnsi="Arial"/>
          <w:sz w:val="20"/>
          <w:szCs w:val="20"/>
          <w:color w:val="auto"/>
        </w:rPr>
        <w:t>For the fiscal year in which the Closing occurs, each annual retainer set forth below will be prorated based on the days remaining in the fiscal year in which the Closing occurs, with the prorated amount paid for the fiscal quarter in which the Closing occurs, and regular full quarterly payments thereafter. If, following the Closing, an Outside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Outside Director provides the service, and regular full quarterly payments thereafter.</w:t>
      </w:r>
    </w:p>
    <w:p>
      <w:pPr>
        <w:spacing w:after="0" w:line="189" w:lineRule="exact"/>
        <w:rPr>
          <w:sz w:val="20"/>
          <w:szCs w:val="20"/>
          <w:color w:val="auto"/>
        </w:rPr>
      </w:pPr>
    </w:p>
    <w:p>
      <w:pPr>
        <w:ind w:left="620" w:right="100" w:hanging="311"/>
        <w:spacing w:after="0" w:line="252" w:lineRule="auto"/>
        <w:tabs>
          <w:tab w:leader="none" w:pos="617"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Annual Retainer for Board Membership</w:t>
      </w:r>
      <w:r>
        <w:rPr>
          <w:rFonts w:ascii="Arial" w:cs="Arial" w:eastAsia="Arial" w:hAnsi="Arial"/>
          <w:sz w:val="21"/>
          <w:szCs w:val="21"/>
          <w:color w:val="auto"/>
        </w:rPr>
        <w:t>: $50,000 for general availability and participation in meetings and conference calls of our Board.</w:t>
      </w:r>
    </w:p>
    <w:p>
      <w:pPr>
        <w:spacing w:after="0" w:line="137" w:lineRule="exact"/>
        <w:rPr>
          <w:rFonts w:ascii="Arial" w:cs="Arial" w:eastAsia="Arial" w:hAnsi="Arial"/>
          <w:sz w:val="21"/>
          <w:szCs w:val="21"/>
          <w:color w:val="auto"/>
        </w:rPr>
      </w:pPr>
    </w:p>
    <w:p>
      <w:pPr>
        <w:ind w:left="620" w:hanging="312"/>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Retainers for Committee Membership</w:t>
      </w:r>
      <w:r>
        <w:rPr>
          <w:rFonts w:ascii="Arial" w:cs="Arial" w:eastAsia="Arial" w:hAnsi="Arial"/>
          <w:sz w:val="21"/>
          <w:szCs w:val="21"/>
          <w:color w:val="auto"/>
        </w:rPr>
        <w:t>:</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1"/>
          <w:szCs w:val="21"/>
          <w:color w:val="auto"/>
        </w:rPr>
        <w:t>Audit Committee Chairperson: $20,000</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1"/>
          <w:szCs w:val="21"/>
          <w:color w:val="auto"/>
        </w:rPr>
        <w:t>Audit Committee member (other than Chairperson): $8,000</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1"/>
          <w:szCs w:val="21"/>
          <w:color w:val="auto"/>
        </w:rPr>
        <w:t>Compensation Committee Chairperson: $12,000</w:t>
      </w:r>
    </w:p>
    <w:p>
      <w:pPr>
        <w:spacing w:after="0" w:line="326" w:lineRule="exact"/>
        <w:rPr>
          <w:sz w:val="20"/>
          <w:szCs w:val="20"/>
          <w:color w:val="auto"/>
        </w:rPr>
      </w:pPr>
    </w:p>
    <w:p>
      <w:pPr>
        <w:ind w:left="980"/>
        <w:spacing w:after="0"/>
        <w:rPr>
          <w:sz w:val="20"/>
          <w:szCs w:val="20"/>
          <w:color w:val="auto"/>
        </w:rPr>
      </w:pPr>
      <w:r>
        <w:rPr>
          <w:rFonts w:ascii="Arial" w:cs="Arial" w:eastAsia="Arial" w:hAnsi="Arial"/>
          <w:sz w:val="21"/>
          <w:szCs w:val="21"/>
          <w:color w:val="auto"/>
        </w:rPr>
        <w:t>Compensation Committee member (other than Chairperson): $5,000</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1"/>
          <w:szCs w:val="21"/>
          <w:color w:val="auto"/>
        </w:rPr>
        <w:t>Nominating and Corporate Governance Committee Chairperson: $7,500</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1"/>
          <w:szCs w:val="21"/>
          <w:color w:val="auto"/>
        </w:rPr>
        <w:t>Nominating and Corporate Governance Committee member (other than Chairperson): $3,500</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140"/>
          </w:cols>
          <w:pgMar w:left="420" w:top="56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ind w:left="720" w:hanging="311"/>
        <w:spacing w:after="0"/>
        <w:tabs>
          <w:tab w:leader="none" w:pos="720"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 for Chairperson of our Board of Directors (if an Outside Director)</w:t>
      </w:r>
      <w:r>
        <w:rPr>
          <w:rFonts w:ascii="Arial" w:cs="Arial" w:eastAsia="Arial" w:hAnsi="Arial"/>
          <w:sz w:val="21"/>
          <w:szCs w:val="21"/>
          <w:color w:val="auto"/>
        </w:rPr>
        <w:t>: $50,000</w:t>
      </w:r>
    </w:p>
    <w:p>
      <w:pPr>
        <w:spacing w:after="0" w:line="222" w:lineRule="exact"/>
        <w:rPr>
          <w:rFonts w:ascii="Arial" w:cs="Arial" w:eastAsia="Arial" w:hAnsi="Arial"/>
          <w:sz w:val="21"/>
          <w:szCs w:val="21"/>
          <w:color w:val="auto"/>
        </w:rPr>
      </w:pPr>
    </w:p>
    <w:p>
      <w:pPr>
        <w:ind w:left="720" w:right="240" w:hanging="311"/>
        <w:spacing w:after="0" w:line="252" w:lineRule="auto"/>
        <w:tabs>
          <w:tab w:leader="none" w:pos="716"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 for Lead Independent Director</w:t>
      </w:r>
      <w:r>
        <w:rPr>
          <w:rFonts w:ascii="Arial" w:cs="Arial" w:eastAsia="Arial" w:hAnsi="Arial"/>
          <w:sz w:val="21"/>
          <w:szCs w:val="21"/>
          <w:color w:val="auto"/>
        </w:rPr>
        <w:t>: $15,000 for serving as lead independent director of our Board of Directors.</w:t>
      </w:r>
    </w:p>
    <w:p>
      <w:pPr>
        <w:spacing w:after="0" w:line="170" w:lineRule="exact"/>
        <w:rPr>
          <w:rFonts w:ascii="Arial" w:cs="Arial" w:eastAsia="Arial" w:hAnsi="Arial"/>
          <w:sz w:val="21"/>
          <w:szCs w:val="21"/>
          <w:color w:val="auto"/>
        </w:rPr>
      </w:pPr>
    </w:p>
    <w:p>
      <w:pPr>
        <w:ind w:left="1020" w:hanging="612"/>
        <w:spacing w:after="0"/>
        <w:tabs>
          <w:tab w:leader="none" w:pos="102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Equity Retainers</w:t>
      </w:r>
    </w:p>
    <w:p>
      <w:pPr>
        <w:spacing w:after="0" w:line="215" w:lineRule="exact"/>
        <w:rPr>
          <w:rFonts w:ascii="Arial" w:cs="Arial" w:eastAsia="Arial" w:hAnsi="Arial"/>
          <w:sz w:val="21"/>
          <w:szCs w:val="21"/>
          <w:b w:val="1"/>
          <w:bCs w:val="1"/>
          <w:color w:val="auto"/>
        </w:rPr>
      </w:pPr>
    </w:p>
    <w:p>
      <w:pPr>
        <w:ind w:right="120" w:firstLine="699"/>
        <w:spacing w:after="0" w:line="262" w:lineRule="auto"/>
        <w:tabs>
          <w:tab w:leader="none" w:pos="1234" w:val="left"/>
        </w:tabs>
        <w:numPr>
          <w:ilvl w:val="2"/>
          <w:numId w:val="27"/>
        </w:numPr>
        <w:rPr>
          <w:rFonts w:ascii="Arial" w:cs="Arial" w:eastAsia="Arial" w:hAnsi="Arial"/>
          <w:sz w:val="19"/>
          <w:szCs w:val="19"/>
          <w:color w:val="auto"/>
        </w:rPr>
      </w:pPr>
      <w:r>
        <w:rPr>
          <w:rFonts w:ascii="Arial" w:cs="Arial" w:eastAsia="Arial" w:hAnsi="Arial"/>
          <w:sz w:val="19"/>
          <w:szCs w:val="19"/>
          <w:u w:val="single" w:color="auto"/>
          <w:color w:val="auto"/>
        </w:rPr>
        <w:t>Initial Grant</w:t>
      </w:r>
      <w:r>
        <w:rPr>
          <w:rFonts w:ascii="Arial" w:cs="Arial" w:eastAsia="Arial" w:hAnsi="Arial"/>
          <w:sz w:val="19"/>
          <w:szCs w:val="19"/>
          <w:color w:val="auto"/>
        </w:rPr>
        <w:t>. Effective upon the Closing, without any further action of the Board or Compensation Committee of the Board, each Outside Director who is elected or appointed for the first time to be an Outside Director will automatically, upon the date of his or her initial election or appointment to be an Outside Director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will receive an initial, one-time grant of restricted stock units (the “</w:t>
      </w:r>
      <w:r>
        <w:rPr>
          <w:rFonts w:ascii="Arial" w:cs="Arial" w:eastAsia="Arial" w:hAnsi="Arial"/>
          <w:sz w:val="19"/>
          <w:szCs w:val="19"/>
          <w:u w:val="single" w:color="auto"/>
          <w:color w:val="auto"/>
        </w:rPr>
        <w:t>Initial Grant</w:t>
      </w:r>
      <w:r>
        <w:rPr>
          <w:rFonts w:ascii="Arial" w:cs="Arial" w:eastAsia="Arial" w:hAnsi="Arial"/>
          <w:sz w:val="19"/>
          <w:szCs w:val="19"/>
          <w:color w:val="auto"/>
        </w:rPr>
        <w:t>”) with an aggregate value of approximately $400,000, that vests in three equal annual installments over three years from the Commencement Date. For the avoidance of doubt, the Initial Grant may only be granted once to any Outside Director. Notwithstanding the foregoing, no Initial Grant will be made until a Form S-8 Registration Statement has been filed by the Company in respect of the shares available for issuance under the Plan (as defined below), in which case the Commencement Date will remain the date of the Outside Director’s initial election or appointment.</w:t>
      </w:r>
    </w:p>
    <w:p>
      <w:pPr>
        <w:spacing w:after="0" w:line="180" w:lineRule="exact"/>
        <w:rPr>
          <w:rFonts w:ascii="Arial" w:cs="Arial" w:eastAsia="Arial" w:hAnsi="Arial"/>
          <w:sz w:val="19"/>
          <w:szCs w:val="19"/>
          <w:color w:val="auto"/>
        </w:rPr>
      </w:pPr>
    </w:p>
    <w:p>
      <w:pPr>
        <w:ind w:right="220" w:firstLine="699"/>
        <w:spacing w:after="0" w:line="250" w:lineRule="auto"/>
        <w:tabs>
          <w:tab w:leader="none" w:pos="1233" w:val="left"/>
        </w:tabs>
        <w:numPr>
          <w:ilvl w:val="2"/>
          <w:numId w:val="27"/>
        </w:numPr>
        <w:rPr>
          <w:rFonts w:ascii="Arial" w:cs="Arial" w:eastAsia="Arial" w:hAnsi="Arial"/>
          <w:sz w:val="20"/>
          <w:szCs w:val="20"/>
          <w:color w:val="auto"/>
        </w:rPr>
      </w:pPr>
      <w:r>
        <w:rPr>
          <w:rFonts w:ascii="Arial" w:cs="Arial" w:eastAsia="Arial" w:hAnsi="Arial"/>
          <w:sz w:val="20"/>
          <w:szCs w:val="20"/>
          <w:u w:val="single" w:color="auto"/>
          <w:color w:val="auto"/>
        </w:rPr>
        <w:t>Annual Grant</w:t>
      </w:r>
      <w:r>
        <w:rPr>
          <w:rFonts w:ascii="Arial" w:cs="Arial" w:eastAsia="Arial" w:hAnsi="Arial"/>
          <w:sz w:val="20"/>
          <w:szCs w:val="20"/>
          <w:color w:val="auto"/>
        </w:rPr>
        <w:t>. Without any further action of the Board or Compensation Committee of the Board, at the close of business on the date of each annual meeting of the Company’s stockholders (the “</w:t>
      </w:r>
      <w:r>
        <w:rPr>
          <w:rFonts w:ascii="Arial" w:cs="Arial" w:eastAsia="Arial" w:hAnsi="Arial"/>
          <w:sz w:val="20"/>
          <w:szCs w:val="20"/>
          <w:u w:val="single" w:color="auto"/>
          <w:color w:val="auto"/>
        </w:rPr>
        <w:t>Annual Meeting Date</w:t>
      </w:r>
      <w:r>
        <w:rPr>
          <w:rFonts w:ascii="Arial" w:cs="Arial" w:eastAsia="Arial" w:hAnsi="Arial"/>
          <w:sz w:val="20"/>
          <w:szCs w:val="20"/>
          <w:color w:val="auto"/>
        </w:rPr>
        <w:t>”), each Outside Director who will continue as a member of the Board following such Annual Meeting Date will receive a grant of restricted stock units on the Annual Meeting Date (the “</w:t>
      </w:r>
      <w:r>
        <w:rPr>
          <w:rFonts w:ascii="Arial" w:cs="Arial" w:eastAsia="Arial" w:hAnsi="Arial"/>
          <w:sz w:val="20"/>
          <w:szCs w:val="20"/>
          <w:u w:val="single" w:color="auto"/>
          <w:color w:val="auto"/>
        </w:rPr>
        <w:t>Annual Grant</w:t>
      </w:r>
      <w:r>
        <w:rPr>
          <w:rFonts w:ascii="Arial" w:cs="Arial" w:eastAsia="Arial" w:hAnsi="Arial"/>
          <w:sz w:val="20"/>
          <w:szCs w:val="20"/>
          <w:color w:val="auto"/>
        </w:rPr>
        <w:t>”) with an aggregate value of approximately $200,000, that vests in full on the earlier of (i) the first anniversary of the grant date or (ii) the next Annual Meeting Date.</w:t>
      </w:r>
    </w:p>
    <w:p>
      <w:pPr>
        <w:spacing w:after="0" w:line="189" w:lineRule="exact"/>
        <w:rPr>
          <w:sz w:val="20"/>
          <w:szCs w:val="20"/>
          <w:color w:val="auto"/>
        </w:rPr>
      </w:pPr>
    </w:p>
    <w:p>
      <w:pPr>
        <w:ind w:left="1020" w:hanging="612"/>
        <w:spacing w:after="0"/>
        <w:tabs>
          <w:tab w:leader="none" w:pos="102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w:t>
      </w:r>
    </w:p>
    <w:p>
      <w:pPr>
        <w:spacing w:after="0" w:line="216" w:lineRule="exact"/>
        <w:rPr>
          <w:sz w:val="20"/>
          <w:szCs w:val="20"/>
          <w:color w:val="auto"/>
        </w:rPr>
      </w:pPr>
    </w:p>
    <w:p>
      <w:pPr>
        <w:ind w:left="100" w:right="340"/>
        <w:spacing w:after="0" w:line="252" w:lineRule="auto"/>
        <w:rPr>
          <w:sz w:val="20"/>
          <w:szCs w:val="20"/>
          <w:color w:val="auto"/>
        </w:rPr>
      </w:pPr>
      <w:r>
        <w:rPr>
          <w:rFonts w:ascii="Arial" w:cs="Arial" w:eastAsia="Arial" w:hAnsi="Arial"/>
          <w:sz w:val="21"/>
          <w:szCs w:val="21"/>
          <w:color w:val="auto"/>
        </w:rPr>
        <w:t>All grants of equity retainer awards to Outside Directors pursuant to this Policy will be automatic and nondiscretionary and will be made in accordance with the following provisions:</w:t>
      </w:r>
    </w:p>
    <w:p>
      <w:pPr>
        <w:spacing w:after="0" w:line="137" w:lineRule="exact"/>
        <w:rPr>
          <w:sz w:val="20"/>
          <w:szCs w:val="20"/>
          <w:color w:val="auto"/>
        </w:rPr>
      </w:pPr>
    </w:p>
    <w:p>
      <w:pPr>
        <w:ind w:left="100" w:right="380" w:firstLine="522"/>
        <w:spacing w:after="0" w:line="233" w:lineRule="auto"/>
        <w:tabs>
          <w:tab w:leader="none" w:pos="123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Plan</w:t>
      </w:r>
      <w:r>
        <w:rPr>
          <w:rFonts w:ascii="Arial" w:cs="Arial" w:eastAsia="Arial" w:hAnsi="Arial"/>
          <w:sz w:val="21"/>
          <w:szCs w:val="21"/>
          <w:color w:val="auto"/>
        </w:rPr>
        <w:t>. The grants of equity retainer awards to Outside Directors will be made pursuant to the Company’s 2021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100" w:right="80" w:firstLine="522"/>
        <w:spacing w:after="0" w:line="227" w:lineRule="auto"/>
        <w:tabs>
          <w:tab w:leader="none" w:pos="1237"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Value</w:t>
      </w:r>
      <w:r>
        <w:rPr>
          <w:rFonts w:ascii="Arial" w:cs="Arial" w:eastAsia="Arial" w:hAnsi="Arial"/>
          <w:sz w:val="20"/>
          <w:szCs w:val="20"/>
          <w:color w:val="auto"/>
        </w:rPr>
        <w:t>. For purposes of this Policy, the number of restricted stock units granted to an Outside Director hereunder shall be equal to the closing market price on the Nasdaq Stock Market (or such other market on which the Company’s Class A common stock is then principally listed) of one share of the Company’s Class A common stock on the day prior to the effective date of the grant. If the value of each grant of restricted stock units is denominated in dollars, the number of shares of restricted stock units that are granted pursuant to each award shall be rounded down to the nearest whole share.</w:t>
      </w:r>
    </w:p>
    <w:p>
      <w:pPr>
        <w:spacing w:after="0" w:line="253" w:lineRule="exact"/>
        <w:rPr>
          <w:rFonts w:ascii="Arial" w:cs="Arial" w:eastAsia="Arial" w:hAnsi="Arial"/>
          <w:sz w:val="20"/>
          <w:szCs w:val="20"/>
          <w:color w:val="auto"/>
        </w:rPr>
      </w:pPr>
    </w:p>
    <w:p>
      <w:pPr>
        <w:jc w:val="both"/>
        <w:ind w:left="100" w:right="180" w:firstLine="522"/>
        <w:spacing w:after="0" w:line="238" w:lineRule="auto"/>
        <w:tabs>
          <w:tab w:leader="none" w:pos="123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Revisions</w:t>
      </w:r>
      <w:r>
        <w:rPr>
          <w:rFonts w:ascii="Arial" w:cs="Arial" w:eastAsia="Arial" w:hAnsi="Arial"/>
          <w:sz w:val="21"/>
          <w:szCs w:val="21"/>
          <w:color w:val="auto"/>
        </w:rPr>
        <w:t>. The Board and/or the Compensation Committee in its discretion may change and otherwise revise the terms of awards to be granted under this Policy, including, without limitation, the number of shares subject thereto, for awards of the same or different type granted on or after the date the Board and/or the Compensation Committee determines to make any such change or revision.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56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ind w:right="80" w:firstLine="522"/>
        <w:spacing w:after="0" w:line="236" w:lineRule="auto"/>
        <w:tabs>
          <w:tab w:leader="none" w:pos="113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Vesting; Change in Control Acceleration</w:t>
      </w:r>
      <w:r>
        <w:rPr>
          <w:rFonts w:ascii="Arial" w:cs="Arial" w:eastAsia="Arial" w:hAnsi="Arial"/>
          <w:sz w:val="21"/>
          <w:szCs w:val="21"/>
          <w:color w:val="auto"/>
        </w:rPr>
        <w:t>. All vesting is subject to the Outside Director’s Continuous Service (as defined in the Plan) through the applicable vesting date. Notwithstanding the foregoing vesting schedule, for each Outside Director who remains in Continuous Service with the Company until immediately prior to the closing of a Change in Control (as defined in the Plan), the equity retainer awards granted to Outside Directors pursuant to this Policy shall become 100% vested immediately prior to the closing of such Change in Control.</w:t>
      </w:r>
    </w:p>
    <w:p>
      <w:pPr>
        <w:spacing w:after="0" w:line="205" w:lineRule="exact"/>
        <w:rPr>
          <w:rFonts w:ascii="Arial" w:cs="Arial" w:eastAsia="Arial" w:hAnsi="Arial"/>
          <w:sz w:val="21"/>
          <w:szCs w:val="21"/>
          <w:color w:val="auto"/>
        </w:rPr>
      </w:pPr>
    </w:p>
    <w:p>
      <w:pPr>
        <w:ind w:right="160" w:firstLine="522"/>
        <w:spacing w:after="0" w:line="241" w:lineRule="auto"/>
        <w:tabs>
          <w:tab w:leader="none" w:pos="113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Remaining Terms</w:t>
      </w:r>
      <w:r>
        <w:rPr>
          <w:rFonts w:ascii="Arial" w:cs="Arial" w:eastAsia="Arial" w:hAnsi="Arial"/>
          <w:sz w:val="21"/>
          <w:szCs w:val="21"/>
          <w:color w:val="auto"/>
        </w:rPr>
        <w:t>. The remaining terms and conditions of each restricted stock unit, including transferability, will be as set forth in the Company’s standard restricted stock unit award agreement, in the applicable form adopted from time to time by the Board or the Compensation Committee of the Board.</w:t>
      </w:r>
    </w:p>
    <w:p>
      <w:pPr>
        <w:spacing w:after="0" w:line="195" w:lineRule="exact"/>
        <w:rPr>
          <w:sz w:val="20"/>
          <w:szCs w:val="20"/>
          <w:color w:val="auto"/>
        </w:rPr>
      </w:pPr>
    </w:p>
    <w:p>
      <w:pPr>
        <w:ind w:left="300"/>
        <w:spacing w:after="0"/>
        <w:tabs>
          <w:tab w:leader="none" w:pos="88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u w:val="single" w:color="auto"/>
          <w:color w:val="auto"/>
        </w:rPr>
        <w:t>Expenses</w:t>
      </w:r>
    </w:p>
    <w:p>
      <w:pPr>
        <w:spacing w:after="0" w:line="2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will reimburse all reasonable out-of-pocket travel expenses incurred by Outside Directors in attending meetings of the Board or any Committee thereof; provided, that the Outside Director timely submits to the Company appropriate documentation substantiating such expenses in accordance with the Company’s travel and expense policy, as in effect from time to time.</w:t>
      </w:r>
    </w:p>
    <w:p>
      <w:pPr>
        <w:spacing w:after="0" w:line="128" w:lineRule="exact"/>
        <w:rPr>
          <w:sz w:val="20"/>
          <w:szCs w:val="20"/>
          <w:color w:val="auto"/>
        </w:rPr>
      </w:pPr>
    </w:p>
    <w:p>
      <w:pPr>
        <w:ind w:left="900" w:hanging="592"/>
        <w:spacing w:after="0"/>
        <w:tabs>
          <w:tab w:leader="none" w:pos="90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Maximum Annual Compensation</w:t>
      </w:r>
    </w:p>
    <w:p>
      <w:pPr>
        <w:spacing w:after="0" w:line="216" w:lineRule="exact"/>
        <w:rPr>
          <w:sz w:val="20"/>
          <w:szCs w:val="20"/>
          <w:color w:val="auto"/>
        </w:rPr>
      </w:pPr>
    </w:p>
    <w:p>
      <w:pPr>
        <w:ind w:right="240"/>
        <w:spacing w:after="0" w:line="213" w:lineRule="auto"/>
        <w:rPr>
          <w:sz w:val="20"/>
          <w:szCs w:val="20"/>
          <w:color w:val="auto"/>
        </w:rPr>
      </w:pPr>
      <w:r>
        <w:rPr>
          <w:rFonts w:ascii="Arial" w:cs="Arial" w:eastAsia="Arial" w:hAnsi="Arial"/>
          <w:sz w:val="21"/>
          <w:szCs w:val="21"/>
          <w:color w:val="auto"/>
        </w:rPr>
        <w:t>The aggregate value of all compensation granted or paid, as applicable, to any individual for service as an Outside Director with respect to any calendar year, including equity awards granted and cash fees paid by the Company to such Outside Director, will not exceed (i) $750,000 in total value or (ii) in the event such Outside Director is first appointed or elected to the Board during any calendar year, $1,000,000 in total value, in each case calculating the value of any equity awards based on the grant date fair value of such equity awards for financial reporting purposes (or such other limit as may be set forth in Section 3(d) of the Plan or any similar provision of a successor plan). The foregoing limitation shall commence with the first calendar year that begins following the Closing.</w:t>
      </w:r>
    </w:p>
    <w:p>
      <w:pPr>
        <w:spacing w:after="0" w:line="170"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u w:val="single" w:color="auto"/>
          <w:color w:val="auto"/>
        </w:rPr>
        <w:t>Administration</w:t>
      </w:r>
    </w:p>
    <w:p>
      <w:pPr>
        <w:spacing w:after="0" w:line="203" w:lineRule="exact"/>
        <w:rPr>
          <w:sz w:val="20"/>
          <w:szCs w:val="20"/>
          <w:color w:val="auto"/>
        </w:rPr>
      </w:pPr>
    </w:p>
    <w:p>
      <w:pPr>
        <w:ind w:right="240"/>
        <w:spacing w:after="0" w:line="251" w:lineRule="auto"/>
        <w:rPr>
          <w:sz w:val="20"/>
          <w:szCs w:val="20"/>
          <w:color w:val="auto"/>
        </w:rPr>
      </w:pPr>
      <w:r>
        <w:rPr>
          <w:rFonts w:ascii="Arial" w:cs="Arial" w:eastAsia="Arial" w:hAnsi="Arial"/>
          <w:sz w:val="19"/>
          <w:szCs w:val="19"/>
          <w:color w:val="auto"/>
        </w:rPr>
        <w:t>The Board, or Compensation Committee of the Board, will administer the Policy. The Board or the Compensation Committee of the Board will have the sole discretion and authority to administer, interpret, amend and terminate the Policy, and the decisions of the Board or the Compensation Committee of the Board will be final and binding on all persons having an interest in the Policy.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140"/>
          </w:cols>
          <w:pgMar w:left="420" w:top="56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10.2</w:t>
      </w: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24"/>
          <w:szCs w:val="24"/>
          <w:color w:val="auto"/>
        </w:rPr>
        <w:t>G</w:t>
      </w:r>
      <w:r>
        <w:rPr>
          <w:rFonts w:ascii="Arial" w:cs="Arial" w:eastAsia="Arial" w:hAnsi="Arial"/>
          <w:sz w:val="18"/>
          <w:szCs w:val="18"/>
          <w:color w:val="auto"/>
        </w:rPr>
        <w:t>HOST</w:t>
      </w:r>
      <w:r>
        <w:rPr>
          <w:rFonts w:ascii="Arial" w:cs="Arial" w:eastAsia="Arial" w:hAnsi="Arial"/>
          <w:sz w:val="24"/>
          <w:szCs w:val="24"/>
          <w:color w:val="auto"/>
        </w:rPr>
        <w:t xml:space="preserve"> M</w:t>
      </w:r>
      <w:r>
        <w:rPr>
          <w:rFonts w:ascii="Arial" w:cs="Arial" w:eastAsia="Arial" w:hAnsi="Arial"/>
          <w:sz w:val="18"/>
          <w:szCs w:val="18"/>
          <w:color w:val="auto"/>
        </w:rPr>
        <w:t>ANAGEMENT</w:t>
      </w:r>
      <w:r>
        <w:rPr>
          <w:rFonts w:ascii="Arial" w:cs="Arial" w:eastAsia="Arial" w:hAnsi="Arial"/>
          <w:sz w:val="24"/>
          <w:szCs w:val="24"/>
          <w:color w:val="auto"/>
        </w:rPr>
        <w:t xml:space="preserve"> G</w:t>
      </w:r>
      <w:r>
        <w:rPr>
          <w:rFonts w:ascii="Arial" w:cs="Arial" w:eastAsia="Arial" w:hAnsi="Arial"/>
          <w:sz w:val="18"/>
          <w:szCs w:val="18"/>
          <w:color w:val="auto"/>
        </w:rPr>
        <w:t>ROUP</w:t>
      </w:r>
      <w:r>
        <w:rPr>
          <w:rFonts w:ascii="Arial" w:cs="Arial" w:eastAsia="Arial" w:hAnsi="Arial"/>
          <w:sz w:val="24"/>
          <w:szCs w:val="24"/>
          <w:color w:val="auto"/>
        </w:rPr>
        <w:t>, LLC</w:t>
      </w:r>
    </w:p>
    <w:p>
      <w:pPr>
        <w:ind w:left="5280" w:hanging="233"/>
        <w:spacing w:after="0" w:line="205" w:lineRule="auto"/>
        <w:tabs>
          <w:tab w:leader="none" w:pos="5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Discovery</w:t>
      </w:r>
    </w:p>
    <w:p>
      <w:pPr>
        <w:ind w:left="4660"/>
        <w:spacing w:after="0"/>
        <w:rPr>
          <w:rFonts w:ascii="Arial" w:cs="Arial" w:eastAsia="Arial" w:hAnsi="Arial"/>
          <w:sz w:val="17"/>
          <w:szCs w:val="17"/>
          <w:color w:val="auto"/>
        </w:rPr>
      </w:pPr>
      <w:r>
        <w:rPr>
          <w:rFonts w:ascii="Arial" w:cs="Arial" w:eastAsia="Arial" w:hAnsi="Arial"/>
          <w:sz w:val="17"/>
          <w:szCs w:val="17"/>
          <w:color w:val="auto"/>
        </w:rPr>
        <w:t>Irvine, California 92618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April 4, 2019</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Dear </w:t>
      </w:r>
      <w:r>
        <w:rPr>
          <w:rFonts w:ascii="Arial" w:cs="Arial" w:eastAsia="Arial" w:hAnsi="Arial"/>
          <w:sz w:val="21"/>
          <w:szCs w:val="21"/>
          <w:b w:val="1"/>
          <w:bCs w:val="1"/>
          <w:color w:val="auto"/>
        </w:rPr>
        <w:t>Brian Camire</w:t>
      </w:r>
      <w:r>
        <w:rPr>
          <w:rFonts w:ascii="Arial" w:cs="Arial" w:eastAsia="Arial" w:hAnsi="Arial"/>
          <w:sz w:val="21"/>
          <w:szCs w:val="21"/>
          <w:color w:val="auto"/>
        </w:rPr>
        <w:t>:</w:t>
      </w:r>
    </w:p>
    <w:p>
      <w:pPr>
        <w:spacing w:after="0" w:line="210" w:lineRule="exact"/>
        <w:rPr>
          <w:sz w:val="20"/>
          <w:szCs w:val="20"/>
          <w:color w:val="auto"/>
        </w:rPr>
      </w:pPr>
    </w:p>
    <w:p>
      <w:pPr>
        <w:ind w:right="20" w:firstLine="619"/>
        <w:spacing w:after="0" w:line="236" w:lineRule="auto"/>
        <w:rPr>
          <w:sz w:val="20"/>
          <w:szCs w:val="20"/>
          <w:color w:val="auto"/>
        </w:rPr>
      </w:pPr>
      <w:r>
        <w:rPr>
          <w:rFonts w:ascii="Arial" w:cs="Arial" w:eastAsia="Arial" w:hAnsi="Arial"/>
          <w:sz w:val="21"/>
          <w:szCs w:val="21"/>
          <w:color w:val="auto"/>
        </w:rPr>
        <w:t>This letter is to memorialize the offer of employment (the “</w:t>
      </w:r>
      <w:r>
        <w:rPr>
          <w:rFonts w:ascii="Arial" w:cs="Arial" w:eastAsia="Arial" w:hAnsi="Arial"/>
          <w:sz w:val="21"/>
          <w:szCs w:val="21"/>
          <w:b w:val="1"/>
          <w:bCs w:val="1"/>
          <w:u w:val="single" w:color="auto"/>
          <w:color w:val="auto"/>
        </w:rPr>
        <w:t>Offer</w:t>
      </w:r>
      <w:r>
        <w:rPr>
          <w:rFonts w:ascii="Arial" w:cs="Arial" w:eastAsia="Arial" w:hAnsi="Arial"/>
          <w:sz w:val="21"/>
          <w:szCs w:val="21"/>
          <w:color w:val="auto"/>
        </w:rPr>
        <w:t xml:space="preserve">”) made to </w:t>
      </w:r>
      <w:r>
        <w:rPr>
          <w:rFonts w:ascii="Arial" w:cs="Arial" w:eastAsia="Arial" w:hAnsi="Arial"/>
          <w:sz w:val="21"/>
          <w:szCs w:val="21"/>
          <w:b w:val="1"/>
          <w:bCs w:val="1"/>
          <w:color w:val="auto"/>
        </w:rPr>
        <w:t>Brian Camire</w:t>
      </w:r>
      <w:r>
        <w:rPr>
          <w:rFonts w:ascii="Arial" w:cs="Arial" w:eastAsia="Arial" w:hAnsi="Arial"/>
          <w:sz w:val="21"/>
          <w:szCs w:val="21"/>
          <w:color w:val="auto"/>
        </w:rPr>
        <w:t xml:space="preserve"> by Ghost Management Group, LLC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and to set forth the specific terms and conditions of your employment with the Company.</w:t>
      </w:r>
    </w:p>
    <w:p>
      <w:pPr>
        <w:spacing w:after="0" w:line="170" w:lineRule="exact"/>
        <w:rPr>
          <w:sz w:val="20"/>
          <w:szCs w:val="20"/>
          <w:color w:val="auto"/>
        </w:rPr>
      </w:pPr>
    </w:p>
    <w:p>
      <w:pPr>
        <w:jc w:val="both"/>
        <w:ind w:left="620" w:right="400" w:hanging="612"/>
        <w:spacing w:after="0" w:line="226" w:lineRule="auto"/>
        <w:tabs>
          <w:tab w:leader="none" w:pos="61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Position</w:t>
      </w:r>
      <w:r>
        <w:rPr>
          <w:rFonts w:ascii="Arial" w:cs="Arial" w:eastAsia="Arial" w:hAnsi="Arial"/>
          <w:sz w:val="21"/>
          <w:szCs w:val="21"/>
          <w:color w:val="auto"/>
        </w:rPr>
        <w:t xml:space="preserve">. The Company offers you the </w:t>
      </w:r>
      <w:r>
        <w:rPr>
          <w:rFonts w:ascii="Arial" w:cs="Arial" w:eastAsia="Arial" w:hAnsi="Arial"/>
          <w:sz w:val="21"/>
          <w:szCs w:val="21"/>
          <w:b w:val="1"/>
          <w:bCs w:val="1"/>
          <w:color w:val="auto"/>
        </w:rPr>
        <w:t>full-time, exempt</w:t>
      </w:r>
      <w:r>
        <w:rPr>
          <w:rFonts w:ascii="Arial" w:cs="Arial" w:eastAsia="Arial" w:hAnsi="Arial"/>
          <w:sz w:val="21"/>
          <w:szCs w:val="21"/>
          <w:color w:val="auto"/>
        </w:rPr>
        <w:t xml:space="preserve"> position of </w:t>
      </w:r>
      <w:r>
        <w:rPr>
          <w:rFonts w:ascii="Arial" w:cs="Arial" w:eastAsia="Arial" w:hAnsi="Arial"/>
          <w:sz w:val="21"/>
          <w:szCs w:val="21"/>
          <w:b w:val="1"/>
          <w:bCs w:val="1"/>
          <w:color w:val="auto"/>
        </w:rPr>
        <w:t>General Counsel</w:t>
      </w:r>
      <w:r>
        <w:rPr>
          <w:rFonts w:ascii="Arial" w:cs="Arial" w:eastAsia="Arial" w:hAnsi="Arial"/>
          <w:sz w:val="21"/>
          <w:szCs w:val="21"/>
          <w:color w:val="auto"/>
        </w:rPr>
        <w:t xml:space="preserve"> at our </w:t>
      </w:r>
      <w:r>
        <w:rPr>
          <w:rFonts w:ascii="Arial" w:cs="Arial" w:eastAsia="Arial" w:hAnsi="Arial"/>
          <w:sz w:val="21"/>
          <w:szCs w:val="21"/>
          <w:b w:val="1"/>
          <w:bCs w:val="1"/>
          <w:color w:val="auto"/>
        </w:rPr>
        <w:t>Irvine, California</w:t>
      </w:r>
      <w:r>
        <w:rPr>
          <w:rFonts w:ascii="Arial" w:cs="Arial" w:eastAsia="Arial" w:hAnsi="Arial"/>
          <w:sz w:val="21"/>
          <w:szCs w:val="21"/>
          <w:color w:val="auto"/>
        </w:rPr>
        <w:t xml:space="preserve"> office located at </w:t>
      </w:r>
      <w:r>
        <w:rPr>
          <w:rFonts w:ascii="Arial" w:cs="Arial" w:eastAsia="Arial" w:hAnsi="Arial"/>
          <w:sz w:val="21"/>
          <w:szCs w:val="21"/>
          <w:b w:val="1"/>
          <w:bCs w:val="1"/>
          <w:color w:val="auto"/>
        </w:rPr>
        <w:t>41 Discovery, Irvine, California 92618</w:t>
      </w:r>
      <w:r>
        <w:rPr>
          <w:rFonts w:ascii="Arial" w:cs="Arial" w:eastAsia="Arial" w:hAnsi="Arial"/>
          <w:sz w:val="21"/>
          <w:szCs w:val="21"/>
          <w:color w:val="auto"/>
        </w:rPr>
        <w:t xml:space="preserve">. In this position, you will report to </w:t>
      </w:r>
      <w:r>
        <w:rPr>
          <w:rFonts w:ascii="Arial" w:cs="Arial" w:eastAsia="Arial" w:hAnsi="Arial"/>
          <w:sz w:val="21"/>
          <w:szCs w:val="21"/>
          <w:b w:val="1"/>
          <w:bCs w:val="1"/>
          <w:color w:val="auto"/>
        </w:rPr>
        <w:t>Chris Beals</w:t>
      </w:r>
      <w:r>
        <w:rPr>
          <w:rFonts w:ascii="Arial" w:cs="Arial" w:eastAsia="Arial" w:hAnsi="Arial"/>
          <w:sz w:val="21"/>
          <w:szCs w:val="21"/>
          <w:color w:val="auto"/>
        </w:rPr>
        <w:t>, unless notified otherwise.</w:t>
      </w:r>
    </w:p>
    <w:p>
      <w:pPr>
        <w:spacing w:after="0" w:line="187" w:lineRule="exact"/>
        <w:rPr>
          <w:rFonts w:ascii="Arial" w:cs="Arial" w:eastAsia="Arial" w:hAnsi="Arial"/>
          <w:sz w:val="21"/>
          <w:szCs w:val="21"/>
          <w:color w:val="auto"/>
        </w:rPr>
      </w:pPr>
    </w:p>
    <w:p>
      <w:pPr>
        <w:ind w:left="620" w:right="160" w:hanging="612"/>
        <w:spacing w:after="0" w:line="231" w:lineRule="auto"/>
        <w:tabs>
          <w:tab w:leader="none" w:pos="61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Subject to the terms and conditions of this Offer, the Company agrees to employ you and you agree to be employed by the Company commencing no later than </w:t>
      </w:r>
      <w:r>
        <w:rPr>
          <w:rFonts w:ascii="Arial" w:cs="Arial" w:eastAsia="Arial" w:hAnsi="Arial"/>
          <w:sz w:val="19"/>
          <w:szCs w:val="19"/>
          <w:b w:val="1"/>
          <w:bCs w:val="1"/>
          <w:color w:val="auto"/>
        </w:rPr>
        <w:t>May 6, 2019</w:t>
      </w:r>
      <w:r>
        <w:rPr>
          <w:rFonts w:ascii="Arial" w:cs="Arial" w:eastAsia="Arial" w:hAnsi="Arial"/>
          <w:sz w:val="19"/>
          <w:szCs w:val="19"/>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 will policy except for the Chief Executive Officer of the Company (“</w:t>
      </w:r>
      <w:r>
        <w:rPr>
          <w:rFonts w:ascii="Arial" w:cs="Arial" w:eastAsia="Arial" w:hAnsi="Arial"/>
          <w:sz w:val="19"/>
          <w:szCs w:val="19"/>
          <w:b w:val="1"/>
          <w:bCs w:val="1"/>
          <w:u w:val="single" w:color="auto"/>
          <w:color w:val="auto"/>
        </w:rPr>
        <w:t>CEO</w:t>
      </w:r>
      <w:r>
        <w:rPr>
          <w:rFonts w:ascii="Arial" w:cs="Arial" w:eastAsia="Arial" w:hAnsi="Arial"/>
          <w:sz w:val="19"/>
          <w:szCs w:val="19"/>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190" w:lineRule="exact"/>
        <w:rPr>
          <w:rFonts w:ascii="Arial" w:cs="Arial" w:eastAsia="Arial" w:hAnsi="Arial"/>
          <w:sz w:val="19"/>
          <w:szCs w:val="19"/>
          <w:color w:val="auto"/>
        </w:rPr>
      </w:pPr>
    </w:p>
    <w:p>
      <w:pPr>
        <w:ind w:left="620" w:right="340" w:hanging="612"/>
        <w:spacing w:after="0" w:line="224" w:lineRule="auto"/>
        <w:tabs>
          <w:tab w:leader="none" w:pos="61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xml:space="preserve">. Your title will be </w:t>
      </w:r>
      <w:r>
        <w:rPr>
          <w:rFonts w:ascii="Arial" w:cs="Arial" w:eastAsia="Arial" w:hAnsi="Arial"/>
          <w:sz w:val="20"/>
          <w:szCs w:val="20"/>
          <w:b w:val="1"/>
          <w:bCs w:val="1"/>
          <w:color w:val="auto"/>
        </w:rPr>
        <w:t>General Counsel</w:t>
      </w:r>
      <w:r>
        <w:rPr>
          <w:rFonts w:ascii="Arial" w:cs="Arial" w:eastAsia="Arial" w:hAnsi="Arial"/>
          <w:sz w:val="20"/>
          <w:szCs w:val="20"/>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179" w:lineRule="exact"/>
        <w:rPr>
          <w:rFonts w:ascii="Arial" w:cs="Arial" w:eastAsia="Arial" w:hAnsi="Arial"/>
          <w:sz w:val="20"/>
          <w:szCs w:val="20"/>
          <w:color w:val="auto"/>
        </w:rPr>
      </w:pPr>
    </w:p>
    <w:p>
      <w:pPr>
        <w:ind w:left="620" w:hanging="612"/>
        <w:spacing w:after="0"/>
        <w:tabs>
          <w:tab w:leader="none" w:pos="62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Compensation and Benefits</w:t>
      </w:r>
      <w:r>
        <w:rPr>
          <w:rFonts w:ascii="Arial" w:cs="Arial" w:eastAsia="Arial" w:hAnsi="Arial"/>
          <w:sz w:val="21"/>
          <w:szCs w:val="21"/>
          <w:color w:val="auto"/>
        </w:rPr>
        <w:t>.</w:t>
      </w:r>
    </w:p>
    <w:p>
      <w:pPr>
        <w:spacing w:after="0" w:line="203" w:lineRule="exact"/>
        <w:rPr>
          <w:rFonts w:ascii="Arial" w:cs="Arial" w:eastAsia="Arial" w:hAnsi="Arial"/>
          <w:sz w:val="21"/>
          <w:szCs w:val="21"/>
          <w:color w:val="auto"/>
        </w:rPr>
      </w:pPr>
    </w:p>
    <w:p>
      <w:pPr>
        <w:jc w:val="both"/>
        <w:ind w:left="1240" w:right="740" w:hanging="619"/>
        <w:spacing w:after="0" w:line="220" w:lineRule="auto"/>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Salary</w:t>
      </w:r>
      <w:r>
        <w:rPr>
          <w:rFonts w:ascii="Arial" w:cs="Arial" w:eastAsia="Arial" w:hAnsi="Arial"/>
          <w:sz w:val="21"/>
          <w:szCs w:val="21"/>
          <w:color w:val="auto"/>
        </w:rPr>
        <w:t>. You will receive a base salary at the rate of</w:t>
      </w:r>
      <w:r>
        <w:rPr>
          <w:rFonts w:ascii="Arial" w:cs="Arial" w:eastAsia="Arial" w:hAnsi="Arial"/>
          <w:sz w:val="21"/>
          <w:szCs w:val="21"/>
          <w:u w:val="single" w:color="auto"/>
          <w:color w:val="auto"/>
        </w:rPr>
        <w:t xml:space="preserve"> </w:t>
      </w:r>
      <w:r>
        <w:rPr>
          <w:rFonts w:ascii="Arial" w:cs="Arial" w:eastAsia="Arial" w:hAnsi="Arial"/>
          <w:sz w:val="21"/>
          <w:szCs w:val="21"/>
          <w:b w:val="1"/>
          <w:bCs w:val="1"/>
          <w:color w:val="auto"/>
        </w:rPr>
        <w:t>$350,000.00</w:t>
      </w:r>
      <w:r>
        <w:rPr>
          <w:rFonts w:ascii="Arial" w:cs="Arial" w:eastAsia="Arial" w:hAnsi="Arial"/>
          <w:sz w:val="21"/>
          <w:szCs w:val="21"/>
          <w:color w:val="auto"/>
        </w:rPr>
        <w:t>, annualized, payable in accordance with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Company’s normal payroll practices. In addition, you may be eligible for a discretionary annual bonus for each calendar year of employment of up to </w:t>
      </w:r>
      <w:r>
        <w:rPr>
          <w:rFonts w:ascii="Arial" w:cs="Arial" w:eastAsia="Arial" w:hAnsi="Arial"/>
          <w:sz w:val="21"/>
          <w:szCs w:val="21"/>
          <w:b w:val="1"/>
          <w:bCs w:val="1"/>
          <w:color w:val="auto"/>
        </w:rPr>
        <w:t>fifteen percent (15%)</w:t>
      </w:r>
      <w:r>
        <w:rPr>
          <w:rFonts w:ascii="Arial" w:cs="Arial" w:eastAsia="Arial" w:hAnsi="Arial"/>
          <w:sz w:val="21"/>
          <w:szCs w:val="21"/>
          <w:color w:val="auto"/>
        </w:rPr>
        <w:t xml:space="preserve"> of your annual salary, paid out quarterly, with the attainment of</w:t>
      </w:r>
    </w:p>
    <w:p>
      <w:pPr>
        <w:sectPr>
          <w:pgSz w:w="11900" w:h="16838" w:orient="portrait"/>
          <w:cols w:equalWidth="0" w:num="1">
            <w:col w:w="11160"/>
          </w:cols>
          <w:pgMar w:left="400" w:top="791" w:right="339" w:bottom="1440" w:gutter="0" w:footer="0" w:header="0"/>
        </w:sectPr>
      </w:pPr>
    </w:p>
    <w:bookmarkStart w:id="51" w:name="page52"/>
    <w:bookmarkEnd w:id="51"/>
    <w:p>
      <w:pPr>
        <w:ind w:left="612" w:right="160"/>
        <w:spacing w:after="0" w:line="216" w:lineRule="auto"/>
        <w:rPr>
          <w:sz w:val="20"/>
          <w:szCs w:val="20"/>
          <w:color w:val="auto"/>
        </w:rPr>
      </w:pPr>
      <w:r>
        <w:rPr>
          <w:rFonts w:ascii="Arial" w:cs="Arial" w:eastAsia="Arial" w:hAnsi="Arial"/>
          <w:sz w:val="21"/>
          <w:szCs w:val="21"/>
          <w:color w:val="auto"/>
        </w:rPr>
        <w:t>such bonus being based upon the achievement of quantifiable quarterly and annual goals that will be set by you and senior management. Any applicable bonus during the first calendar quarter of your employment shall be a prorated portion based on how many calendar days you were employed in the first calendar quarter. Any bonus payable hereunder shall be paid within the “short-term deferral” period provided under Treasury Regulation Section 1.409A-(b)(4).</w:t>
      </w:r>
    </w:p>
    <w:p>
      <w:pPr>
        <w:spacing w:after="0" w:line="184" w:lineRule="exact"/>
        <w:rPr>
          <w:sz w:val="20"/>
          <w:szCs w:val="20"/>
          <w:color w:val="auto"/>
        </w:rPr>
      </w:pPr>
    </w:p>
    <w:p>
      <w:pPr>
        <w:ind w:left="612" w:hanging="612"/>
        <w:spacing w:after="0"/>
        <w:tabs>
          <w:tab w:leader="none" w:pos="61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Relocation Allowance.</w:t>
      </w:r>
      <w:r>
        <w:rPr>
          <w:rFonts w:ascii="Arial" w:cs="Arial" w:eastAsia="Arial" w:hAnsi="Arial"/>
          <w:sz w:val="20"/>
          <w:szCs w:val="20"/>
          <w:color w:val="auto"/>
        </w:rPr>
        <w:t xml:space="preserve"> You will receive a one-time, taxable, relocation allowance payment of </w:t>
      </w:r>
      <w:r>
        <w:rPr>
          <w:rFonts w:ascii="Arial" w:cs="Arial" w:eastAsia="Arial" w:hAnsi="Arial"/>
          <w:sz w:val="20"/>
          <w:szCs w:val="20"/>
          <w:b w:val="1"/>
          <w:bCs w:val="1"/>
          <w:color w:val="auto"/>
        </w:rPr>
        <w:t>$8,500.00</w:t>
      </w:r>
      <w:r>
        <w:rPr>
          <w:rFonts w:ascii="Arial" w:cs="Arial" w:eastAsia="Arial" w:hAnsi="Arial"/>
          <w:sz w:val="20"/>
          <w:szCs w:val="20"/>
          <w:color w:val="auto"/>
        </w:rPr>
        <w:t xml:space="preserve"> (the</w:t>
      </w:r>
    </w:p>
    <w:p>
      <w:pPr>
        <w:ind w:left="612" w:right="60"/>
        <w:spacing w:after="0" w:line="220"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Relocation Allowance</w:t>
      </w:r>
      <w:r>
        <w:rPr>
          <w:rFonts w:ascii="Arial" w:cs="Arial" w:eastAsia="Arial" w:hAnsi="Arial"/>
          <w:sz w:val="20"/>
          <w:szCs w:val="20"/>
          <w:color w:val="auto"/>
        </w:rPr>
        <w:t>”) to cover moving expenses related to your relocation to Orange County, California. If the Company terminates your employment for Cause (as defined below) prior to the one-year anniversary of your employment start date with the Company, then you must repay the Company the full amount of the Relocation Allowance. If you resign from employment with the Company for any reason prior to the one-year anniversary of your employment start date with the Company, then you must repay the Company a prorated portion of the amount of the Relocation Allowance based on the ratio of (x) 12 minus the number of full months of your employment with the Company to (y) 12 months. The Company will provide you with corporate housing during the period from May 6, 2019, to December 31, 2019.</w:t>
      </w:r>
    </w:p>
    <w:p>
      <w:pPr>
        <w:spacing w:after="0" w:line="177" w:lineRule="exact"/>
        <w:rPr>
          <w:rFonts w:ascii="Arial" w:cs="Arial" w:eastAsia="Arial" w:hAnsi="Arial"/>
          <w:sz w:val="20"/>
          <w:szCs w:val="20"/>
          <w:color w:val="auto"/>
        </w:rPr>
      </w:pPr>
    </w:p>
    <w:p>
      <w:pPr>
        <w:ind w:left="612" w:hanging="612"/>
        <w:spacing w:after="0" w:line="24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Subject to the approval of the Company’s Board of Directors or its compensation committee, the Company will recommend that you be granted an award of </w:t>
      </w:r>
      <w:r>
        <w:rPr>
          <w:rFonts w:ascii="Arial" w:cs="Arial" w:eastAsia="Arial" w:hAnsi="Arial"/>
          <w:sz w:val="18"/>
          <w:szCs w:val="18"/>
          <w:b w:val="1"/>
          <w:bCs w:val="1"/>
          <w:color w:val="auto"/>
        </w:rPr>
        <w:t>2,500</w:t>
      </w:r>
      <w:r>
        <w:rPr>
          <w:rFonts w:ascii="Arial" w:cs="Arial" w:eastAsia="Arial" w:hAnsi="Arial"/>
          <w:sz w:val="18"/>
          <w:szCs w:val="18"/>
          <w:color w:val="auto"/>
        </w:rPr>
        <w:t xml:space="preserve"> unvested Class B Units (the “</w:t>
      </w:r>
      <w:r>
        <w:rPr>
          <w:rFonts w:ascii="Arial" w:cs="Arial" w:eastAsia="Arial" w:hAnsi="Arial"/>
          <w:sz w:val="18"/>
          <w:szCs w:val="18"/>
          <w:b w:val="1"/>
          <w:bCs w:val="1"/>
          <w:u w:val="single" w:color="auto"/>
          <w:color w:val="auto"/>
        </w:rPr>
        <w:t>Employee Class B Units</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WM Holding Company, LLC, the parent company of the Company (the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under the Parent’s Third Amended and Restated Equity Incentive Plan (the “</w:t>
      </w:r>
      <w:r>
        <w:rPr>
          <w:rFonts w:ascii="Arial" w:cs="Arial" w:eastAsia="Arial" w:hAnsi="Arial"/>
          <w:sz w:val="18"/>
          <w:szCs w:val="18"/>
          <w:b w:val="1"/>
          <w:bCs w:val="1"/>
          <w:u w:val="single" w:color="auto"/>
          <w:color w:val="auto"/>
        </w:rPr>
        <w:t>Incentive Plan</w:t>
      </w:r>
      <w:r>
        <w:rPr>
          <w:rFonts w:ascii="Arial" w:cs="Arial" w:eastAsia="Arial" w:hAnsi="Arial"/>
          <w:sz w:val="18"/>
          <w:szCs w:val="18"/>
          <w:color w:val="auto"/>
        </w:rPr>
        <w:t>”) and pursuant to the terms and conditions set forth in an Equity Award Agreement (the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thereunder to be entered into between you and the Parent following your employment start date with the Company and in accordance with its internal policies regarding the grant of equity incentive units. Your Employee Class B Units will be scheduled to vest as to 25% of the underlying Class B Units on the one (1) year anniversary of your employment start date with the Company (the “</w:t>
      </w:r>
      <w:r>
        <w:rPr>
          <w:rFonts w:ascii="Arial" w:cs="Arial" w:eastAsia="Arial" w:hAnsi="Arial"/>
          <w:sz w:val="18"/>
          <w:szCs w:val="18"/>
          <w:b w:val="1"/>
          <w:bCs w:val="1"/>
          <w:u w:val="single" w:color="auto"/>
          <w:color w:val="auto"/>
        </w:rPr>
        <w:t>Vesting Cliff</w:t>
      </w:r>
      <w:r>
        <w:rPr>
          <w:rFonts w:ascii="Arial" w:cs="Arial" w:eastAsia="Arial" w:hAnsi="Arial"/>
          <w:sz w:val="18"/>
          <w:szCs w:val="18"/>
          <w:color w:val="auto"/>
        </w:rPr>
        <w:t>”), and thereafter, as to one sixteenth (1/16th) of the underlying Class B Units on a quarterly basis over twelve (12) quarters on the same day of the quarter of your employment start date (or if there is no corresponding day in a given quarter, the last day of the quarter), in each case subject to your continued employment with the Company through the applicable vesting date. Your Employee Class B Units will be subject to the terms and conditions set forth in the Parent’s Incentive Plan, as amended from time-to-time. You acknowledge that you have reviewed the Incentive Plan.</w:t>
      </w:r>
    </w:p>
    <w:p>
      <w:pPr>
        <w:spacing w:after="0" w:line="177" w:lineRule="exact"/>
        <w:rPr>
          <w:rFonts w:ascii="Arial" w:cs="Arial" w:eastAsia="Arial" w:hAnsi="Arial"/>
          <w:sz w:val="18"/>
          <w:szCs w:val="18"/>
          <w:color w:val="auto"/>
        </w:rPr>
      </w:pPr>
    </w:p>
    <w:p>
      <w:pPr>
        <w:jc w:val="both"/>
        <w:ind w:left="612" w:right="1040" w:hanging="612"/>
        <w:spacing w:after="0" w:line="224" w:lineRule="auto"/>
        <w:tabs>
          <w:tab w:leader="none" w:pos="61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Withholdings and Deductions</w:t>
      </w:r>
      <w:r>
        <w:rPr>
          <w:rFonts w:ascii="Arial" w:cs="Arial" w:eastAsia="Arial" w:hAnsi="Arial"/>
          <w:sz w:val="21"/>
          <w:szCs w:val="21"/>
          <w:color w:val="auto"/>
        </w:rPr>
        <w:t>. All payments made under this Offer by the Company shall be subject to all required federal, state, and local withholdings and such other deductions as you may properly instruct the Company to take.</w:t>
      </w:r>
    </w:p>
    <w:p>
      <w:pPr>
        <w:spacing w:after="0" w:line="187" w:lineRule="exact"/>
        <w:rPr>
          <w:rFonts w:ascii="Arial" w:cs="Arial" w:eastAsia="Arial" w:hAnsi="Arial"/>
          <w:sz w:val="21"/>
          <w:szCs w:val="21"/>
          <w:color w:val="auto"/>
        </w:rPr>
      </w:pPr>
    </w:p>
    <w:p>
      <w:pPr>
        <w:ind w:left="612" w:right="400" w:hanging="612"/>
        <w:spacing w:after="0" w:line="243" w:lineRule="auto"/>
        <w:tabs>
          <w:tab w:leader="none" w:pos="60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72"/>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392"/>
          </w:cols>
          <w:pgMar w:left="1028" w:top="1330" w:right="479" w:bottom="1440" w:gutter="0" w:footer="0" w:header="0"/>
        </w:sectPr>
      </w:pPr>
    </w:p>
    <w:bookmarkStart w:id="52" w:name="page53"/>
    <w:bookmarkEnd w:id="52"/>
    <w:p>
      <w:pPr>
        <w:spacing w:after="0" w:line="123" w:lineRule="exact"/>
        <w:rPr>
          <w:sz w:val="20"/>
          <w:szCs w:val="20"/>
          <w:color w:val="auto"/>
        </w:rPr>
      </w:pPr>
    </w:p>
    <w:p>
      <w:pPr>
        <w:ind w:left="1232" w:right="120"/>
        <w:spacing w:after="0" w:line="272" w:lineRule="auto"/>
        <w:rPr>
          <w:sz w:val="20"/>
          <w:szCs w:val="20"/>
          <w:color w:val="auto"/>
        </w:rPr>
      </w:pPr>
      <w:r>
        <w:rPr>
          <w:rFonts w:ascii="Arial" w:cs="Arial" w:eastAsia="Arial" w:hAnsi="Arial"/>
          <w:sz w:val="18"/>
          <w:szCs w:val="18"/>
          <w:color w:val="auto"/>
        </w:rPr>
        <w:t>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160" w:lineRule="exact"/>
        <w:rPr>
          <w:sz w:val="20"/>
          <w:szCs w:val="20"/>
          <w:color w:val="auto"/>
        </w:rPr>
      </w:pPr>
    </w:p>
    <w:p>
      <w:pPr>
        <w:ind w:left="1232" w:right="300" w:hanging="612"/>
        <w:spacing w:after="0" w:line="230" w:lineRule="auto"/>
        <w:tabs>
          <w:tab w:leader="none" w:pos="1223"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You will receive paid vacation according to the Company’s Vacation policy set forth in the Company’s Employee Handbook as may be amended from time to time (the “</w:t>
      </w:r>
      <w:r>
        <w:rPr>
          <w:rFonts w:ascii="Arial" w:cs="Arial" w:eastAsia="Arial" w:hAnsi="Arial"/>
          <w:sz w:val="20"/>
          <w:szCs w:val="20"/>
          <w:b w:val="1"/>
          <w:bCs w:val="1"/>
          <w:u w:val="single" w:color="auto"/>
          <w:color w:val="auto"/>
        </w:rPr>
        <w:t>Employee Handbook</w:t>
      </w:r>
      <w:r>
        <w:rPr>
          <w:rFonts w:ascii="Arial" w:cs="Arial" w:eastAsia="Arial" w:hAnsi="Arial"/>
          <w:sz w:val="20"/>
          <w:szCs w:val="20"/>
          <w:color w:val="auto"/>
        </w:rPr>
        <w:t>”). You will be eligible to accrue paid vacation at the rate set forth in the Employee Handbook. Payment of any accrued but unused vacation will be made upon termination of employment.</w:t>
      </w:r>
    </w:p>
    <w:p>
      <w:pPr>
        <w:spacing w:after="0" w:line="175" w:lineRule="exact"/>
        <w:rPr>
          <w:rFonts w:ascii="Arial" w:cs="Arial" w:eastAsia="Arial" w:hAnsi="Arial"/>
          <w:sz w:val="20"/>
          <w:szCs w:val="20"/>
          <w:color w:val="auto"/>
        </w:rPr>
      </w:pPr>
    </w:p>
    <w:p>
      <w:pPr>
        <w:ind w:left="1232" w:right="400" w:hanging="612"/>
        <w:spacing w:after="0" w:line="233" w:lineRule="auto"/>
        <w:tabs>
          <w:tab w:leader="none" w:pos="1232"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Paid Sick Leave</w:t>
      </w:r>
      <w:r>
        <w:rPr>
          <w:rFonts w:ascii="Arial" w:cs="Arial" w:eastAsia="Arial" w:hAnsi="Arial"/>
          <w:sz w:val="21"/>
          <w:szCs w:val="21"/>
          <w:color w:val="auto"/>
        </w:rPr>
        <w:t>. You will be eligible for paid sick leave according to the Company’s Sick Leave Policy set forth in the Employee Handbook.</w:t>
      </w:r>
    </w:p>
    <w:p>
      <w:pPr>
        <w:spacing w:after="0" w:line="188" w:lineRule="exact"/>
        <w:rPr>
          <w:rFonts w:ascii="Arial" w:cs="Arial" w:eastAsia="Arial" w:hAnsi="Arial"/>
          <w:sz w:val="21"/>
          <w:szCs w:val="21"/>
          <w:color w:val="auto"/>
        </w:rPr>
      </w:pPr>
    </w:p>
    <w:p>
      <w:pPr>
        <w:jc w:val="both"/>
        <w:ind w:left="1232" w:right="180" w:hanging="612"/>
        <w:spacing w:after="0" w:line="305" w:lineRule="auto"/>
        <w:tabs>
          <w:tab w:leader="none" w:pos="123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Exclusive Compensation</w:t>
      </w:r>
      <w:r>
        <w:rPr>
          <w:rFonts w:ascii="Arial" w:cs="Arial" w:eastAsia="Arial" w:hAnsi="Arial"/>
          <w:sz w:val="18"/>
          <w:szCs w:val="18"/>
          <w:color w:val="auto"/>
        </w:rPr>
        <w:t xml:space="preserve">. You agree that your compensation under this </w:t>
      </w:r>
      <w:r>
        <w:rPr>
          <w:rFonts w:ascii="Arial" w:cs="Arial" w:eastAsia="Arial" w:hAnsi="Arial"/>
          <w:sz w:val="18"/>
          <w:szCs w:val="18"/>
          <w:u w:val="single" w:color="auto"/>
          <w:color w:val="auto"/>
        </w:rPr>
        <w:t>Compensation and Benefits Section</w:t>
      </w:r>
      <w:r>
        <w:rPr>
          <w:rFonts w:ascii="Arial" w:cs="Arial" w:eastAsia="Arial" w:hAnsi="Arial"/>
          <w:sz w:val="18"/>
          <w:szCs w:val="18"/>
          <w:color w:val="auto"/>
        </w:rPr>
        <w:t xml:space="preserve"> constitutes the full and exclusive consideration and compensation for all services rendered by you under this Offer.</w:t>
      </w:r>
    </w:p>
    <w:p>
      <w:pPr>
        <w:spacing w:after="0" w:line="131" w:lineRule="exact"/>
        <w:rPr>
          <w:rFonts w:ascii="Arial" w:cs="Arial" w:eastAsia="Arial" w:hAnsi="Arial"/>
          <w:sz w:val="18"/>
          <w:szCs w:val="18"/>
          <w:color w:val="auto"/>
        </w:rPr>
      </w:pPr>
    </w:p>
    <w:p>
      <w:pPr>
        <w:ind w:left="1232" w:right="120" w:hanging="612"/>
        <w:spacing w:after="0" w:line="233" w:lineRule="auto"/>
        <w:tabs>
          <w:tab w:leader="none" w:pos="122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179" w:lineRule="exact"/>
        <w:rPr>
          <w:rFonts w:ascii="Arial" w:cs="Arial" w:eastAsia="Arial" w:hAnsi="Arial"/>
          <w:sz w:val="19"/>
          <w:szCs w:val="19"/>
          <w:color w:val="auto"/>
        </w:rPr>
      </w:pPr>
    </w:p>
    <w:p>
      <w:pPr>
        <w:ind w:left="1232" w:right="40" w:hanging="612"/>
        <w:spacing w:after="0" w:line="213" w:lineRule="auto"/>
        <w:tabs>
          <w:tab w:leader="none" w:pos="1225"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Clawback Provisions</w:t>
      </w:r>
      <w:r>
        <w:rPr>
          <w:rFonts w:ascii="Arial" w:cs="Arial" w:eastAsia="Arial" w:hAnsi="Arial"/>
          <w:sz w:val="17"/>
          <w:szCs w:val="17"/>
          <w:color w:val="auto"/>
        </w:rPr>
        <w:t>.</w:t>
      </w:r>
      <w:r>
        <w:rPr>
          <w:rFonts w:ascii="Arial" w:cs="Arial" w:eastAsia="Arial" w:hAnsi="Arial"/>
          <w:sz w:val="21"/>
          <w:szCs w:val="21"/>
          <w:color w:val="auto"/>
        </w:rPr>
        <w:t xml:space="preserve">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its affiliates pursuant to any such law, government regulation or stock exchange listing requirement).</w:t>
      </w:r>
    </w:p>
    <w:p>
      <w:pPr>
        <w:spacing w:after="0" w:line="188" w:lineRule="exact"/>
        <w:rPr>
          <w:rFonts w:ascii="Arial" w:cs="Arial" w:eastAsia="Arial" w:hAnsi="Arial"/>
          <w:sz w:val="21"/>
          <w:szCs w:val="21"/>
          <w:color w:val="auto"/>
        </w:rPr>
      </w:pPr>
    </w:p>
    <w:p>
      <w:pPr>
        <w:ind w:left="612" w:hanging="612"/>
        <w:spacing w:after="0"/>
        <w:tabs>
          <w:tab w:leader="none" w:pos="61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Conditions of Employment</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1232" w:hanging="612"/>
        <w:spacing w:after="0" w:line="235" w:lineRule="auto"/>
        <w:tabs>
          <w:tab w:leader="none" w:pos="1220"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Policies and Procedures</w:t>
      </w:r>
      <w:r>
        <w:rPr>
          <w:rFonts w:ascii="Arial" w:cs="Arial" w:eastAsia="Arial" w:hAnsi="Arial"/>
          <w:sz w:val="20"/>
          <w:szCs w:val="20"/>
          <w:color w:val="auto"/>
        </w:rPr>
        <w:t>. You agree to adhere to Company policies and procedures, including all policies contained in the Employee Handbook, which you will receive when you begin employment. From time to time, Company policies and procedures may be amended by the Company and will be called to your attention.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1"/>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932"/>
          </w:cols>
          <w:pgMar w:left="408" w:top="1440" w:right="559" w:bottom="1440" w:gutter="0" w:footer="0" w:header="0"/>
        </w:sectPr>
      </w:pPr>
    </w:p>
    <w:bookmarkStart w:id="53" w:name="page54"/>
    <w:bookmarkEnd w:id="53"/>
    <w:p>
      <w:pPr>
        <w:spacing w:after="0" w:line="123" w:lineRule="exact"/>
        <w:rPr>
          <w:sz w:val="20"/>
          <w:szCs w:val="20"/>
          <w:color w:val="auto"/>
        </w:rPr>
      </w:pPr>
    </w:p>
    <w:p>
      <w:pPr>
        <w:ind w:left="613" w:right="280" w:hanging="612"/>
        <w:spacing w:after="0" w:line="216" w:lineRule="auto"/>
        <w:tabs>
          <w:tab w:leader="none" w:pos="61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Background Check and Eligibility</w:t>
      </w:r>
      <w:r>
        <w:rPr>
          <w:rFonts w:ascii="Arial" w:cs="Arial" w:eastAsia="Arial" w:hAnsi="Arial"/>
          <w:sz w:val="21"/>
          <w:szCs w:val="21"/>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189" w:lineRule="exact"/>
        <w:rPr>
          <w:rFonts w:ascii="Arial" w:cs="Arial" w:eastAsia="Arial" w:hAnsi="Arial"/>
          <w:sz w:val="21"/>
          <w:szCs w:val="21"/>
          <w:color w:val="auto"/>
        </w:rPr>
      </w:pPr>
    </w:p>
    <w:p>
      <w:pPr>
        <w:ind w:left="613" w:right="200" w:hanging="612"/>
        <w:spacing w:after="0" w:line="231" w:lineRule="auto"/>
        <w:tabs>
          <w:tab w:leader="none" w:pos="601"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Right to Work</w:t>
      </w:r>
      <w:r>
        <w:rPr>
          <w:rFonts w:ascii="Arial" w:cs="Arial" w:eastAsia="Arial" w:hAnsi="Arial"/>
          <w:sz w:val="19"/>
          <w:szCs w:val="19"/>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 For further information,</w:t>
      </w:r>
    </w:p>
    <w:p>
      <w:pPr>
        <w:spacing w:after="0" w:line="1" w:lineRule="exact"/>
        <w:rPr>
          <w:rFonts w:ascii="Arial" w:cs="Arial" w:eastAsia="Arial" w:hAnsi="Arial"/>
          <w:sz w:val="19"/>
          <w:szCs w:val="19"/>
          <w:color w:val="auto"/>
        </w:rPr>
      </w:pPr>
    </w:p>
    <w:p>
      <w:pPr>
        <w:ind w:left="613"/>
        <w:spacing w:after="0"/>
        <w:rPr>
          <w:rFonts w:ascii="Arial" w:cs="Arial" w:eastAsia="Arial" w:hAnsi="Arial"/>
          <w:sz w:val="19"/>
          <w:szCs w:val="19"/>
          <w:color w:val="auto"/>
        </w:rPr>
      </w:pPr>
      <w:r>
        <w:rPr>
          <w:rFonts w:ascii="Arial" w:cs="Arial" w:eastAsia="Arial" w:hAnsi="Arial"/>
          <w:sz w:val="21"/>
          <w:szCs w:val="21"/>
          <w:color w:val="auto"/>
        </w:rPr>
        <w:t xml:space="preserve">see </w:t>
      </w:r>
      <w:r>
        <w:rPr>
          <w:rFonts w:ascii="Arial" w:cs="Arial" w:eastAsia="Arial" w:hAnsi="Arial"/>
          <w:sz w:val="21"/>
          <w:szCs w:val="21"/>
          <w:u w:val="single" w:color="auto"/>
          <w:color w:val="auto"/>
        </w:rPr>
        <w:t>https://www.uscis.gov/i-9</w:t>
      </w:r>
      <w:r>
        <w:rPr>
          <w:rFonts w:ascii="Arial" w:cs="Arial" w:eastAsia="Arial" w:hAnsi="Arial"/>
          <w:sz w:val="21"/>
          <w:szCs w:val="21"/>
          <w:color w:val="auto"/>
        </w:rPr>
        <w:t>.</w:t>
      </w:r>
    </w:p>
    <w:p>
      <w:pPr>
        <w:spacing w:after="0" w:line="161" w:lineRule="exact"/>
        <w:rPr>
          <w:rFonts w:ascii="Arial" w:cs="Arial" w:eastAsia="Arial" w:hAnsi="Arial"/>
          <w:sz w:val="19"/>
          <w:szCs w:val="19"/>
          <w:color w:val="auto"/>
        </w:rPr>
      </w:pPr>
    </w:p>
    <w:p>
      <w:pPr>
        <w:ind w:left="613" w:hanging="613"/>
        <w:spacing w:after="0"/>
        <w:tabs>
          <w:tab w:leader="none" w:pos="61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Non-Solicitation and Inventions Assignment Agreement</w:t>
      </w:r>
      <w:r>
        <w:rPr>
          <w:rFonts w:ascii="Arial" w:cs="Arial" w:eastAsia="Arial" w:hAnsi="Arial"/>
          <w:sz w:val="21"/>
          <w:szCs w:val="21"/>
          <w:color w:val="auto"/>
        </w:rPr>
        <w:t>.</w:t>
      </w:r>
    </w:p>
    <w:p>
      <w:pPr>
        <w:jc w:val="both"/>
        <w:ind w:left="613"/>
        <w:spacing w:after="0" w:line="218" w:lineRule="auto"/>
        <w:rPr>
          <w:rFonts w:ascii="Arial" w:cs="Arial" w:eastAsia="Arial" w:hAnsi="Arial"/>
          <w:sz w:val="21"/>
          <w:szCs w:val="21"/>
          <w:color w:val="auto"/>
        </w:rPr>
      </w:pPr>
      <w:r>
        <w:rPr>
          <w:rFonts w:ascii="Arial" w:cs="Arial" w:eastAsia="Arial" w:hAnsi="Arial"/>
          <w:sz w:val="21"/>
          <w:szCs w:val="21"/>
          <w:color w:val="auto"/>
        </w:rPr>
        <w:t>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187" w:lineRule="exact"/>
        <w:rPr>
          <w:rFonts w:ascii="Arial" w:cs="Arial" w:eastAsia="Arial" w:hAnsi="Arial"/>
          <w:sz w:val="21"/>
          <w:szCs w:val="21"/>
          <w:color w:val="auto"/>
        </w:rPr>
      </w:pPr>
    </w:p>
    <w:p>
      <w:pPr>
        <w:ind w:left="613" w:right="380" w:hanging="612"/>
        <w:spacing w:after="0" w:line="224" w:lineRule="auto"/>
        <w:tabs>
          <w:tab w:leader="none" w:pos="601"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Arbitration Agreement</w:t>
      </w:r>
      <w:r>
        <w:rPr>
          <w:rFonts w:ascii="Arial" w:cs="Arial" w:eastAsia="Arial" w:hAnsi="Arial"/>
          <w:sz w:val="21"/>
          <w:szCs w:val="21"/>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187" w:lineRule="exact"/>
        <w:rPr>
          <w:rFonts w:ascii="Arial" w:cs="Arial" w:eastAsia="Arial" w:hAnsi="Arial"/>
          <w:sz w:val="21"/>
          <w:szCs w:val="21"/>
          <w:color w:val="auto"/>
        </w:rPr>
      </w:pPr>
    </w:p>
    <w:p>
      <w:pPr>
        <w:ind w:left="613" w:right="180" w:hanging="612"/>
        <w:spacing w:after="0" w:line="224" w:lineRule="auto"/>
        <w:tabs>
          <w:tab w:leader="none" w:pos="604"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174" w:lineRule="exact"/>
        <w:rPr>
          <w:rFonts w:ascii="Arial" w:cs="Arial" w:eastAsia="Arial" w:hAnsi="Arial"/>
          <w:sz w:val="21"/>
          <w:szCs w:val="21"/>
          <w:color w:val="auto"/>
        </w:rPr>
      </w:pPr>
    </w:p>
    <w:p>
      <w:pPr>
        <w:ind w:left="613" w:right="340" w:hanging="612"/>
        <w:spacing w:after="0" w:line="224" w:lineRule="auto"/>
        <w:tabs>
          <w:tab w:leader="none" w:pos="61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 Reliance</w:t>
      </w:r>
      <w:r>
        <w:rPr>
          <w:rFonts w:ascii="Arial" w:cs="Arial" w:eastAsia="Arial" w:hAnsi="Arial"/>
          <w:sz w:val="21"/>
          <w:szCs w:val="21"/>
          <w:color w:val="auto"/>
        </w:rPr>
        <w:t>. You acknowledge that you are not relocating your residence or resigning employment in reliance on any promise or representation by the Company regarding the kind, character, or existence of such work, or the length of time such work will last, or the compensation therefore.</w:t>
      </w:r>
    </w:p>
    <w:p>
      <w:pPr>
        <w:spacing w:after="0" w:line="187" w:lineRule="exact"/>
        <w:rPr>
          <w:rFonts w:ascii="Arial" w:cs="Arial" w:eastAsia="Arial" w:hAnsi="Arial"/>
          <w:sz w:val="21"/>
          <w:szCs w:val="21"/>
          <w:color w:val="auto"/>
        </w:rPr>
      </w:pPr>
    </w:p>
    <w:p>
      <w:pPr>
        <w:ind w:left="613" w:right="1500" w:hanging="612"/>
        <w:spacing w:after="0" w:line="233" w:lineRule="auto"/>
        <w:tabs>
          <w:tab w:leader="none" w:pos="613"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Prior Agreements</w:t>
      </w:r>
      <w:r>
        <w:rPr>
          <w:rFonts w:ascii="Arial" w:cs="Arial" w:eastAsia="Arial" w:hAnsi="Arial"/>
          <w:sz w:val="21"/>
          <w:szCs w:val="21"/>
          <w:color w:val="auto"/>
        </w:rPr>
        <w:t>. This letter supersedes any prior agreements regarding your employment with the Company.</w:t>
      </w:r>
    </w:p>
    <w:p>
      <w:pPr>
        <w:spacing w:after="0" w:line="188" w:lineRule="exact"/>
        <w:rPr>
          <w:rFonts w:ascii="Arial" w:cs="Arial" w:eastAsia="Arial" w:hAnsi="Arial"/>
          <w:sz w:val="21"/>
          <w:szCs w:val="21"/>
          <w:color w:val="auto"/>
        </w:rPr>
      </w:pPr>
    </w:p>
    <w:p>
      <w:pPr>
        <w:ind w:left="613" w:right="20" w:hanging="612"/>
        <w:spacing w:after="0" w:line="219" w:lineRule="auto"/>
        <w:tabs>
          <w:tab w:leader="none" w:pos="60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Governing Law; Severability</w:t>
      </w:r>
      <w:r>
        <w:rPr>
          <w:rFonts w:ascii="Arial" w:cs="Arial" w:eastAsia="Arial" w:hAnsi="Arial"/>
          <w:sz w:val="21"/>
          <w:szCs w:val="21"/>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175" w:lineRule="exact"/>
        <w:rPr>
          <w:rFonts w:ascii="Arial" w:cs="Arial" w:eastAsia="Arial" w:hAnsi="Arial"/>
          <w:sz w:val="21"/>
          <w:szCs w:val="21"/>
          <w:color w:val="auto"/>
        </w:rPr>
      </w:pPr>
    </w:p>
    <w:p>
      <w:pPr>
        <w:ind w:left="613" w:right="580" w:hanging="612"/>
        <w:spacing w:after="0" w:line="235" w:lineRule="auto"/>
        <w:tabs>
          <w:tab w:leader="none" w:pos="60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200" w:lineRule="exact"/>
        <w:rPr>
          <w:sz w:val="20"/>
          <w:szCs w:val="20"/>
          <w:color w:val="auto"/>
        </w:rPr>
      </w:pPr>
    </w:p>
    <w:p>
      <w:pPr>
        <w:spacing w:after="0" w:line="272" w:lineRule="exact"/>
        <w:rPr>
          <w:sz w:val="20"/>
          <w:szCs w:val="20"/>
          <w:color w:val="auto"/>
        </w:rPr>
      </w:pPr>
    </w:p>
    <w:p>
      <w:pPr>
        <w:ind w:left="4853"/>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333"/>
          </w:cols>
          <w:pgMar w:left="1027" w:top="1440" w:right="539" w:bottom="1440" w:gutter="0" w:footer="0" w:header="0"/>
        </w:sectPr>
      </w:pPr>
    </w:p>
    <w:bookmarkStart w:id="54" w:name="page55"/>
    <w:bookmarkEnd w:id="54"/>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type w:val="continuous"/>
        </w:sectPr>
      </w:pPr>
    </w:p>
    <w:bookmarkStart w:id="55" w:name="page56"/>
    <w:bookmarkEnd w:id="55"/>
    <w:p>
      <w:pPr>
        <w:ind w:firstLine="619"/>
        <w:spacing w:after="0" w:line="233" w:lineRule="auto"/>
        <w:rPr>
          <w:sz w:val="20"/>
          <w:szCs w:val="20"/>
          <w:color w:val="auto"/>
        </w:rPr>
      </w:pPr>
      <w:r>
        <w:rPr>
          <w:rFonts w:ascii="Arial" w:cs="Arial" w:eastAsia="Arial" w:hAnsi="Arial"/>
          <w:sz w:val="21"/>
          <w:szCs w:val="21"/>
          <w:color w:val="auto"/>
        </w:rPr>
        <w:t xml:space="preserve">If you accept the terms of the foregoing offer of employment, please so indicate by signing and dating below and returning it to my attention </w:t>
      </w:r>
      <w:r>
        <w:rPr>
          <w:rFonts w:ascii="Arial" w:cs="Arial" w:eastAsia="Arial" w:hAnsi="Arial"/>
          <w:sz w:val="21"/>
          <w:szCs w:val="21"/>
          <w:i w:val="1"/>
          <w:iCs w:val="1"/>
          <w:color w:val="auto"/>
        </w:rPr>
        <w:t>no later than</w:t>
      </w:r>
      <w:r>
        <w:rPr>
          <w:rFonts w:ascii="Arial" w:cs="Arial" w:eastAsia="Arial" w:hAnsi="Arial"/>
          <w:sz w:val="21"/>
          <w:szCs w:val="21"/>
          <w:color w:val="auto"/>
        </w:rPr>
        <w:t xml:space="preserve"> </w:t>
      </w:r>
      <w:r>
        <w:rPr>
          <w:rFonts w:ascii="Arial" w:cs="Arial" w:eastAsia="Arial" w:hAnsi="Arial"/>
          <w:sz w:val="21"/>
          <w:szCs w:val="21"/>
          <w:b w:val="1"/>
          <w:bCs w:val="1"/>
          <w:color w:val="auto"/>
        </w:rPr>
        <w:t>April 5, 2019</w:t>
      </w:r>
      <w:r>
        <w:rPr>
          <w:rFonts w:ascii="Arial" w:cs="Arial" w:eastAsia="Arial" w:hAnsi="Arial"/>
          <w:sz w:val="21"/>
          <w:szCs w:val="21"/>
          <w:color w:val="auto"/>
        </w:rPr>
        <w:t>.</w:t>
      </w:r>
    </w:p>
    <w:p>
      <w:pPr>
        <w:spacing w:after="0" w:line="200" w:lineRule="exact"/>
        <w:rPr>
          <w:sz w:val="20"/>
          <w:szCs w:val="20"/>
          <w:color w:val="auto"/>
        </w:rPr>
      </w:pPr>
    </w:p>
    <w:p>
      <w:pPr>
        <w:spacing w:after="0" w:line="376"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Sincerely,</w:t>
      </w:r>
    </w:p>
    <w:p>
      <w:pPr>
        <w:ind w:left="3720"/>
        <w:spacing w:after="0"/>
        <w:rPr>
          <w:sz w:val="20"/>
          <w:szCs w:val="20"/>
          <w:color w:val="auto"/>
        </w:rPr>
      </w:pPr>
      <w:r>
        <w:rPr>
          <w:rFonts w:ascii="Arial" w:cs="Arial" w:eastAsia="Arial" w:hAnsi="Arial"/>
          <w:sz w:val="17"/>
          <w:szCs w:val="17"/>
          <w:color w:val="auto"/>
        </w:rPr>
        <w:t>GHOST MANAGEMENT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144780</wp:posOffset>
            </wp:positionV>
            <wp:extent cx="1637030" cy="818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7030" cy="81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By:</w:t>
      </w:r>
    </w:p>
    <w:p>
      <w:pPr>
        <w:spacing w:after="0" w:line="10"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Christopher Beals,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w:t>
      </w:r>
    </w:p>
    <w:p>
      <w:pPr>
        <w:spacing w:after="0" w:line="43" w:lineRule="exact"/>
        <w:rPr>
          <w:sz w:val="20"/>
          <w:szCs w:val="20"/>
          <w:color w:val="auto"/>
        </w:rPr>
      </w:pPr>
    </w:p>
    <w:p>
      <w:pPr>
        <w:spacing w:after="0"/>
        <w:rPr>
          <w:sz w:val="20"/>
          <w:szCs w:val="20"/>
          <w:color w:val="auto"/>
        </w:rPr>
      </w:pPr>
      <w:r>
        <w:rPr>
          <w:rFonts w:ascii="Arial" w:cs="Arial" w:eastAsia="Arial" w:hAnsi="Arial"/>
          <w:sz w:val="30"/>
          <w:szCs w:val="30"/>
          <w:i w:val="1"/>
          <w:iCs w:val="1"/>
          <w:u w:val="single" w:color="auto"/>
          <w:color w:val="auto"/>
        </w:rPr>
        <w:t>Brian Camire</w:t>
      </w:r>
    </w:p>
    <w:p>
      <w:pPr>
        <w:spacing w:after="0"/>
        <w:rPr>
          <w:sz w:val="20"/>
          <w:szCs w:val="20"/>
          <w:color w:val="auto"/>
        </w:rPr>
      </w:pPr>
      <w:r>
        <w:rPr>
          <w:rFonts w:ascii="Arial" w:cs="Arial" w:eastAsia="Arial" w:hAnsi="Arial"/>
          <w:sz w:val="11"/>
          <w:szCs w:val="11"/>
          <w:u w:val="single" w:color="auto"/>
          <w:color w:val="0092BE"/>
        </w:rPr>
        <w:t xml:space="preserve">Brian Camire (Apr 4, </w:t>
      </w:r>
      <w:r>
        <w:rPr>
          <w:rFonts w:ascii="Arial" w:cs="Arial" w:eastAsia="Arial" w:hAnsi="Arial"/>
          <w:sz w:val="20"/>
          <w:szCs w:val="20"/>
          <w:u w:val="single" w:color="auto"/>
          <w:color w:val="0092BE"/>
        </w:rPr>
        <w:t>2019)</w:t>
      </w:r>
    </w:p>
    <w:p>
      <w:pPr>
        <w:spacing w:after="0" w:line="183" w:lineRule="auto"/>
        <w:rPr>
          <w:sz w:val="20"/>
          <w:szCs w:val="20"/>
          <w:color w:val="auto"/>
        </w:rPr>
      </w:pPr>
      <w:r>
        <w:rPr>
          <w:rFonts w:ascii="Arial" w:cs="Arial" w:eastAsia="Arial" w:hAnsi="Arial"/>
          <w:sz w:val="37"/>
          <w:szCs w:val="37"/>
          <w:color w:val="auto"/>
          <w:vertAlign w:val="subscript"/>
        </w:rPr>
        <w:t>Print Name:</w:t>
      </w:r>
      <w:r>
        <w:rPr>
          <w:rFonts w:ascii="Arial" w:cs="Arial" w:eastAsia="Arial" w:hAnsi="Arial"/>
          <w:sz w:val="29"/>
          <w:szCs w:val="29"/>
          <w:color w:val="auto"/>
        </w:rPr>
        <w:t xml:space="preserve"> </w:t>
      </w:r>
      <w:r>
        <w:rPr>
          <w:rFonts w:ascii="Arial" w:cs="Arial" w:eastAsia="Arial" w:hAnsi="Arial"/>
          <w:sz w:val="29"/>
          <w:szCs w:val="29"/>
          <w:u w:val="single" w:color="auto"/>
          <w:color w:val="auto"/>
        </w:rPr>
        <w:t>Brian</w:t>
      </w:r>
      <w:r>
        <w:rPr>
          <w:rFonts w:ascii="Arial" w:cs="Arial" w:eastAsia="Arial" w:hAnsi="Arial"/>
          <w:sz w:val="29"/>
          <w:szCs w:val="29"/>
          <w:color w:val="auto"/>
        </w:rPr>
        <w:t xml:space="preserve"> </w:t>
      </w:r>
      <w:r>
        <w:rPr>
          <w:rFonts w:ascii="Arial" w:cs="Arial" w:eastAsia="Arial" w:hAnsi="Arial"/>
          <w:sz w:val="19"/>
          <w:szCs w:val="19"/>
          <w:u w:val="single" w:color="auto"/>
          <w:color w:val="auto"/>
        </w:rPr>
        <w:t>Camire</w:t>
      </w:r>
    </w:p>
    <w:p>
      <w:pPr>
        <w:spacing w:after="0" w:line="198" w:lineRule="auto"/>
        <w:rPr>
          <w:sz w:val="20"/>
          <w:szCs w:val="20"/>
          <w:color w:val="auto"/>
        </w:rPr>
      </w:pPr>
      <w:r>
        <w:rPr>
          <w:rFonts w:ascii="Arial" w:cs="Arial" w:eastAsia="Arial" w:hAnsi="Arial"/>
          <w:sz w:val="40"/>
          <w:szCs w:val="40"/>
          <w:color w:val="auto"/>
          <w:vertAlign w:val="subscript"/>
        </w:rPr>
        <w:t>Date:</w:t>
      </w:r>
      <w:r>
        <w:rPr>
          <w:rFonts w:ascii="Arial" w:cs="Arial" w:eastAsia="Arial" w:hAnsi="Arial"/>
          <w:sz w:val="31"/>
          <w:szCs w:val="31"/>
          <w:color w:val="auto"/>
        </w:rPr>
        <w:t xml:space="preserve"> </w:t>
      </w:r>
      <w:r>
        <w:rPr>
          <w:rFonts w:ascii="Arial" w:cs="Arial" w:eastAsia="Arial" w:hAnsi="Arial"/>
          <w:sz w:val="31"/>
          <w:szCs w:val="31"/>
          <w:u w:val="single" w:color="auto"/>
          <w:color w:val="auto"/>
        </w:rPr>
        <w:t>Apr 4,</w:t>
      </w:r>
      <w:r>
        <w:rPr>
          <w:rFonts w:ascii="Arial" w:cs="Arial" w:eastAsia="Arial" w:hAnsi="Arial"/>
          <w:sz w:val="31"/>
          <w:szCs w:val="31"/>
          <w:color w:val="auto"/>
        </w:rPr>
        <w:t xml:space="preserve"> </w:t>
      </w:r>
      <w:r>
        <w:rPr>
          <w:rFonts w:ascii="Arial" w:cs="Arial" w:eastAsia="Arial" w:hAnsi="Arial"/>
          <w:sz w:val="20"/>
          <w:szCs w:val="20"/>
          <w:u w:val="single" w:color="auto"/>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-53340</wp:posOffset>
            </wp:positionV>
            <wp:extent cx="361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40"/>
          </w:cols>
          <w:pgMar w:left="400" w:top="1330"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Christopher Beals,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Quarterly Report on Form 10-Q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Christopher Beals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59" w:right="339" w:bottom="892" w:gutter="0" w:footer="0" w:header="0"/>
        </w:sectPr>
      </w:pPr>
    </w:p>
    <w:p>
      <w:pPr>
        <w:spacing w:after="0" w:line="200" w:lineRule="exact"/>
        <w:rPr>
          <w:sz w:val="20"/>
          <w:szCs w:val="20"/>
          <w:color w:val="auto"/>
        </w:rPr>
      </w:pPr>
    </w:p>
    <w:p>
      <w:pPr>
        <w:spacing w:after="0" w:line="339"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359" w:right="339" w:bottom="892" w:gutter="0" w:footer="0" w:header="0"/>
          <w:type w:val="continuous"/>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Arden Lee,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Quarterly Report on Form 10-Q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40"/>
        <w:spacing w:after="0"/>
        <w:rPr>
          <w:sz w:val="20"/>
          <w:szCs w:val="20"/>
          <w:color w:val="auto"/>
        </w:rPr>
      </w:pPr>
      <w:r>
        <w:rPr>
          <w:rFonts w:ascii="Arial" w:cs="Arial" w:eastAsia="Arial" w:hAnsi="Arial"/>
          <w:sz w:val="16"/>
          <w:szCs w:val="16"/>
          <w:i w:val="1"/>
          <w:iCs w:val="1"/>
          <w:color w:val="auto"/>
        </w:rPr>
        <w:t>(Principal Financial Officer and Principal</w:t>
      </w:r>
    </w:p>
    <w:p>
      <w:pPr>
        <w:spacing w:after="0" w:line="33"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Accounting Officer)</w:t>
      </w:r>
    </w:p>
    <w:p>
      <w:pPr>
        <w:sectPr>
          <w:pgSz w:w="11900" w:h="16838" w:orient="portrait"/>
          <w:cols w:equalWidth="0" w:num="1">
            <w:col w:w="11240"/>
          </w:cols>
          <w:pgMar w:left="320" w:top="1359"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Christopher Beals, the Chief Executive Officer of WM Technology, Inc., certify, pursuant to 18 U.S.C. Section 1350, as adopted pursuant to Section 906 of the Sarbanes-Oxley Act of 2002, that the Quarterly Report on Form 10-Q of WM Technology, Inc. for the quarterly period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780" w:val="left"/>
          <w:tab w:leader="none" w:pos="6860" w:val="left"/>
          <w:tab w:leader="none" w:pos="76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64135</wp:posOffset>
            </wp:positionV>
            <wp:extent cx="2341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107"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Christopher Beals</w:t>
      </w:r>
    </w:p>
    <w:p>
      <w:pPr>
        <w:spacing w:after="0" w:line="10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Chief Executive Officer</w:t>
      </w:r>
    </w:p>
    <w:p>
      <w:pPr>
        <w:spacing w:after="0" w:line="101" w:lineRule="exact"/>
        <w:rPr>
          <w:sz w:val="20"/>
          <w:szCs w:val="20"/>
          <w:color w:val="auto"/>
        </w:rPr>
      </w:pPr>
    </w:p>
    <w:p>
      <w:pPr>
        <w:ind w:left="76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Arden Lee, the Chief Financial Officer of WM Technology, Inc., certify, pursuant to 18 U.S.C. Section 1350, as adopted pursuant to Section 906 of the Sarbanes-Oxley Act of 2002, that the Quarterly Report on Form 10-Q of WM Technology, Inc. for the quarterly period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55" w:lineRule="exact"/>
        <w:rPr>
          <w:sz w:val="20"/>
          <w:szCs w:val="20"/>
          <w:color w:val="auto"/>
        </w:rPr>
      </w:pPr>
    </w:p>
    <w:p>
      <w:pPr>
        <w:ind w:left="60"/>
        <w:spacing w:after="0"/>
        <w:tabs>
          <w:tab w:leader="none" w:pos="780" w:val="left"/>
          <w:tab w:leader="none" w:pos="6860" w:val="left"/>
          <w:tab w:leader="none" w:pos="75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64135</wp:posOffset>
            </wp:positionV>
            <wp:extent cx="2349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10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Arden Lee</w:t>
      </w:r>
    </w:p>
    <w:p>
      <w:pPr>
        <w:spacing w:after="0" w:line="101"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Financial Officer</w:t>
      </w:r>
    </w:p>
    <w:p>
      <w:pPr>
        <w:spacing w:after="0" w:line="101" w:lineRule="exact"/>
        <w:rPr>
          <w:sz w:val="20"/>
          <w:szCs w:val="20"/>
          <w:color w:val="auto"/>
        </w:rPr>
      </w:pPr>
    </w:p>
    <w:p>
      <w:pPr>
        <w:ind w:left="760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22" w:lineRule="exact"/>
        <w:rPr>
          <w:sz w:val="20"/>
          <w:szCs w:val="20"/>
          <w:color w:val="auto"/>
        </w:rPr>
      </w:pPr>
    </w:p>
    <w:p>
      <w:pPr>
        <w:ind w:left="7600"/>
        <w:spacing w:after="0"/>
        <w:rPr>
          <w:sz w:val="20"/>
          <w:szCs w:val="20"/>
          <w:color w:val="auto"/>
        </w:rPr>
      </w:pPr>
      <w:r>
        <w:rPr>
          <w:rFonts w:ascii="Arial" w:cs="Arial" w:eastAsia="Arial" w:hAnsi="Arial"/>
          <w:sz w:val="17"/>
          <w:szCs w:val="17"/>
          <w:i w:val="1"/>
          <w:iCs w:val="1"/>
          <w:color w:val="auto"/>
        </w:rPr>
        <w:t>Accounting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¹"/>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lowerRoman"/>
      <w:start w:val="2"/>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1."/>
      <w:numFmt w:val="decimal"/>
      <w:start w:val="10"/>
    </w:lvl>
  </w:abstractNum>
  <w:abstractNum w:abstractNumId="15">
    <w:nsid w:val="836C40E"/>
    <w:multiLevelType w:val="hybridMultilevel"/>
    <w:lvl w:ilvl="0">
      <w:lvlJc w:val="left"/>
      <w:lvlText w:val="%1."/>
      <w:numFmt w:val="decimal"/>
      <w:start w:val="11"/>
    </w:lvl>
  </w:abstractNum>
  <w:abstractNum w:abstractNumId="16">
    <w:nsid w:val="2901D82"/>
    <w:multiLevelType w:val="hybridMultilevel"/>
    <w:lvl w:ilvl="0">
      <w:lvlJc w:val="left"/>
      <w:lvlText w:val="%1."/>
      <w:numFmt w:val="decimal"/>
      <w:start w:val="12"/>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¹"/>
      <w:numFmt w:val="bullet"/>
      <w:start w:val="1"/>
    </w:lvl>
  </w:abstractNum>
  <w:abstractNum w:abstractNumId="20">
    <w:nsid w:val="7C3DBD3D"/>
    <w:multiLevelType w:val="hybridMultilevel"/>
    <w:lvl w:ilvl="0">
      <w:lvlJc w:val="left"/>
      <w:lvlText w:val="¹"/>
      <w:numFmt w:val="bullet"/>
      <w:start w:val="1"/>
    </w:lvl>
  </w:abstractNum>
  <w:abstractNum w:abstractNumId="21">
    <w:nsid w:val="737B8DDC"/>
    <w:multiLevelType w:val="hybridMultilevel"/>
    <w:lvl w:ilvl="0">
      <w:lvlJc w:val="left"/>
      <w:lvlText w:val="¹"/>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upperLetter"/>
      <w:start w:val="9"/>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6">
    <w:nsid w:val="614FD4A1"/>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abstractNum>
  <w:abstractNum w:abstractNumId="27">
    <w:nsid w:val="419AC241"/>
    <w:multiLevelType w:val="hybridMultilevel"/>
    <w:lvl w:ilvl="0">
      <w:lvlJc w:val="left"/>
      <w:lvlText w:val="%1."/>
      <w:numFmt w:val="upperLetter"/>
      <w:start w:val="6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4"/>
    </w:lvl>
  </w:abstractNum>
  <w:abstractNum w:abstractNumId="30">
    <w:nsid w:val="5072367"/>
    <w:multiLevelType w:val="hybridMultilevel"/>
    <w:lvl w:ilvl="0">
      <w:lvlJc w:val="left"/>
      <w:lvlText w:val="%1."/>
      <w:numFmt w:val="upperLetter"/>
      <w:start w:val="22"/>
    </w:lvl>
  </w:abstractNum>
  <w:abstractNum w:abstractNumId="31">
    <w:nsid w:val="3804823E"/>
    <w:multiLevelType w:val="hybridMultilevel"/>
    <w:lvl w:ilvl="0">
      <w:lvlJc w:val="left"/>
      <w:lvlText w:val="%1"/>
      <w:numFmt w:val="decimal"/>
      <w:start w:val="41"/>
    </w:lvl>
  </w:abstractNum>
  <w:abstractNum w:abstractNumId="32">
    <w:nsid w:val="77465F01"/>
    <w:multiLevelType w:val="hybridMultilevel"/>
    <w:lvl w:ilvl="0">
      <w:lvlJc w:val="left"/>
      <w:lvlText w:val="%1)"/>
      <w:numFmt w:val="decimal"/>
      <w:start w:val="1"/>
    </w:lvl>
    <w:lvl w:ilvl="1">
      <w:lvlJc w:val="left"/>
      <w:lvlText w:val="%2"/>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1"/>
    </w:lvl>
    <w:lvl w:ilvl="1">
      <w:lvlJc w:val="left"/>
      <w:lvlText w:val="%2."/>
      <w:numFmt w:val="lowerLetter"/>
      <w:start w:val="6"/>
    </w:lvl>
  </w:abstractNum>
  <w:abstractNum w:abstractNumId="35">
    <w:nsid w:val="2463B9EA"/>
    <w:multiLevelType w:val="hybridMultilevel"/>
    <w:lvl w:ilvl="0">
      <w:lvlJc w:val="left"/>
      <w:lvlText w:val="%1)"/>
      <w:numFmt w:val="decimal"/>
      <w:start w:val="5"/>
    </w:lvl>
    <w:lvl w:ilvl="1">
      <w:lvlJc w:val="left"/>
      <w:lvlText w:val="%2."/>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2022-05-07T06:09:55Z</dcterms:created>
  <dcterms:modified xsi:type="dcterms:W3CDTF">2022-05-07T06:09:55Z</dcterms:modified>
</cp:coreProperties>
</file>