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7"/>
          <w:szCs w:val="17"/>
          <w:b w:val="1"/>
          <w:bCs w:val="1"/>
          <w:color w:val="auto"/>
        </w:rPr>
        <w:t>NDER 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ECURITIES</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XCHANGE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CT OF</w:t>
      </w:r>
      <w:r>
        <w:rPr>
          <w:rFonts w:ascii="Times New Roman" w:cs="Times New Roman" w:eastAsia="Times New Roman" w:hAnsi="Times New Roman"/>
          <w:sz w:val="22"/>
          <w:szCs w:val="22"/>
          <w:b w:val="1"/>
          <w:bCs w:val="1"/>
          <w:color w:val="auto"/>
        </w:rPr>
        <w:t xml:space="preserve"> 1934</w:t>
      </w:r>
    </w:p>
    <w:p>
      <w:pPr>
        <w:spacing w:after="0" w:line="18" w:lineRule="exact"/>
        <w:rPr>
          <w:sz w:val="24"/>
          <w:szCs w:val="24"/>
          <w:color w:val="auto"/>
        </w:rPr>
      </w:pPr>
    </w:p>
    <w:p>
      <w:pPr>
        <w:jc w:val="center"/>
        <w:ind w:right="-83"/>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$0.0001 par value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92971A 109</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AFV PARTNERS SPV-5 (WM) LLC</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2126 HAMILTON ROAD, SUITE 260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ARGYLE, TX 76226</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TELEPHONE: 940-226-4511</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June 16, 2021</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4"/>
          <w:szCs w:val="24"/>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4"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632"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8"/>
        </w:trPr>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CUSIP No. 92971A 109</w:t>
            </w: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13D</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3960" w:type="dxa"/>
            <w:vAlign w:val="bottom"/>
            <w:tcBorders>
              <w:bottom w:val="single" w:sz="8" w:color="auto"/>
            </w:tcBorders>
            <w:gridSpan w:val="2"/>
          </w:tcPr>
          <w:p>
            <w:pPr>
              <w:spacing w:after="0"/>
              <w:rPr>
                <w:sz w:val="12"/>
                <w:szCs w:val="12"/>
                <w:color w:val="auto"/>
              </w:rPr>
            </w:pPr>
          </w:p>
        </w:tc>
        <w:tc>
          <w:tcPr>
            <w:tcW w:w="5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50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Tony Aquila</w:t>
            </w:r>
          </w:p>
        </w:tc>
        <w:tc>
          <w:tcPr>
            <w:tcW w:w="3820" w:type="dxa"/>
            <w:vAlign w:val="bottom"/>
            <w:tcBorders>
              <w:bottom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6"/>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38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3960" w:type="dxa"/>
            <w:vAlign w:val="bottom"/>
            <w:tcBorders>
              <w:bottom w:val="single" w:sz="8" w:color="auto"/>
            </w:tcBorders>
            <w:gridSpan w:val="2"/>
          </w:tcPr>
          <w:p>
            <w:pPr>
              <w:spacing w:after="0"/>
              <w:rPr>
                <w:sz w:val="20"/>
                <w:szCs w:val="20"/>
                <w:color w:val="auto"/>
              </w:rPr>
            </w:pPr>
          </w:p>
        </w:tc>
        <w:tc>
          <w:tcPr>
            <w:tcW w:w="5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50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5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3960" w:type="dxa"/>
            <w:vAlign w:val="bottom"/>
            <w:tcBorders>
              <w:bottom w:val="single" w:sz="8" w:color="auto"/>
            </w:tcBorders>
            <w:gridSpan w:val="2"/>
          </w:tcPr>
          <w:p>
            <w:pPr>
              <w:spacing w:after="0"/>
              <w:rPr>
                <w:sz w:val="20"/>
                <w:szCs w:val="20"/>
                <w:color w:val="auto"/>
              </w:rPr>
            </w:pPr>
          </w:p>
        </w:tc>
        <w:tc>
          <w:tcPr>
            <w:tcW w:w="5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50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5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50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5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50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5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5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1,280,280 shares of Common Stock (1)</w:t>
            </w:r>
          </w:p>
        </w:tc>
        <w:tc>
          <w:tcPr>
            <w:tcW w:w="5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5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5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820" w:type="dxa"/>
            <w:vAlign w:val="bottom"/>
            <w:vMerge w:val="continue"/>
          </w:tcPr>
          <w:p>
            <w:pPr>
              <w:spacing w:after="0"/>
              <w:rPr>
                <w:sz w:val="9"/>
                <w:szCs w:val="9"/>
                <w:color w:val="auto"/>
              </w:rPr>
            </w:pPr>
          </w:p>
        </w:tc>
        <w:tc>
          <w:tcPr>
            <w:tcW w:w="5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3,750,000 shares of Common Stock</w:t>
            </w:r>
          </w:p>
        </w:tc>
        <w:tc>
          <w:tcPr>
            <w:tcW w:w="5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vMerge w:val="continue"/>
          </w:tcPr>
          <w:p>
            <w:pPr>
              <w:spacing w:after="0"/>
              <w:rPr>
                <w:sz w:val="10"/>
                <w:szCs w:val="10"/>
                <w:color w:val="auto"/>
              </w:rPr>
            </w:pPr>
          </w:p>
        </w:tc>
        <w:tc>
          <w:tcPr>
            <w:tcW w:w="5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5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5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820" w:type="dxa"/>
            <w:vAlign w:val="bottom"/>
          </w:tcPr>
          <w:p>
            <w:pPr>
              <w:spacing w:after="0"/>
              <w:rPr>
                <w:sz w:val="5"/>
                <w:szCs w:val="5"/>
                <w:color w:val="auto"/>
              </w:rPr>
            </w:pPr>
          </w:p>
        </w:tc>
        <w:tc>
          <w:tcPr>
            <w:tcW w:w="5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1,280,280 shares of Common Stock (1)</w:t>
            </w:r>
          </w:p>
        </w:tc>
        <w:tc>
          <w:tcPr>
            <w:tcW w:w="5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vMerge w:val="continue"/>
          </w:tcPr>
          <w:p>
            <w:pPr>
              <w:spacing w:after="0"/>
              <w:rPr>
                <w:sz w:val="15"/>
                <w:szCs w:val="15"/>
                <w:color w:val="auto"/>
              </w:rPr>
            </w:pPr>
          </w:p>
        </w:tc>
        <w:tc>
          <w:tcPr>
            <w:tcW w:w="5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5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3,750,000 shares of Common Stock</w:t>
            </w:r>
          </w:p>
        </w:tc>
        <w:tc>
          <w:tcPr>
            <w:tcW w:w="5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Amount Beneficially Owned by Each Reporting Person</w:t>
            </w:r>
          </w:p>
        </w:tc>
        <w:tc>
          <w:tcPr>
            <w:tcW w:w="5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50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5,030,280 shares of Common Stock</w:t>
            </w:r>
          </w:p>
        </w:tc>
        <w:tc>
          <w:tcPr>
            <w:tcW w:w="5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50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5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7.1% (2)</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50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5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30,280 shares that represent the number of shares underlying restricted stock units that vest through June 16, 2024.</w:t>
      </w:r>
    </w:p>
    <w:p>
      <w:pPr>
        <w:spacing w:after="0" w:line="27" w:lineRule="exact"/>
        <w:rPr>
          <w:rFonts w:ascii="Times New Roman" w:cs="Times New Roman" w:eastAsia="Times New Roman" w:hAnsi="Times New Roman"/>
          <w:sz w:val="18"/>
          <w:szCs w:val="18"/>
          <w:color w:val="auto"/>
        </w:rPr>
      </w:pPr>
    </w:p>
    <w:p>
      <w:pPr>
        <w:ind w:left="424" w:right="220" w:hanging="424"/>
        <w:spacing w:after="0" w:line="26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set forth above is calculated based on 70,399,067 shares of the Issuer’s Common Stock outstanding as of February 18, 2022 as reported on the Issuer’s Form 10-K filed on February 25, 2022.</w:t>
      </w:r>
    </w:p>
    <w:p>
      <w:pPr>
        <w:spacing w:after="0" w:line="11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4"/>
          </w:cols>
          <w:pgMar w:left="436" w:top="26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 Security and Issuer</w:t>
      </w:r>
    </w:p>
    <w:p>
      <w:pPr>
        <w:spacing w:after="0" w:line="135" w:lineRule="exact"/>
        <w:rPr>
          <w:sz w:val="20"/>
          <w:szCs w:val="20"/>
          <w:color w:val="auto"/>
        </w:rPr>
      </w:pPr>
    </w:p>
    <w:p>
      <w:pPr>
        <w:ind w:left="960" w:right="40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on Schedule 13D (the “Schedule 13D”) relates to the Class A Common Stock, $0.0001 par value per share (“Common Stock”) of WM Technology, Inc., a Delaware corporation (the “Issuer”).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executive offices of the Issuer are located at 41 Discovery, Irvine, CA 92618.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35"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filing this statement is Tony Aquila (“Mr. Aquila” or the “Reporting Person”).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place of business of the Reporting Person is 2126 Hamilton Road, Suite 260, Argyle, TX 76226.</w:t>
      </w:r>
    </w:p>
    <w:p>
      <w:pPr>
        <w:spacing w:after="0" w:line="130" w:lineRule="exact"/>
        <w:rPr>
          <w:rFonts w:ascii="Times New Roman" w:cs="Times New Roman" w:eastAsia="Times New Roman" w:hAnsi="Times New Roman"/>
          <w:sz w:val="18"/>
          <w:szCs w:val="18"/>
          <w:color w:val="auto"/>
        </w:rPr>
      </w:pPr>
    </w:p>
    <w:p>
      <w:pPr>
        <w:ind w:left="960" w:right="260" w:hanging="532"/>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Mr. Aquila is to manage and facilitate investments through AFV Partners LLC, a long-term permanent capital vehicle that invests in mission critical technology, software and data businesses. Additionally, Mr. Aquila is also the Chief Executive Officer of Canoo Inc. and a member of the board of directors of the Issuer (the “Board”).</w:t>
      </w:r>
    </w:p>
    <w:p>
      <w:pPr>
        <w:spacing w:after="0" w:line="81"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the Reporting Person has not been convicted in any criminal proceeding (excluding traffic violations or similar misdemeanors).</w:t>
      </w:r>
    </w:p>
    <w:p>
      <w:pPr>
        <w:spacing w:after="0" w:line="67"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the Reporting Person has not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Aquila is a citizen of the United States.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of Funds</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On June 16, 2021, the Reporting Person acquired 5,000,000 shares of the Issuer’s Common Stock (the “Shares”) at a price of $10.00 per share in a private placement transaction. The Reporting Person funded the acquisition of the Shares with cash funds held for making investments. In addition, Mr. Aquila owns 30,280 shares of the Issuer’s Common Stock that are subject to Restricted Stock Units that vest through June 16,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Reporting Person acquired the aforementioned securities for investment purposes with the aim of increasing the value of their investments and the Issuer. Subject to applicable legal requirements, one or more of the Reporting Person may purchase additional securities of the Issuer from time to time in open market or private transactions, depending on its evaluation of the Issuer’s business, prospects and financial condition, the market for the Issuer’s securities, other developments concerning the Issuer, the reaction of the Issuer to the Reporting Person’ ownership of the Issuer’s securities, other opportunities available to the Reporting Person, and general economic, money market and stock market conditions. In addition, depending upon the factors referred to above, the Reporting Person may dispose of all or a portion of their securities of the Issuer at any time. The Reporting Person reserves the right to increase or decrease its holdings on such terms and at such times as each may decide.</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Mr. Aquila is a member of the Board. In such capacity, he may have influence over the corporate activities of the Issuer, including activities which may relate to items described in subparagraphs (a) through (j) of Item 4 of Schedule 13D.</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Except as described in this Schedule 13D, as of the date hereof, the Reporting Person does not have a present plan or proposal that relates to or would result in any of the actions specified in clauses (a) through (j) of Item 4 of Schedule 13D of the Act. However, the Reporting Person reserves the right to propose or participate in future transactions which may result in one or more of such actions, including but not limited to, an extraordinary corporate transaction, such as a merger, reorganization or liquidation, sale of a material amount of assets of the Issuer or its subsidiaries, or other transactions which might have the effect of causing the Common Stock to become eligible for termination of registration under Section 12(g) of the Securities Exchange Act of 1934 (the “Act”). The Reporting Person also retain the right to change their investment intent at any time, to acquire additional shares of Common Stock or other securities of the Issuer from time to time, or to sell or otherwise dispose of all or part of the Common Stock beneficially owned by them (or any shares of Common Stock into which such securities are converted) in any manner permitted by law. The Reporting Person may engage from time to time in ordinary course transactions with financial institutions with respect to the securities described herein.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 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(b) The reported securities are directly held by accounts and trusts managed or controlled by the Reporting Person as follows: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Sole</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Sole</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Holder</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Held</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Dispositive</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Dispositive</w:t>
            </w:r>
          </w:p>
        </w:tc>
        <w:tc>
          <w:tcPr>
            <w:tcW w:w="9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460" w:type="dxa"/>
            <w:vAlign w:val="bottom"/>
            <w:gridSpan w:val="2"/>
            <w:vMerge w:val="continue"/>
          </w:tcPr>
          <w:p>
            <w:pPr>
              <w:spacing w:after="0"/>
              <w:rPr>
                <w:sz w:val="13"/>
                <w:szCs w:val="13"/>
                <w:color w:val="auto"/>
              </w:rPr>
            </w:pPr>
          </w:p>
        </w:tc>
        <w:tc>
          <w:tcPr>
            <w:tcW w:w="94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Directly (1)</w:t>
            </w:r>
          </w:p>
        </w:tc>
        <w:tc>
          <w:tcPr>
            <w:tcW w:w="94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94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Power</w:t>
            </w:r>
          </w:p>
        </w:tc>
        <w:tc>
          <w:tcPr>
            <w:tcW w:w="96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Power</w:t>
            </w:r>
          </w:p>
        </w:tc>
        <w:tc>
          <w:tcPr>
            <w:tcW w:w="9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Power</w:t>
            </w:r>
          </w:p>
        </w:tc>
        <w:tc>
          <w:tcPr>
            <w:tcW w:w="9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9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of Class (5)</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AFV Partners SPV-5 (WM) LLC</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2,500,000</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AFV Partners SPV-6 (WM) LLC</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1,100,000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1,100,000</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1,100,000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AFV Management Advisors LLC (2)</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3,600,000</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3,600,000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AFV Partners LLC (3)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3,600,000</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3,600,000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8"/>
        </w:trPr>
        <w:tc>
          <w:tcPr>
            <w:tcW w:w="4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Aquila 2007 Irrevocable Trust U/A FBO Elliott Aquila</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DTD 05/10/2007 (3)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198"/>
        </w:trPr>
        <w:tc>
          <w:tcPr>
            <w:tcW w:w="4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Aquila 2007 Irrevocable Trust U/A FBO Cecily Aquila</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DTD 05/10/2007 (3)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198"/>
        </w:trPr>
        <w:tc>
          <w:tcPr>
            <w:tcW w:w="4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Aquila 2007 Irrevocable Trust U/A FBO Christopher</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Aquila DTD 05/10/2007 (3)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Aquila (4)</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1,280,280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1,280,280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3,750,000</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1,280,280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3,750,000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5,030,280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4" w:right="480" w:hanging="424"/>
        <w:spacing w:after="0" w:line="261"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Common Stock currently owned or underlying all securities convertible, exchangeable or exercisable for shares of Common Stock held by the Reporting Person.</w:t>
      </w: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AFV exercises ultimate voting and investment power with respect to the shares held by AFV-5 and AFV-6.</w:t>
      </w:r>
    </w:p>
    <w:p>
      <w:pPr>
        <w:spacing w:after="0" w:line="9" w:lineRule="exact"/>
        <w:rPr>
          <w:rFonts w:ascii="Times New Roman" w:cs="Times New Roman" w:eastAsia="Times New Roman" w:hAnsi="Times New Roman"/>
          <w:sz w:val="18"/>
          <w:szCs w:val="18"/>
          <w:color w:val="auto"/>
        </w:rPr>
      </w:pPr>
    </w:p>
    <w:p>
      <w:pPr>
        <w:ind w:left="424" w:right="60" w:hanging="424"/>
        <w:spacing w:after="0" w:line="265" w:lineRule="auto"/>
        <w:tabs>
          <w:tab w:leader="none" w:pos="4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Aquila is (i) the managing member of AFV and as such may be deemed to hold voting and dispositive power with respect to the shares held indirectly by AFV and AFV Partners, and held of record by AFV-5 and AFV-6, and (ii) a co-trustee of the Elliot Trust, Cecily Trust and Christopher Trust and as such may be deemed to hold voting and dispositive power with respect to the shares held in the aggregate by such Trusts.</w:t>
      </w:r>
    </w:p>
    <w:p>
      <w:pPr>
        <w:ind w:left="424" w:right="2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30,280 shares of Common Stock underlying restricted stock units (“RSUs”). Each RSU represents the contingent right to receive one share of the Issuer’s Common Stock. One-third of the shares underlying the RSUs shall vest on the first, second and third anniversaries of June 16, 2021, subject to the Reporting Person remaining in Continuous Service (as defined in the Issuer’s 2021 Equity Incentive Plan) through such vesting date.</w:t>
      </w:r>
    </w:p>
    <w:p>
      <w:pPr>
        <w:spacing w:after="0" w:line="1" w:lineRule="exact"/>
        <w:rPr>
          <w:rFonts w:ascii="Times New Roman" w:cs="Times New Roman" w:eastAsia="Times New Roman" w:hAnsi="Times New Roman"/>
          <w:sz w:val="18"/>
          <w:szCs w:val="18"/>
          <w:color w:val="auto"/>
        </w:rPr>
      </w:pPr>
    </w:p>
    <w:p>
      <w:pPr>
        <w:ind w:left="424" w:right="440" w:hanging="424"/>
        <w:spacing w:after="0" w:line="26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set forth above calculated based on 70,399,067 shares of the Issuer’s Common Stock outstanding as of February 18, 2022 as reported on the Issuer’s Form 10-K filed on February 25, 2022.</w:t>
      </w:r>
    </w:p>
    <w:p>
      <w:pPr>
        <w:spacing w:after="0" w:line="87"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not engaged in any transactions in the Issuer’s Common Stock in the past sixty days.</w:t>
      </w:r>
    </w:p>
    <w:p>
      <w:pPr>
        <w:spacing w:after="0" w:line="130"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this Schedule 13D, to the knowledge of the Reporting Person, only the Reporting Person has the right to receive or the power to direct the receipt of dividends from, or proceeds from the sale of, the Common Stock of the Issuer reported hereby.</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addition to the arrangements described below, the information furnished in Item 3 is incorporated into this Item 6 by reference.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121" w:lineRule="exact"/>
        <w:rPr>
          <w:sz w:val="20"/>
          <w:szCs w:val="20"/>
          <w:color w:val="auto"/>
        </w:rPr>
      </w:pPr>
    </w:p>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t>On June 16, 2021, the Reporting Person acquired the reported securities pursuant to a subscription agreement between the Reporting Person and Silver Spike Acquisition Corp., dated December 10, 2020 (the “Subscription Agreement”). The Subscription Agreement contains customary representations and warranties of the Issuer and the Reporting Person and further provides the Reporting Person with customary registration rights.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6" w:right="439" w:bottom="1440" w:gutter="0" w:footer="0" w:header="0"/>
        </w:sectPr>
      </w:pPr>
    </w:p>
    <w:bookmarkStart w:id="4" w:name="page5"/>
    <w:bookmarkEnd w:id="4"/>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description of the Subscription Agreement does not purport to be complete, and is qualified in its entirety by reference to the text of such agreement. The form of subscription agreement is attached hereto as an exhibit and incorporated by reference herein.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56" w:lineRule="exact"/>
        <w:rPr>
          <w:sz w:val="20"/>
          <w:szCs w:val="20"/>
          <w:color w:val="auto"/>
        </w:rPr>
      </w:pPr>
    </w:p>
    <w:p>
      <w:pPr>
        <w:ind w:left="544" w:right="680" w:hanging="544"/>
        <w:spacing w:after="0" w:line="282" w:lineRule="auto"/>
        <w:tabs>
          <w:tab w:leader="none" w:pos="5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Subscription Agreement, dated as of December 10, 2020, by and between Silver Spike Acquisition Corp. and the undersigned subscriber party thereto (incorporated by reference to Exhibit 10.1 to the Issuer’s Form 8-K filed on December 10, 2020).</w:t>
      </w:r>
    </w:p>
    <w:p>
      <w:pPr>
        <w:spacing w:after="0" w:line="5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w:t>
      </w:r>
    </w:p>
    <w:p>
      <w:pPr>
        <w:spacing w:after="0" w:line="15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4"/>
          </w:cols>
          <w:pgMar w:left="436" w:top="270" w:right="539" w:bottom="1440" w:gutter="0" w:footer="0" w:header="0"/>
        </w:sectPr>
      </w:pP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19,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Tony Aquila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Tony Aquila</w:t>
      </w:r>
    </w:p>
    <w:p>
      <w:pPr>
        <w:spacing w:after="0" w:line="2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i w:val="1"/>
          <w:iCs w:val="1"/>
          <w:color w:val="auto"/>
        </w:rPr>
        <w:t>[Schedule 13D - Signature Page]</w:t>
      </w:r>
    </w:p>
    <w:p>
      <w:pPr>
        <w:sectPr>
          <w:pgSz w:w="11900" w:h="16838" w:orient="portrait"/>
          <w:cols w:equalWidth="0" w:num="1">
            <w:col w:w="10460"/>
          </w:cols>
          <w:pgMar w:left="440" w:top="266" w:right="9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April 19, 2022</w:t>
      </w:r>
    </w:p>
    <w:p>
      <w:pPr>
        <w:spacing w:after="0" w:line="225" w:lineRule="exact"/>
        <w:rPr>
          <w:sz w:val="20"/>
          <w:szCs w:val="20"/>
          <w:color w:val="auto"/>
        </w:rPr>
      </w:pPr>
    </w:p>
    <w:p>
      <w:pPr>
        <w:ind w:left="4" w:right="840"/>
        <w:spacing w:after="0" w:line="26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Robert Goedert, Kevin Frank, Ana Sempertegui and Monica Norzagaray of Kirkland &amp; Ellis LLP, or any of them signing singly, and with full power of substitution, the undersigned’s true and lawful attorney-in-fact to:</w:t>
      </w:r>
    </w:p>
    <w:p>
      <w:pPr>
        <w:spacing w:after="0" w:line="68" w:lineRule="exact"/>
        <w:rPr>
          <w:sz w:val="20"/>
          <w:szCs w:val="20"/>
          <w:color w:val="auto"/>
        </w:rPr>
      </w:pPr>
    </w:p>
    <w:p>
      <w:pPr>
        <w:ind w:left="4" w:right="180" w:hanging="4"/>
        <w:spacing w:after="0" w:line="282" w:lineRule="auto"/>
        <w:tabs>
          <w:tab w:leader="none" w:pos="1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with respect to WM Technology, Inc. (the “Company”), Schedules 13D and 13G and Forms 3, 4, and 5 in accordance with Sections 13 and 16(a) of the Securities Exchange Act of 1934 and the rules thereunder;</w:t>
      </w:r>
    </w:p>
    <w:p>
      <w:pPr>
        <w:spacing w:after="0" w:line="53" w:lineRule="exact"/>
        <w:rPr>
          <w:rFonts w:ascii="Times New Roman" w:cs="Times New Roman" w:eastAsia="Times New Roman" w:hAnsi="Times New Roman"/>
          <w:sz w:val="18"/>
          <w:szCs w:val="18"/>
          <w:color w:val="auto"/>
        </w:rPr>
      </w:pPr>
    </w:p>
    <w:p>
      <w:pPr>
        <w:ind w:left="4" w:right="640" w:hanging="4"/>
        <w:spacing w:after="0" w:line="266" w:lineRule="auto"/>
        <w:tabs>
          <w:tab w:leader="none" w:pos="1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U.S. Securities and Exchange Commission (the “SEC”) and any stock exchange or similar authority; and</w:t>
      </w:r>
    </w:p>
    <w:p>
      <w:pPr>
        <w:spacing w:after="0" w:line="67" w:lineRule="exact"/>
        <w:rPr>
          <w:rFonts w:ascii="Times New Roman" w:cs="Times New Roman" w:eastAsia="Times New Roman" w:hAnsi="Times New Roman"/>
          <w:sz w:val="18"/>
          <w:szCs w:val="18"/>
          <w:color w:val="auto"/>
        </w:rPr>
      </w:pPr>
    </w:p>
    <w:p>
      <w:pPr>
        <w:ind w:left="4" w:right="160" w:hanging="4"/>
        <w:spacing w:after="0" w:line="261" w:lineRule="auto"/>
        <w:tabs>
          <w:tab w:leader="none" w:pos="1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ind w:left="4" w:right="280"/>
        <w:spacing w:after="0" w:line="255"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189"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date first written above.</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Tony Aquila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Tony Aquila</w:t>
      </w: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[Power of Attorney]</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upp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2022-04-19T15:10:27Z</dcterms:created>
  <dcterms:modified xsi:type="dcterms:W3CDTF">2022-04-19T15:10:27Z</dcterms:modified>
</cp:coreProperties>
</file>