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(Amendment No. __)*</w:t>
      </w: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G8136L122**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6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(Page 1 of 12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right="60"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firstLine="656"/>
        <w:spacing w:after="0" w:line="260" w:lineRule="auto"/>
        <w:tabs>
          <w:tab w:leader="none" w:pos="8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Class A Ordinary Shares have no CUSIP number. The CUSIP number for the units which include the Class A Ordinary Shares is G8136L122.</w:t>
      </w:r>
    </w:p>
    <w:p>
      <w:pPr>
        <w:spacing w:after="0" w:line="150" w:lineRule="exact"/>
        <w:rPr>
          <w:sz w:val="24"/>
          <w:szCs w:val="24"/>
          <w:color w:val="auto"/>
        </w:rPr>
      </w:pPr>
    </w:p>
    <w:p>
      <w:pPr>
        <w:ind w:right="34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46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G8136L122</w:t>
            </w: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920" w:type="dxa"/>
            <w:vAlign w:val="bottom"/>
            <w:vMerge w:val="continue"/>
          </w:tcPr>
          <w:p>
            <w:pPr>
              <w:spacing w:after="0"/>
              <w:rPr>
                <w:sz w:val="13"/>
                <w:szCs w:val="13"/>
                <w:color w:val="auto"/>
              </w:rPr>
            </w:pPr>
          </w:p>
        </w:tc>
        <w:tc>
          <w:tcPr>
            <w:tcW w:w="6300" w:type="dxa"/>
            <w:vAlign w:val="bottom"/>
            <w:vMerge w:val="restart"/>
          </w:tcPr>
          <w:p>
            <w:pPr>
              <w:ind w:left="40"/>
              <w:spacing w:after="0"/>
              <w:rPr>
                <w:sz w:val="20"/>
                <w:szCs w:val="20"/>
                <w:color w:val="auto"/>
              </w:rPr>
            </w:pPr>
            <w:r>
              <w:rPr>
                <w:rFonts w:ascii="Arial" w:cs="Arial" w:eastAsia="Arial" w:hAnsi="Arial"/>
                <w:sz w:val="20"/>
                <w:szCs w:val="20"/>
                <w:color w:val="auto"/>
              </w:rPr>
              <w:t>Davidson Kempner Partners</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2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0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920" w:type="dxa"/>
            <w:vAlign w:val="bottom"/>
            <w:vMerge w:val="continue"/>
          </w:tcPr>
          <w:p>
            <w:pPr>
              <w:spacing w:after="0"/>
              <w:rPr>
                <w:sz w:val="11"/>
                <w:szCs w:val="11"/>
                <w:color w:val="auto"/>
              </w:rPr>
            </w:pPr>
          </w:p>
        </w:tc>
        <w:tc>
          <w:tcPr>
            <w:tcW w:w="63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9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0" w:type="dxa"/>
            <w:vAlign w:val="bottom"/>
          </w:tcPr>
          <w:p>
            <w:pPr>
              <w:ind w:left="19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0" w:lineRule="auto"/>
        <w:tabs>
          <w:tab w:leader="none" w:pos="1960" w:val="left"/>
        </w:tabs>
        <w:numPr>
          <w:ilvl w:val="0"/>
          <w:numId w:val="3"/>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New York</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376,800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376,800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376,800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1.51%</w:t>
            </w:r>
          </w:p>
        </w:tc>
        <w:tc>
          <w:tcPr>
            <w:tcW w:w="5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59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G8136L122</w:t>
            </w: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3 of 12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920" w:type="dxa"/>
            <w:vAlign w:val="bottom"/>
            <w:vMerge w:val="continue"/>
          </w:tcPr>
          <w:p>
            <w:pPr>
              <w:spacing w:after="0"/>
              <w:rPr>
                <w:sz w:val="13"/>
                <w:szCs w:val="13"/>
                <w:color w:val="auto"/>
              </w:rPr>
            </w:pPr>
          </w:p>
        </w:tc>
        <w:tc>
          <w:tcPr>
            <w:tcW w:w="6300" w:type="dxa"/>
            <w:vAlign w:val="bottom"/>
            <w:vMerge w:val="restart"/>
          </w:tcPr>
          <w:p>
            <w:pPr>
              <w:ind w:left="40"/>
              <w:spacing w:after="0"/>
              <w:rPr>
                <w:sz w:val="20"/>
                <w:szCs w:val="20"/>
                <w:color w:val="auto"/>
              </w:rPr>
            </w:pPr>
            <w:r>
              <w:rPr>
                <w:rFonts w:ascii="Arial" w:cs="Arial" w:eastAsia="Arial" w:hAnsi="Arial"/>
                <w:sz w:val="20"/>
                <w:szCs w:val="20"/>
                <w:color w:val="auto"/>
              </w:rPr>
              <w:t>Davidson Kempner Institutional Partners, L.P.</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2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0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920" w:type="dxa"/>
            <w:vAlign w:val="bottom"/>
            <w:vMerge w:val="continue"/>
          </w:tcPr>
          <w:p>
            <w:pPr>
              <w:spacing w:after="0"/>
              <w:rPr>
                <w:sz w:val="11"/>
                <w:szCs w:val="11"/>
                <w:color w:val="auto"/>
              </w:rPr>
            </w:pPr>
          </w:p>
        </w:tc>
        <w:tc>
          <w:tcPr>
            <w:tcW w:w="63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9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0" w:type="dxa"/>
            <w:vAlign w:val="bottom"/>
          </w:tcPr>
          <w:p>
            <w:pPr>
              <w:ind w:left="19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0" w:lineRule="auto"/>
        <w:tabs>
          <w:tab w:leader="none" w:pos="1960" w:val="left"/>
        </w:tabs>
        <w:numPr>
          <w:ilvl w:val="0"/>
          <w:numId w:val="4"/>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795,400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795,400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795,400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3.18%</w:t>
            </w:r>
          </w:p>
        </w:tc>
        <w:tc>
          <w:tcPr>
            <w:tcW w:w="5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59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G8136L122</w:t>
            </w: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920" w:type="dxa"/>
            <w:vAlign w:val="bottom"/>
            <w:vMerge w:val="continue"/>
          </w:tcPr>
          <w:p>
            <w:pPr>
              <w:spacing w:after="0"/>
              <w:rPr>
                <w:sz w:val="13"/>
                <w:szCs w:val="13"/>
                <w:color w:val="auto"/>
              </w:rPr>
            </w:pPr>
          </w:p>
        </w:tc>
        <w:tc>
          <w:tcPr>
            <w:tcW w:w="6300" w:type="dxa"/>
            <w:vAlign w:val="bottom"/>
            <w:vMerge w:val="restart"/>
          </w:tcPr>
          <w:p>
            <w:pPr>
              <w:ind w:left="40"/>
              <w:spacing w:after="0"/>
              <w:rPr>
                <w:sz w:val="20"/>
                <w:szCs w:val="20"/>
                <w:color w:val="auto"/>
              </w:rPr>
            </w:pPr>
            <w:r>
              <w:rPr>
                <w:rFonts w:ascii="Arial" w:cs="Arial" w:eastAsia="Arial" w:hAnsi="Arial"/>
                <w:sz w:val="20"/>
                <w:szCs w:val="20"/>
                <w:color w:val="auto"/>
              </w:rPr>
              <w:t>Davidson Kempner International, Ltd.</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2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0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920" w:type="dxa"/>
            <w:vAlign w:val="bottom"/>
            <w:vMerge w:val="continue"/>
          </w:tcPr>
          <w:p>
            <w:pPr>
              <w:spacing w:after="0"/>
              <w:rPr>
                <w:sz w:val="11"/>
                <w:szCs w:val="11"/>
                <w:color w:val="auto"/>
              </w:rPr>
            </w:pPr>
          </w:p>
        </w:tc>
        <w:tc>
          <w:tcPr>
            <w:tcW w:w="63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9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0" w:type="dxa"/>
            <w:vAlign w:val="bottom"/>
          </w:tcPr>
          <w:p>
            <w:pPr>
              <w:ind w:left="19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0" w:lineRule="auto"/>
        <w:tabs>
          <w:tab w:leader="none" w:pos="1960" w:val="left"/>
        </w:tabs>
        <w:numPr>
          <w:ilvl w:val="0"/>
          <w:numId w:val="5"/>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British Virgin Islands</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827,000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827,000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827,000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3.31%</w:t>
            </w:r>
          </w:p>
        </w:tc>
        <w:tc>
          <w:tcPr>
            <w:tcW w:w="5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59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CO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G8136L122</w:t>
            </w: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300" w:type="dxa"/>
            <w:vAlign w:val="bottom"/>
            <w:vMerge w:val="restart"/>
          </w:tcPr>
          <w:p>
            <w:pPr>
              <w:ind w:left="380"/>
              <w:spacing w:after="0"/>
              <w:rPr>
                <w:sz w:val="20"/>
                <w:szCs w:val="20"/>
                <w:color w:val="auto"/>
              </w:rPr>
            </w:pPr>
            <w:r>
              <w:rPr>
                <w:rFonts w:ascii="Arial" w:cs="Arial" w:eastAsia="Arial" w:hAnsi="Arial"/>
                <w:sz w:val="20"/>
                <w:szCs w:val="20"/>
                <w:color w:val="auto"/>
              </w:rPr>
              <w:t>Davidson Kempner Capital Management LP</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0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920" w:type="dxa"/>
            <w:vAlign w:val="bottom"/>
            <w:vMerge w:val="continue"/>
          </w:tcPr>
          <w:p>
            <w:pPr>
              <w:spacing w:after="0"/>
              <w:rPr>
                <w:sz w:val="11"/>
                <w:szCs w:val="11"/>
                <w:color w:val="auto"/>
              </w:rPr>
            </w:pPr>
          </w:p>
        </w:tc>
        <w:tc>
          <w:tcPr>
            <w:tcW w:w="63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9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0" w:type="dxa"/>
            <w:vAlign w:val="bottom"/>
          </w:tcPr>
          <w:p>
            <w:pPr>
              <w:ind w:left="19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4622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22165"/>
                    </a:xfrm>
                    <a:prstGeom prst="rect">
                      <a:avLst/>
                    </a:prstGeom>
                    <a:noFill/>
                  </pic:spPr>
                </pic:pic>
              </a:graphicData>
            </a:graphic>
          </wp:anchor>
        </w:drawing>
      </w:r>
    </w:p>
    <w:p>
      <w:pPr>
        <w:ind w:left="1960" w:hanging="1099"/>
        <w:spacing w:after="0" w:line="180" w:lineRule="auto"/>
        <w:tabs>
          <w:tab w:leader="none" w:pos="1960" w:val="left"/>
        </w:tabs>
        <w:numPr>
          <w:ilvl w:val="0"/>
          <w:numId w:val="6"/>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continue"/>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840" w:type="dxa"/>
            <w:vAlign w:val="bottom"/>
            <w:vMerge w:val="continue"/>
          </w:tcPr>
          <w:p>
            <w:pPr>
              <w:spacing w:after="0"/>
              <w:rPr>
                <w:sz w:val="5"/>
                <w:szCs w:val="5"/>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840" w:type="dxa"/>
            <w:vAlign w:val="bottom"/>
          </w:tcPr>
          <w:p>
            <w:pPr>
              <w:jc w:val="center"/>
              <w:spacing w:after="0" w:line="168" w:lineRule="exact"/>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00"/>
              <w:spacing w:after="0"/>
              <w:rPr>
                <w:sz w:val="20"/>
                <w:szCs w:val="20"/>
                <w:color w:val="auto"/>
              </w:rPr>
            </w:pPr>
            <w:r>
              <w:rPr>
                <w:rFonts w:ascii="Arial" w:cs="Arial" w:eastAsia="Arial" w:hAnsi="Arial"/>
                <w:sz w:val="20"/>
                <w:szCs w:val="20"/>
                <w:color w:val="auto"/>
              </w:rPr>
              <w:t>2,000,000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594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840" w:type="dxa"/>
            <w:vAlign w:val="bottom"/>
            <w:vMerge w:val="continue"/>
          </w:tcPr>
          <w:p>
            <w:pPr>
              <w:spacing w:after="0"/>
              <w:rPr>
                <w:sz w:val="12"/>
                <w:szCs w:val="12"/>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7"/>
                <w:szCs w:val="7"/>
                <w:color w:val="auto"/>
              </w:rPr>
            </w:pPr>
          </w:p>
        </w:tc>
        <w:tc>
          <w:tcPr>
            <w:tcW w:w="594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40" w:type="dxa"/>
            <w:vAlign w:val="bottom"/>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59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840" w:type="dxa"/>
            <w:vAlign w:val="bottom"/>
            <w:vMerge w:val="continue"/>
          </w:tcPr>
          <w:p>
            <w:pPr>
              <w:spacing w:after="0"/>
              <w:rPr>
                <w:sz w:val="13"/>
                <w:szCs w:val="13"/>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84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594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00"/>
              <w:spacing w:after="0"/>
              <w:rPr>
                <w:sz w:val="20"/>
                <w:szCs w:val="20"/>
                <w:color w:val="auto"/>
              </w:rPr>
            </w:pPr>
            <w:r>
              <w:rPr>
                <w:rFonts w:ascii="Arial" w:cs="Arial" w:eastAsia="Arial" w:hAnsi="Arial"/>
                <w:sz w:val="20"/>
                <w:szCs w:val="20"/>
                <w:color w:val="auto"/>
              </w:rPr>
              <w:t>2,000,000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2,000,000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8.00%</w:t>
            </w:r>
          </w:p>
        </w:tc>
        <w:tc>
          <w:tcPr>
            <w:tcW w:w="5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59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G8136L122</w:t>
            </w: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300" w:type="dxa"/>
            <w:vAlign w:val="bottom"/>
            <w:vMerge w:val="restart"/>
          </w:tcPr>
          <w:p>
            <w:pPr>
              <w:ind w:left="380"/>
              <w:spacing w:after="0"/>
              <w:rPr>
                <w:sz w:val="20"/>
                <w:szCs w:val="20"/>
                <w:color w:val="auto"/>
              </w:rPr>
            </w:pPr>
            <w:r>
              <w:rPr>
                <w:rFonts w:ascii="Arial" w:cs="Arial" w:eastAsia="Arial" w:hAnsi="Arial"/>
                <w:sz w:val="20"/>
                <w:szCs w:val="20"/>
                <w:color w:val="auto"/>
              </w:rPr>
              <w:t>Thomas L. Kempner, Jr.</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0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920" w:type="dxa"/>
            <w:vAlign w:val="bottom"/>
            <w:vMerge w:val="continue"/>
          </w:tcPr>
          <w:p>
            <w:pPr>
              <w:spacing w:after="0"/>
              <w:rPr>
                <w:sz w:val="11"/>
                <w:szCs w:val="11"/>
                <w:color w:val="auto"/>
              </w:rPr>
            </w:pPr>
          </w:p>
        </w:tc>
        <w:tc>
          <w:tcPr>
            <w:tcW w:w="63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9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0" w:type="dxa"/>
            <w:vAlign w:val="bottom"/>
          </w:tcPr>
          <w:p>
            <w:pPr>
              <w:ind w:left="19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4622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622165"/>
                    </a:xfrm>
                    <a:prstGeom prst="rect">
                      <a:avLst/>
                    </a:prstGeom>
                    <a:noFill/>
                  </pic:spPr>
                </pic:pic>
              </a:graphicData>
            </a:graphic>
          </wp:anchor>
        </w:drawing>
      </w:r>
    </w:p>
    <w:p>
      <w:pPr>
        <w:ind w:left="1960" w:hanging="1099"/>
        <w:spacing w:after="0" w:line="180" w:lineRule="auto"/>
        <w:tabs>
          <w:tab w:leader="none" w:pos="1960" w:val="left"/>
        </w:tabs>
        <w:numPr>
          <w:ilvl w:val="0"/>
          <w:numId w:val="7"/>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continue"/>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840" w:type="dxa"/>
            <w:vAlign w:val="bottom"/>
            <w:vMerge w:val="continue"/>
          </w:tcPr>
          <w:p>
            <w:pPr>
              <w:spacing w:after="0"/>
              <w:rPr>
                <w:sz w:val="5"/>
                <w:szCs w:val="5"/>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5"/>
                <w:szCs w:val="5"/>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840" w:type="dxa"/>
            <w:vAlign w:val="bottom"/>
          </w:tcPr>
          <w:p>
            <w:pPr>
              <w:jc w:val="center"/>
              <w:spacing w:after="0" w:line="168" w:lineRule="exact"/>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60"/>
              <w:spacing w:after="0"/>
              <w:rPr>
                <w:sz w:val="20"/>
                <w:szCs w:val="20"/>
                <w:color w:val="auto"/>
              </w:rPr>
            </w:pPr>
            <w:r>
              <w:rPr>
                <w:rFonts w:ascii="Arial" w:cs="Arial" w:eastAsia="Arial" w:hAnsi="Arial"/>
                <w:sz w:val="20"/>
                <w:szCs w:val="20"/>
                <w:color w:val="auto"/>
              </w:rPr>
              <w:t>2,000,000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90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840" w:type="dxa"/>
            <w:vAlign w:val="bottom"/>
            <w:vMerge w:val="continue"/>
          </w:tcPr>
          <w:p>
            <w:pPr>
              <w:spacing w:after="0"/>
              <w:rPr>
                <w:sz w:val="12"/>
                <w:szCs w:val="12"/>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12"/>
                <w:szCs w:val="12"/>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40" w:type="dxa"/>
            <w:vAlign w:val="bottom"/>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9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840" w:type="dxa"/>
            <w:vAlign w:val="bottom"/>
            <w:vMerge w:val="continue"/>
          </w:tcPr>
          <w:p>
            <w:pPr>
              <w:spacing w:after="0"/>
              <w:rPr>
                <w:sz w:val="13"/>
                <w:szCs w:val="13"/>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13"/>
                <w:szCs w:val="13"/>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84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60"/>
              <w:spacing w:after="0"/>
              <w:rPr>
                <w:sz w:val="20"/>
                <w:szCs w:val="20"/>
                <w:color w:val="auto"/>
              </w:rPr>
            </w:pPr>
            <w:r>
              <w:rPr>
                <w:rFonts w:ascii="Arial" w:cs="Arial" w:eastAsia="Arial" w:hAnsi="Arial"/>
                <w:sz w:val="20"/>
                <w:szCs w:val="20"/>
                <w:color w:val="auto"/>
              </w:rPr>
              <w:t>2,000,000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2,000,000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8.00%</w:t>
            </w:r>
          </w:p>
        </w:tc>
        <w:tc>
          <w:tcPr>
            <w:tcW w:w="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G8136L122</w:t>
            </w:r>
          </w:p>
        </w:tc>
        <w:tc>
          <w:tcPr>
            <w:tcW w:w="630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7 of 12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300" w:type="dxa"/>
            <w:vAlign w:val="bottom"/>
            <w:vMerge w:val="restart"/>
          </w:tcPr>
          <w:p>
            <w:pPr>
              <w:ind w:left="380"/>
              <w:spacing w:after="0"/>
              <w:rPr>
                <w:sz w:val="20"/>
                <w:szCs w:val="20"/>
                <w:color w:val="auto"/>
              </w:rPr>
            </w:pPr>
            <w:r>
              <w:rPr>
                <w:rFonts w:ascii="Arial" w:cs="Arial" w:eastAsia="Arial" w:hAnsi="Arial"/>
                <w:sz w:val="20"/>
                <w:szCs w:val="20"/>
                <w:color w:val="auto"/>
              </w:rPr>
              <w:t>Anthony A. Yoseloff</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0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1"/>
        </w:trPr>
        <w:tc>
          <w:tcPr>
            <w:tcW w:w="1920" w:type="dxa"/>
            <w:vAlign w:val="bottom"/>
            <w:vMerge w:val="continue"/>
          </w:tcPr>
          <w:p>
            <w:pPr>
              <w:spacing w:after="0"/>
              <w:rPr>
                <w:sz w:val="11"/>
                <w:szCs w:val="11"/>
                <w:color w:val="auto"/>
              </w:rPr>
            </w:pPr>
          </w:p>
        </w:tc>
        <w:tc>
          <w:tcPr>
            <w:tcW w:w="63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9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0" w:type="dxa"/>
            <w:vAlign w:val="bottom"/>
          </w:tcPr>
          <w:p>
            <w:pPr>
              <w:ind w:left="19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4622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622165"/>
                    </a:xfrm>
                    <a:prstGeom prst="rect">
                      <a:avLst/>
                    </a:prstGeom>
                    <a:noFill/>
                  </pic:spPr>
                </pic:pic>
              </a:graphicData>
            </a:graphic>
          </wp:anchor>
        </w:drawing>
      </w:r>
    </w:p>
    <w:p>
      <w:pPr>
        <w:ind w:left="1960" w:hanging="1099"/>
        <w:spacing w:after="0" w:line="180" w:lineRule="auto"/>
        <w:tabs>
          <w:tab w:leader="none" w:pos="1960" w:val="left"/>
        </w:tabs>
        <w:numPr>
          <w:ilvl w:val="0"/>
          <w:numId w:val="8"/>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continue"/>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840" w:type="dxa"/>
            <w:vAlign w:val="bottom"/>
            <w:vMerge w:val="continue"/>
          </w:tcPr>
          <w:p>
            <w:pPr>
              <w:spacing w:after="0"/>
              <w:rPr>
                <w:sz w:val="5"/>
                <w:szCs w:val="5"/>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5"/>
                <w:szCs w:val="5"/>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840" w:type="dxa"/>
            <w:vAlign w:val="bottom"/>
          </w:tcPr>
          <w:p>
            <w:pPr>
              <w:jc w:val="center"/>
              <w:spacing w:after="0" w:line="168" w:lineRule="exact"/>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60"/>
              <w:spacing w:after="0"/>
              <w:rPr>
                <w:sz w:val="20"/>
                <w:szCs w:val="20"/>
                <w:color w:val="auto"/>
              </w:rPr>
            </w:pPr>
            <w:r>
              <w:rPr>
                <w:rFonts w:ascii="Arial" w:cs="Arial" w:eastAsia="Arial" w:hAnsi="Arial"/>
                <w:sz w:val="20"/>
                <w:szCs w:val="20"/>
                <w:color w:val="auto"/>
              </w:rPr>
              <w:t>2,000,000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90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840" w:type="dxa"/>
            <w:vAlign w:val="bottom"/>
            <w:vMerge w:val="continue"/>
          </w:tcPr>
          <w:p>
            <w:pPr>
              <w:spacing w:after="0"/>
              <w:rPr>
                <w:sz w:val="12"/>
                <w:szCs w:val="12"/>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12"/>
                <w:szCs w:val="12"/>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40" w:type="dxa"/>
            <w:vAlign w:val="bottom"/>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9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840" w:type="dxa"/>
            <w:vAlign w:val="bottom"/>
            <w:vMerge w:val="continue"/>
          </w:tcPr>
          <w:p>
            <w:pPr>
              <w:spacing w:after="0"/>
              <w:rPr>
                <w:sz w:val="13"/>
                <w:szCs w:val="13"/>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13"/>
                <w:szCs w:val="13"/>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84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60"/>
              <w:spacing w:after="0"/>
              <w:rPr>
                <w:sz w:val="20"/>
                <w:szCs w:val="20"/>
                <w:color w:val="auto"/>
              </w:rPr>
            </w:pPr>
            <w:r>
              <w:rPr>
                <w:rFonts w:ascii="Arial" w:cs="Arial" w:eastAsia="Arial" w:hAnsi="Arial"/>
                <w:sz w:val="20"/>
                <w:szCs w:val="20"/>
                <w:color w:val="auto"/>
              </w:rPr>
              <w:t>2,000,000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2,000,000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8.00%</w:t>
            </w:r>
          </w:p>
        </w:tc>
        <w:tc>
          <w:tcPr>
            <w:tcW w:w="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G8136L122</w:t>
            </w:r>
          </w:p>
        </w:tc>
        <w:tc>
          <w:tcPr>
            <w:tcW w:w="3140" w:type="dxa"/>
            <w:vAlign w:val="bottom"/>
          </w:tcPr>
          <w:p>
            <w:pPr>
              <w:ind w:left="60"/>
              <w:spacing w:after="0"/>
              <w:rPr>
                <w:sz w:val="20"/>
                <w:szCs w:val="20"/>
                <w:color w:val="auto"/>
              </w:rPr>
            </w:pPr>
            <w:r>
              <w:rPr>
                <w:rFonts w:ascii="Arial" w:cs="Arial" w:eastAsia="Arial" w:hAnsi="Arial"/>
                <w:sz w:val="18"/>
                <w:szCs w:val="18"/>
                <w:b w:val="1"/>
                <w:bCs w:val="1"/>
                <w:color w:val="auto"/>
              </w:rPr>
              <w:t>13G</w:t>
            </w:r>
          </w:p>
        </w:tc>
        <w:tc>
          <w:tcPr>
            <w:tcW w:w="2780" w:type="dxa"/>
            <w:vAlign w:val="bottom"/>
          </w:tcPr>
          <w:p>
            <w:pPr>
              <w:ind w:left="1380"/>
              <w:spacing w:after="0"/>
              <w:rPr>
                <w:sz w:val="20"/>
                <w:szCs w:val="20"/>
                <w:color w:val="auto"/>
              </w:rPr>
            </w:pPr>
            <w:r>
              <w:rPr>
                <w:rFonts w:ascii="Arial" w:cs="Arial" w:eastAsia="Arial" w:hAnsi="Arial"/>
                <w:sz w:val="18"/>
                <w:szCs w:val="18"/>
                <w:b w:val="1"/>
                <w:bCs w:val="1"/>
                <w:color w:val="auto"/>
                <w:w w:val="84"/>
              </w:rPr>
              <w:t>Page 8 of 12 Pages</w:t>
            </w:r>
          </w:p>
        </w:tc>
      </w:tr>
      <w:tr>
        <w:trPr>
          <w:trHeight w:val="567"/>
        </w:trPr>
        <w:tc>
          <w:tcPr>
            <w:tcW w:w="1400" w:type="dxa"/>
            <w:vAlign w:val="bottom"/>
          </w:tcPr>
          <w:p>
            <w:pPr>
              <w:ind w:left="120"/>
              <w:spacing w:after="0"/>
              <w:rPr>
                <w:sz w:val="20"/>
                <w:szCs w:val="20"/>
                <w:color w:val="auto"/>
              </w:rPr>
            </w:pPr>
            <w:r>
              <w:rPr>
                <w:rFonts w:ascii="Arial" w:cs="Arial" w:eastAsia="Arial" w:hAnsi="Arial"/>
                <w:sz w:val="20"/>
                <w:szCs w:val="20"/>
                <w:b w:val="1"/>
                <w:bCs w:val="1"/>
                <w:color w:val="auto"/>
              </w:rPr>
              <w:t>Item 1 (a).</w:t>
            </w:r>
          </w:p>
        </w:tc>
        <w:tc>
          <w:tcPr>
            <w:tcW w:w="4100" w:type="dxa"/>
            <w:vAlign w:val="bottom"/>
            <w:gridSpan w:val="3"/>
          </w:tcPr>
          <w:p>
            <w:pPr>
              <w:ind w:left="420"/>
              <w:spacing w:after="0"/>
              <w:rPr>
                <w:sz w:val="20"/>
                <w:szCs w:val="20"/>
                <w:color w:val="auto"/>
              </w:rPr>
            </w:pPr>
            <w:r>
              <w:rPr>
                <w:rFonts w:ascii="Arial" w:cs="Arial" w:eastAsia="Arial" w:hAnsi="Arial"/>
                <w:sz w:val="20"/>
                <w:szCs w:val="20"/>
                <w:b w:val="1"/>
                <w:bCs w:val="1"/>
                <w:color w:val="auto"/>
              </w:rPr>
              <w:t>NAME OF ISSUER</w:t>
            </w:r>
          </w:p>
        </w:tc>
        <w:tc>
          <w:tcPr>
            <w:tcW w:w="31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15"/>
        </w:trPr>
        <w:tc>
          <w:tcPr>
            <w:tcW w:w="1400" w:type="dxa"/>
            <w:vAlign w:val="bottom"/>
          </w:tcPr>
          <w:p>
            <w:pPr>
              <w:spacing w:after="0"/>
              <w:rPr>
                <w:sz w:val="24"/>
                <w:szCs w:val="24"/>
                <w:color w:val="auto"/>
              </w:rPr>
            </w:pPr>
          </w:p>
        </w:tc>
        <w:tc>
          <w:tcPr>
            <w:tcW w:w="4100" w:type="dxa"/>
            <w:vAlign w:val="bottom"/>
            <w:gridSpan w:val="3"/>
          </w:tcPr>
          <w:p>
            <w:pPr>
              <w:ind w:left="420"/>
              <w:spacing w:after="0"/>
              <w:rPr>
                <w:sz w:val="20"/>
                <w:szCs w:val="20"/>
                <w:color w:val="auto"/>
              </w:rPr>
            </w:pPr>
            <w:r>
              <w:rPr>
                <w:rFonts w:ascii="Arial" w:cs="Arial" w:eastAsia="Arial" w:hAnsi="Arial"/>
                <w:sz w:val="20"/>
                <w:szCs w:val="20"/>
                <w:color w:val="auto"/>
                <w:w w:val="94"/>
              </w:rPr>
              <w:t>Silver Spike Acquisition Corp. (the "Issuer").</w:t>
            </w:r>
          </w:p>
        </w:tc>
        <w:tc>
          <w:tcPr>
            <w:tcW w:w="31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84"/>
        </w:trPr>
        <w:tc>
          <w:tcPr>
            <w:tcW w:w="1400" w:type="dxa"/>
            <w:vAlign w:val="bottom"/>
          </w:tcPr>
          <w:p>
            <w:pPr>
              <w:ind w:left="120"/>
              <w:spacing w:after="0"/>
              <w:rPr>
                <w:sz w:val="20"/>
                <w:szCs w:val="20"/>
                <w:color w:val="auto"/>
              </w:rPr>
            </w:pPr>
            <w:r>
              <w:rPr>
                <w:rFonts w:ascii="Arial" w:cs="Arial" w:eastAsia="Arial" w:hAnsi="Arial"/>
                <w:sz w:val="20"/>
                <w:szCs w:val="20"/>
                <w:b w:val="1"/>
                <w:bCs w:val="1"/>
                <w:color w:val="auto"/>
              </w:rPr>
              <w:t>Item 1(b).</w:t>
            </w:r>
          </w:p>
        </w:tc>
        <w:tc>
          <w:tcPr>
            <w:tcW w:w="7240" w:type="dxa"/>
            <w:vAlign w:val="bottom"/>
            <w:gridSpan w:val="4"/>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2780" w:type="dxa"/>
            <w:vAlign w:val="bottom"/>
          </w:tcPr>
          <w:p>
            <w:pPr>
              <w:spacing w:after="0"/>
              <w:rPr>
                <w:sz w:val="24"/>
                <w:szCs w:val="24"/>
                <w:color w:val="auto"/>
              </w:rPr>
            </w:pPr>
          </w:p>
        </w:tc>
      </w:tr>
      <w:tr>
        <w:trPr>
          <w:trHeight w:val="459"/>
        </w:trPr>
        <w:tc>
          <w:tcPr>
            <w:tcW w:w="1400" w:type="dxa"/>
            <w:vAlign w:val="bottom"/>
          </w:tcPr>
          <w:p>
            <w:pPr>
              <w:spacing w:after="0"/>
              <w:rPr>
                <w:sz w:val="24"/>
                <w:szCs w:val="24"/>
                <w:color w:val="auto"/>
              </w:rPr>
            </w:pPr>
          </w:p>
        </w:tc>
        <w:tc>
          <w:tcPr>
            <w:tcW w:w="7240" w:type="dxa"/>
            <w:vAlign w:val="bottom"/>
            <w:gridSpan w:val="4"/>
          </w:tcPr>
          <w:p>
            <w:pPr>
              <w:ind w:left="420"/>
              <w:spacing w:after="0"/>
              <w:rPr>
                <w:sz w:val="20"/>
                <w:szCs w:val="20"/>
                <w:color w:val="auto"/>
              </w:rPr>
            </w:pPr>
            <w:r>
              <w:rPr>
                <w:rFonts w:ascii="Arial" w:cs="Arial" w:eastAsia="Arial" w:hAnsi="Arial"/>
                <w:sz w:val="20"/>
                <w:szCs w:val="20"/>
                <w:color w:val="auto"/>
              </w:rPr>
              <w:t>1114 6th Ave, 41st Floor, New York, New York, 10036.</w:t>
            </w:r>
          </w:p>
        </w:tc>
        <w:tc>
          <w:tcPr>
            <w:tcW w:w="2780" w:type="dxa"/>
            <w:vAlign w:val="bottom"/>
          </w:tcPr>
          <w:p>
            <w:pPr>
              <w:spacing w:after="0"/>
              <w:rPr>
                <w:sz w:val="24"/>
                <w:szCs w:val="24"/>
                <w:color w:val="auto"/>
              </w:rPr>
            </w:pPr>
          </w:p>
        </w:tc>
      </w:tr>
      <w:tr>
        <w:trPr>
          <w:trHeight w:val="459"/>
        </w:trPr>
        <w:tc>
          <w:tcPr>
            <w:tcW w:w="1400" w:type="dxa"/>
            <w:vAlign w:val="bottom"/>
          </w:tcPr>
          <w:p>
            <w:pPr>
              <w:ind w:left="120"/>
              <w:spacing w:after="0"/>
              <w:rPr>
                <w:sz w:val="20"/>
                <w:szCs w:val="20"/>
                <w:color w:val="auto"/>
              </w:rPr>
            </w:pPr>
            <w:r>
              <w:rPr>
                <w:rFonts w:ascii="Arial" w:cs="Arial" w:eastAsia="Arial" w:hAnsi="Arial"/>
                <w:sz w:val="20"/>
                <w:szCs w:val="20"/>
                <w:b w:val="1"/>
                <w:bCs w:val="1"/>
                <w:color w:val="auto"/>
              </w:rPr>
              <w:t>Item 2(a).</w:t>
            </w:r>
          </w:p>
        </w:tc>
        <w:tc>
          <w:tcPr>
            <w:tcW w:w="4100" w:type="dxa"/>
            <w:vAlign w:val="bottom"/>
            <w:gridSpan w:val="3"/>
          </w:tcPr>
          <w:p>
            <w:pPr>
              <w:ind w:left="420"/>
              <w:spacing w:after="0"/>
              <w:rPr>
                <w:sz w:val="20"/>
                <w:szCs w:val="20"/>
                <w:color w:val="auto"/>
              </w:rPr>
            </w:pPr>
            <w:r>
              <w:rPr>
                <w:rFonts w:ascii="Arial" w:cs="Arial" w:eastAsia="Arial" w:hAnsi="Arial"/>
                <w:sz w:val="20"/>
                <w:szCs w:val="20"/>
                <w:b w:val="1"/>
                <w:bCs w:val="1"/>
                <w:color w:val="auto"/>
              </w:rPr>
              <w:t>NAME OF PERSON FILING</w:t>
            </w:r>
          </w:p>
        </w:tc>
        <w:tc>
          <w:tcPr>
            <w:tcW w:w="314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9" w:lineRule="exact"/>
        <w:rPr>
          <w:sz w:val="20"/>
          <w:szCs w:val="20"/>
          <w:color w:val="auto"/>
        </w:rPr>
      </w:pPr>
    </w:p>
    <w:p>
      <w:pPr>
        <w:ind w:left="1820" w:right="360"/>
        <w:spacing w:after="0" w:line="260" w:lineRule="auto"/>
        <w:rPr>
          <w:sz w:val="20"/>
          <w:szCs w:val="20"/>
          <w:color w:val="auto"/>
        </w:rPr>
      </w:pPr>
      <w:r>
        <w:rPr>
          <w:rFonts w:ascii="Arial" w:cs="Arial" w:eastAsia="Arial" w:hAnsi="Arial"/>
          <w:sz w:val="20"/>
          <w:szCs w:val="20"/>
          <w:color w:val="auto"/>
        </w:rPr>
        <w:t>This Statement is filed by each of the entities and persons listed below, all of whom together are referred to herein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w:t>
      </w:r>
    </w:p>
    <w:p>
      <w:pPr>
        <w:spacing w:after="0" w:line="190" w:lineRule="exact"/>
        <w:rPr>
          <w:sz w:val="20"/>
          <w:szCs w:val="20"/>
          <w:color w:val="auto"/>
        </w:rPr>
      </w:pPr>
    </w:p>
    <w:p>
      <w:pPr>
        <w:ind w:left="2620" w:right="180" w:hanging="793"/>
        <w:spacing w:after="0" w:line="246" w:lineRule="auto"/>
        <w:tabs>
          <w:tab w:leader="none" w:pos="2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Davidson Kempner Partners, a New York limited partnership ("</w:t>
      </w:r>
      <w:r>
        <w:rPr>
          <w:rFonts w:ascii="Arial" w:cs="Arial" w:eastAsia="Arial" w:hAnsi="Arial"/>
          <w:sz w:val="20"/>
          <w:szCs w:val="20"/>
          <w:u w:val="single" w:color="auto"/>
          <w:color w:val="auto"/>
        </w:rPr>
        <w:t>DKP</w:t>
      </w:r>
      <w:r>
        <w:rPr>
          <w:rFonts w:ascii="Arial" w:cs="Arial" w:eastAsia="Arial" w:hAnsi="Arial"/>
          <w:sz w:val="20"/>
          <w:szCs w:val="20"/>
          <w:color w:val="auto"/>
        </w:rPr>
        <w:t>"). MHD Management Co., a New York limited partnership ("</w:t>
      </w:r>
      <w:r>
        <w:rPr>
          <w:rFonts w:ascii="Arial" w:cs="Arial" w:eastAsia="Arial" w:hAnsi="Arial"/>
          <w:sz w:val="20"/>
          <w:szCs w:val="20"/>
          <w:u w:val="single" w:color="auto"/>
          <w:color w:val="auto"/>
        </w:rPr>
        <w:t>MHD</w:t>
      </w:r>
      <w:r>
        <w:rPr>
          <w:rFonts w:ascii="Arial" w:cs="Arial" w:eastAsia="Arial" w:hAnsi="Arial"/>
          <w:sz w:val="20"/>
          <w:szCs w:val="20"/>
          <w:color w:val="auto"/>
        </w:rPr>
        <w:t>"), is the general partner of DKP and MHD Management Co. GP, L.L.C., a Delaware limited liability company, is the general partner of MHD. DKCM is responsible for the voting and investment decisions of DKP;</w:t>
      </w:r>
    </w:p>
    <w:p>
      <w:pPr>
        <w:spacing w:after="0" w:line="205" w:lineRule="exact"/>
        <w:rPr>
          <w:rFonts w:ascii="Arial" w:cs="Arial" w:eastAsia="Arial" w:hAnsi="Arial"/>
          <w:sz w:val="20"/>
          <w:szCs w:val="20"/>
          <w:color w:val="auto"/>
        </w:rPr>
      </w:pPr>
    </w:p>
    <w:p>
      <w:pPr>
        <w:ind w:left="2620" w:right="140" w:hanging="793"/>
        <w:spacing w:after="0" w:line="250" w:lineRule="auto"/>
        <w:tabs>
          <w:tab w:leader="none" w:pos="2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Davidson Kempner Institutional Partners, L.P., a Delaware limited partnership ("</w:t>
      </w:r>
      <w:r>
        <w:rPr>
          <w:rFonts w:ascii="Arial" w:cs="Arial" w:eastAsia="Arial" w:hAnsi="Arial"/>
          <w:sz w:val="20"/>
          <w:szCs w:val="20"/>
          <w:u w:val="single" w:color="auto"/>
          <w:color w:val="auto"/>
        </w:rPr>
        <w:t>DKIP</w:t>
      </w:r>
      <w:r>
        <w:rPr>
          <w:rFonts w:ascii="Arial" w:cs="Arial" w:eastAsia="Arial" w:hAnsi="Arial"/>
          <w:sz w:val="20"/>
          <w:szCs w:val="20"/>
          <w:color w:val="auto"/>
        </w:rPr>
        <w:t>"). Davidson Kempner Advisers Inc., a New York corporation, is the general partner of DKIP. DKCM is responsible for the voting and investment decisions of DKIP;</w:t>
      </w:r>
    </w:p>
    <w:p>
      <w:pPr>
        <w:spacing w:after="0" w:line="199" w:lineRule="exact"/>
        <w:rPr>
          <w:rFonts w:ascii="Arial" w:cs="Arial" w:eastAsia="Arial" w:hAnsi="Arial"/>
          <w:sz w:val="20"/>
          <w:szCs w:val="20"/>
          <w:color w:val="auto"/>
        </w:rPr>
      </w:pPr>
    </w:p>
    <w:p>
      <w:pPr>
        <w:ind w:left="2620" w:right="300" w:hanging="793"/>
        <w:spacing w:after="0" w:line="287" w:lineRule="auto"/>
        <w:tabs>
          <w:tab w:leader="none" w:pos="2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Davidson Kempner International, Ltd., a British Virgin Islands business company ("</w:t>
      </w:r>
      <w:r>
        <w:rPr>
          <w:rFonts w:ascii="Arial" w:cs="Arial" w:eastAsia="Arial" w:hAnsi="Arial"/>
          <w:sz w:val="19"/>
          <w:szCs w:val="19"/>
          <w:u w:val="single" w:color="auto"/>
          <w:color w:val="auto"/>
        </w:rPr>
        <w:t>DKIL</w:t>
      </w:r>
      <w:r>
        <w:rPr>
          <w:rFonts w:ascii="Arial" w:cs="Arial" w:eastAsia="Arial" w:hAnsi="Arial"/>
          <w:sz w:val="19"/>
          <w:szCs w:val="19"/>
          <w:color w:val="auto"/>
        </w:rPr>
        <w:t>"). DKCM is the investment manager of DKIL and is responsible for the voting and investment decisions of DKIL;</w:t>
      </w:r>
    </w:p>
    <w:p>
      <w:pPr>
        <w:spacing w:after="0" w:line="166" w:lineRule="exact"/>
        <w:rPr>
          <w:rFonts w:ascii="Arial" w:cs="Arial" w:eastAsia="Arial" w:hAnsi="Arial"/>
          <w:sz w:val="19"/>
          <w:szCs w:val="19"/>
          <w:color w:val="auto"/>
        </w:rPr>
      </w:pPr>
    </w:p>
    <w:p>
      <w:pPr>
        <w:ind w:left="2620" w:right="120" w:hanging="793"/>
        <w:spacing w:after="0" w:line="276" w:lineRule="auto"/>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Davidson Kempner Capital Management LP, a Delaware limited partnership and a registered investment adviser with the U.S. Securities and Exchange Commission, acts as investment manager to each of DKP, DKIP and DKIL ("</w:t>
      </w:r>
      <w:r>
        <w:rPr>
          <w:rFonts w:ascii="Arial" w:cs="Arial" w:eastAsia="Arial" w:hAnsi="Arial"/>
          <w:sz w:val="18"/>
          <w:szCs w:val="18"/>
          <w:u w:val="single" w:color="auto"/>
          <w:color w:val="auto"/>
        </w:rPr>
        <w:t>DKCM</w:t>
      </w:r>
      <w:r>
        <w:rPr>
          <w:rFonts w:ascii="Arial" w:cs="Arial" w:eastAsia="Arial" w:hAnsi="Arial"/>
          <w:sz w:val="18"/>
          <w:szCs w:val="18"/>
          <w:color w:val="auto"/>
        </w:rPr>
        <w:t>"). DKCM GP LLC, a Delaware limited liability company, is the general partner of DKCM. The managing members of DKCM are Thomas L. Kempner, Jr., Anthony A. Yoseloff, Eric P. Epstein, Avram Z. Friedman, Conor Bastable, Shulamit Leviant, Morgan P. Blackwell, Patrick W. Dennis, Gabriel T. Schwartz, Zachary Z. Altschuler, James A. Michaelson and Joshua D. Morris; and</w:t>
      </w:r>
    </w:p>
    <w:p>
      <w:pPr>
        <w:spacing w:after="0" w:line="178" w:lineRule="exact"/>
        <w:rPr>
          <w:rFonts w:ascii="Arial" w:cs="Arial" w:eastAsia="Arial" w:hAnsi="Arial"/>
          <w:sz w:val="18"/>
          <w:szCs w:val="18"/>
          <w:color w:val="auto"/>
        </w:rPr>
      </w:pPr>
    </w:p>
    <w:p>
      <w:pPr>
        <w:ind w:left="2620" w:right="400" w:hanging="793"/>
        <w:spacing w:after="0" w:line="316" w:lineRule="auto"/>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Messrs. Thomas L. Kempner, Jr. and Anthony A. Yoseloff, through DKCM, are responsible for the voting and investment decisions relating to the securities held by DKP, DKIP and DKIL reported herein.</w:t>
      </w:r>
    </w:p>
    <w:p>
      <w:pPr>
        <w:spacing w:after="0" w:line="138"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20" w:right="820"/>
        <w:spacing w:after="0" w:line="260" w:lineRule="auto"/>
        <w:rPr>
          <w:sz w:val="20"/>
          <w:szCs w:val="20"/>
          <w:color w:val="auto"/>
        </w:rPr>
      </w:pPr>
      <w:r>
        <w:rPr>
          <w:rFonts w:ascii="Arial" w:cs="Arial" w:eastAsia="Arial" w:hAnsi="Arial"/>
          <w:sz w:val="20"/>
          <w:szCs w:val="20"/>
          <w:color w:val="auto"/>
        </w:rPr>
        <w:t>The address of the principal business office of each of the Reporting Persons is c/o Davidson Kempner Capital Management LP, 520 Madison Avenue, 30th Floor, New York, New York 10022.</w:t>
      </w:r>
    </w:p>
    <w:p>
      <w:pPr>
        <w:spacing w:after="0" w:line="184"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35" w:lineRule="exact"/>
        <w:rPr>
          <w:sz w:val="20"/>
          <w:szCs w:val="20"/>
          <w:color w:val="auto"/>
        </w:rPr>
      </w:pPr>
    </w:p>
    <w:p>
      <w:pPr>
        <w:ind w:left="2520" w:hanging="801"/>
        <w:spacing w:after="0"/>
        <w:tabs>
          <w:tab w:leader="none" w:pos="25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DKP – a New York limited partnership</w:t>
      </w:r>
    </w:p>
    <w:p>
      <w:pPr>
        <w:spacing w:after="0" w:line="229" w:lineRule="exact"/>
        <w:rPr>
          <w:rFonts w:ascii="Arial" w:cs="Arial" w:eastAsia="Arial" w:hAnsi="Arial"/>
          <w:sz w:val="20"/>
          <w:szCs w:val="20"/>
          <w:color w:val="auto"/>
        </w:rPr>
      </w:pPr>
    </w:p>
    <w:p>
      <w:pPr>
        <w:ind w:left="2520" w:hanging="801"/>
        <w:spacing w:after="0"/>
        <w:tabs>
          <w:tab w:leader="none" w:pos="25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DKIP – a Delaware limited partnership</w:t>
      </w:r>
    </w:p>
    <w:p>
      <w:pPr>
        <w:sectPr>
          <w:pgSz w:w="11900" w:h="16838" w:orient="portrait"/>
          <w:cols w:equalWidth="0" w:num="1">
            <w:col w:w="11420"/>
          </w:cols>
          <w:pgMar w:left="240" w:top="225" w:right="239" w:bottom="1440" w:gutter="0" w:footer="0" w:header="0"/>
        </w:sectPr>
      </w:pPr>
    </w:p>
    <w:bookmarkStart w:id="8" w:name="page9"/>
    <w:bookmarkEnd w:id="8"/>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G8136L122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12 Pages</w:t>
      </w:r>
    </w:p>
    <w:p>
      <w:pPr>
        <w:sectPr>
          <w:pgSz w:w="11900" w:h="16838" w:orient="portrait"/>
          <w:cols w:equalWidth="0" w:num="1">
            <w:col w:w="11420"/>
          </w:cols>
          <w:pgMar w:left="240" w:top="225" w:right="239" w:bottom="1440" w:gutter="0" w:footer="0" w:header="0"/>
        </w:sectPr>
      </w:pP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1220" w:type="dxa"/>
            <w:vAlign w:val="bottom"/>
          </w:tcPr>
          <w:p>
            <w:pPr>
              <w:spacing w:after="0"/>
              <w:rPr>
                <w:sz w:val="21"/>
                <w:szCs w:val="21"/>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(iii)</w:t>
            </w:r>
          </w:p>
        </w:tc>
        <w:tc>
          <w:tcPr>
            <w:tcW w:w="9060" w:type="dxa"/>
            <w:vAlign w:val="bottom"/>
            <w:gridSpan w:val="3"/>
          </w:tcPr>
          <w:p>
            <w:pPr>
              <w:ind w:left="260"/>
              <w:spacing w:after="0"/>
              <w:rPr>
                <w:sz w:val="20"/>
                <w:szCs w:val="20"/>
                <w:color w:val="auto"/>
              </w:rPr>
            </w:pPr>
            <w:r>
              <w:rPr>
                <w:rFonts w:ascii="Arial" w:cs="Arial" w:eastAsia="Arial" w:hAnsi="Arial"/>
                <w:sz w:val="20"/>
                <w:szCs w:val="20"/>
                <w:color w:val="auto"/>
              </w:rPr>
              <w:t>DKIL – a British Virgin Islands business company</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(iv)</w:t>
            </w:r>
          </w:p>
        </w:tc>
        <w:tc>
          <w:tcPr>
            <w:tcW w:w="9060" w:type="dxa"/>
            <w:vAlign w:val="bottom"/>
            <w:gridSpan w:val="3"/>
          </w:tcPr>
          <w:p>
            <w:pPr>
              <w:ind w:left="260"/>
              <w:spacing w:after="0"/>
              <w:rPr>
                <w:sz w:val="20"/>
                <w:szCs w:val="20"/>
                <w:color w:val="auto"/>
              </w:rPr>
            </w:pPr>
            <w:r>
              <w:rPr>
                <w:rFonts w:ascii="Arial" w:cs="Arial" w:eastAsia="Arial" w:hAnsi="Arial"/>
                <w:sz w:val="20"/>
                <w:szCs w:val="20"/>
                <w:color w:val="auto"/>
              </w:rPr>
              <w:t>DKCM – a Delaware limited partnership</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(v)</w:t>
            </w:r>
          </w:p>
        </w:tc>
        <w:tc>
          <w:tcPr>
            <w:tcW w:w="9060" w:type="dxa"/>
            <w:vAlign w:val="bottom"/>
            <w:gridSpan w:val="3"/>
          </w:tcPr>
          <w:p>
            <w:pPr>
              <w:ind w:left="260"/>
              <w:spacing w:after="0"/>
              <w:rPr>
                <w:sz w:val="20"/>
                <w:szCs w:val="20"/>
                <w:color w:val="auto"/>
              </w:rPr>
            </w:pPr>
            <w:r>
              <w:rPr>
                <w:rFonts w:ascii="Arial" w:cs="Arial" w:eastAsia="Arial" w:hAnsi="Arial"/>
                <w:sz w:val="20"/>
                <w:szCs w:val="20"/>
                <w:color w:val="auto"/>
              </w:rPr>
              <w:t>Messrs. Thomas L. Kempner, Jr. and Anthony A. Yoseloff – United States</w:t>
            </w:r>
          </w:p>
        </w:tc>
      </w:tr>
      <w:tr>
        <w:trPr>
          <w:trHeight w:val="459"/>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4"/>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20" w:type="dxa"/>
            <w:vAlign w:val="bottom"/>
          </w:tcPr>
          <w:p>
            <w:pPr>
              <w:spacing w:after="0"/>
              <w:rPr>
                <w:sz w:val="24"/>
                <w:szCs w:val="24"/>
                <w:color w:val="auto"/>
              </w:rPr>
            </w:pPr>
          </w:p>
        </w:tc>
        <w:tc>
          <w:tcPr>
            <w:tcW w:w="9980" w:type="dxa"/>
            <w:vAlign w:val="bottom"/>
            <w:gridSpan w:val="4"/>
          </w:tcPr>
          <w:p>
            <w:pPr>
              <w:ind w:left="380"/>
              <w:spacing w:after="0"/>
              <w:rPr>
                <w:sz w:val="20"/>
                <w:szCs w:val="20"/>
                <w:color w:val="auto"/>
              </w:rPr>
            </w:pPr>
            <w:r>
              <w:rPr>
                <w:rFonts w:ascii="Arial" w:cs="Arial" w:eastAsia="Arial" w:hAnsi="Arial"/>
                <w:sz w:val="20"/>
                <w:szCs w:val="20"/>
                <w:color w:val="auto"/>
              </w:rPr>
              <w:t>Class A Ordinary Shares, par value $0.0001 per share (the "Class A Ordinary Shares")</w:t>
            </w:r>
          </w:p>
        </w:tc>
      </w:tr>
      <w:tr>
        <w:trPr>
          <w:trHeight w:val="484"/>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120" w:type="dxa"/>
            <w:vAlign w:val="bottom"/>
            <w:gridSpan w:val="2"/>
          </w:tcPr>
          <w:p>
            <w:pPr>
              <w:ind w:left="380"/>
              <w:spacing w:after="0"/>
              <w:rPr>
                <w:sz w:val="20"/>
                <w:szCs w:val="20"/>
                <w:color w:val="auto"/>
              </w:rPr>
            </w:pPr>
            <w:r>
              <w:rPr>
                <w:rFonts w:ascii="Arial" w:cs="Arial" w:eastAsia="Arial" w:hAnsi="Arial"/>
                <w:sz w:val="20"/>
                <w:szCs w:val="20"/>
                <w:b w:val="1"/>
                <w:bCs w:val="1"/>
                <w:color w:val="auto"/>
              </w:rPr>
              <w:t>CUSIP NUMBER:</w:t>
            </w:r>
          </w:p>
        </w:tc>
        <w:tc>
          <w:tcPr>
            <w:tcW w:w="196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r>
      <w:tr>
        <w:trPr>
          <w:trHeight w:val="438"/>
        </w:trPr>
        <w:tc>
          <w:tcPr>
            <w:tcW w:w="1220" w:type="dxa"/>
            <w:vAlign w:val="bottom"/>
          </w:tcPr>
          <w:p>
            <w:pPr>
              <w:spacing w:after="0"/>
              <w:rPr>
                <w:sz w:val="24"/>
                <w:szCs w:val="24"/>
                <w:color w:val="auto"/>
              </w:rPr>
            </w:pPr>
          </w:p>
        </w:tc>
        <w:tc>
          <w:tcPr>
            <w:tcW w:w="9980" w:type="dxa"/>
            <w:vAlign w:val="bottom"/>
            <w:gridSpan w:val="4"/>
          </w:tcPr>
          <w:p>
            <w:pPr>
              <w:ind w:left="380"/>
              <w:spacing w:after="0"/>
              <w:rPr>
                <w:sz w:val="20"/>
                <w:szCs w:val="20"/>
                <w:color w:val="auto"/>
              </w:rPr>
            </w:pPr>
            <w:r>
              <w:rPr>
                <w:rFonts w:ascii="Arial" w:cs="Arial" w:eastAsia="Arial" w:hAnsi="Arial"/>
                <w:sz w:val="20"/>
                <w:szCs w:val="20"/>
                <w:color w:val="auto"/>
                <w:w w:val="95"/>
              </w:rPr>
              <w:t>The Class A Ordinary Shares have no CUSIP number. The CUSIP number for the units which include the Class A</w:t>
            </w:r>
          </w:p>
        </w:tc>
      </w:tr>
      <w:tr>
        <w:trPr>
          <w:trHeight w:val="250"/>
        </w:trPr>
        <w:tc>
          <w:tcPr>
            <w:tcW w:w="1220" w:type="dxa"/>
            <w:vAlign w:val="bottom"/>
          </w:tcPr>
          <w:p>
            <w:pPr>
              <w:spacing w:after="0"/>
              <w:rPr>
                <w:sz w:val="21"/>
                <w:szCs w:val="21"/>
                <w:color w:val="auto"/>
              </w:rPr>
            </w:pPr>
          </w:p>
        </w:tc>
        <w:tc>
          <w:tcPr>
            <w:tcW w:w="9980" w:type="dxa"/>
            <w:vAlign w:val="bottom"/>
            <w:gridSpan w:val="4"/>
          </w:tcPr>
          <w:p>
            <w:pPr>
              <w:ind w:left="380"/>
              <w:spacing w:after="0"/>
              <w:rPr>
                <w:sz w:val="20"/>
                <w:szCs w:val="20"/>
                <w:color w:val="auto"/>
              </w:rPr>
            </w:pPr>
            <w:r>
              <w:rPr>
                <w:rFonts w:ascii="Arial" w:cs="Arial" w:eastAsia="Arial" w:hAnsi="Arial"/>
                <w:sz w:val="20"/>
                <w:szCs w:val="20"/>
                <w:color w:val="auto"/>
              </w:rPr>
              <w:t>Ordinary Shares is G8136L122.</w:t>
            </w:r>
          </w:p>
        </w:tc>
      </w:tr>
      <w:tr>
        <w:trPr>
          <w:trHeight w:val="432"/>
        </w:trPr>
        <w:tc>
          <w:tcPr>
            <w:tcW w:w="122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4"/>
          </w:tcPr>
          <w:p>
            <w:pPr>
              <w:ind w:left="38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20" w:type="dxa"/>
            <w:vAlign w:val="bottom"/>
          </w:tcPr>
          <w:p>
            <w:pPr>
              <w:spacing w:after="0"/>
              <w:rPr>
                <w:sz w:val="22"/>
                <w:szCs w:val="22"/>
                <w:color w:val="auto"/>
              </w:rPr>
            </w:pPr>
          </w:p>
        </w:tc>
        <w:tc>
          <w:tcPr>
            <w:tcW w:w="9980" w:type="dxa"/>
            <w:vAlign w:val="bottom"/>
            <w:gridSpan w:val="4"/>
          </w:tcPr>
          <w:p>
            <w:pPr>
              <w:ind w:left="38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(a)</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(b)</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(c)</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(d)</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(e)</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(f)</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(g)</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(h)</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tc>
      </w:tr>
      <w:tr>
        <w:trPr>
          <w:trHeight w:val="403"/>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(i)</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w w:val="94"/>
              </w:rPr>
              <w:t>☐</w:t>
            </w:r>
            <w:r>
              <w:rPr>
                <w:rFonts w:ascii="Arial" w:cs="Arial" w:eastAsia="Arial" w:hAnsi="Arial"/>
                <w:sz w:val="20"/>
                <w:szCs w:val="20"/>
                <w:color w:val="auto"/>
                <w:w w:val="94"/>
              </w:rPr>
              <w:t xml:space="preserve">  A church plan that is excluded from the definition of an investment company under Section 3(c)(14) of</w:t>
            </w:r>
          </w:p>
        </w:tc>
      </w:tr>
      <w:tr>
        <w:trPr>
          <w:trHeight w:val="250"/>
        </w:trPr>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60" w:type="dxa"/>
            <w:vAlign w:val="bottom"/>
            <w:gridSpan w:val="3"/>
          </w:tcPr>
          <w:p>
            <w:pPr>
              <w:ind w:left="720"/>
              <w:spacing w:after="0"/>
              <w:rPr>
                <w:sz w:val="20"/>
                <w:szCs w:val="20"/>
                <w:color w:val="auto"/>
              </w:rPr>
            </w:pPr>
            <w:r>
              <w:rPr>
                <w:rFonts w:ascii="Arial" w:cs="Arial" w:eastAsia="Arial" w:hAnsi="Arial"/>
                <w:sz w:val="20"/>
                <w:szCs w:val="20"/>
                <w:color w:val="auto"/>
              </w:rPr>
              <w:t>the Investment Company Act;</w:t>
            </w:r>
          </w:p>
        </w:tc>
      </w:tr>
      <w:tr>
        <w:trPr>
          <w:trHeight w:val="495"/>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(j)</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tc>
      </w:tr>
      <w:tr>
        <w:trPr>
          <w:trHeight w:val="459"/>
        </w:trPr>
        <w:tc>
          <w:tcPr>
            <w:tcW w:w="122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20"/>
                <w:szCs w:val="20"/>
                <w:color w:val="auto"/>
              </w:rPr>
              <w:t>(k)</w:t>
            </w:r>
          </w:p>
        </w:tc>
        <w:tc>
          <w:tcPr>
            <w:tcW w:w="9060" w:type="dxa"/>
            <w:vAlign w:val="bottom"/>
            <w:gridSpan w:val="3"/>
          </w:tcPr>
          <w:p>
            <w:pPr>
              <w:ind w:left="2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tc>
      </w:tr>
    </w:tbl>
    <w:p>
      <w:pPr>
        <w:spacing w:after="0" w:line="200" w:lineRule="exact"/>
        <w:rPr>
          <w:sz w:val="20"/>
          <w:szCs w:val="20"/>
          <w:color w:val="auto"/>
        </w:rPr>
      </w:pPr>
    </w:p>
    <w:p>
      <w:pPr>
        <w:spacing w:after="0" w:line="203" w:lineRule="exact"/>
        <w:rPr>
          <w:sz w:val="20"/>
          <w:szCs w:val="20"/>
          <w:color w:val="auto"/>
        </w:rPr>
      </w:pPr>
    </w:p>
    <w:p>
      <w:pPr>
        <w:ind w:left="1820" w:right="304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-13335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9" w:name="page10"/>
    <w:bookmarkEnd w:id="9"/>
    <w:p>
      <w:pPr>
        <w:spacing w:after="0"/>
        <w:tabs>
          <w:tab w:leader="none" w:pos="5540" w:val="left"/>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G8136L122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12 Pages</w:t>
      </w:r>
    </w:p>
    <w:p>
      <w:pPr>
        <w:sectPr>
          <w:pgSz w:w="11900" w:h="16838" w:orient="portrait"/>
          <w:cols w:equalWidth="0" w:num="1">
            <w:col w:w="11420"/>
          </w:cols>
          <w:pgMar w:left="240" w:top="225" w:right="239" w:bottom="1440" w:gutter="0" w:footer="0" w:header="0"/>
        </w:sectPr>
      </w:pPr>
    </w:p>
    <w:p>
      <w:pPr>
        <w:spacing w:after="0" w:line="34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20" w:right="2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jc w:val="both"/>
        <w:ind w:left="1720" w:right="240"/>
        <w:spacing w:after="0" w:line="291" w:lineRule="auto"/>
        <w:rPr>
          <w:sz w:val="20"/>
          <w:szCs w:val="20"/>
          <w:color w:val="auto"/>
        </w:rPr>
      </w:pPr>
      <w:r>
        <w:rPr>
          <w:rFonts w:ascii="Arial" w:cs="Arial" w:eastAsia="Arial" w:hAnsi="Arial"/>
          <w:sz w:val="18"/>
          <w:szCs w:val="18"/>
          <w:color w:val="auto"/>
        </w:rPr>
        <w:t>The percentages used in this Schedule 13G are calculated based upon 25,000,000 Class A Ordinary Shares outstanding, as reported in the Issuer's Prospectus filed pursuant to Rule 424(b)(4) with the Securities and Exchange Commission on August 9, 2019, after giving effect to the completion of the offering, as described therein.</w:t>
      </w:r>
    </w:p>
    <w:p>
      <w:pPr>
        <w:spacing w:after="0" w:line="159"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BEING REPORTED ON BY THE PARENT HOLDING COMPANY OR CONTROL PERSON.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20" w:right="18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5" w:right="239" w:bottom="1440" w:gutter="0" w:footer="0" w:header="0"/>
          <w:type w:val="continuous"/>
        </w:sectPr>
      </w:pPr>
    </w:p>
    <w:bookmarkStart w:id="10" w:name="page11"/>
    <w:bookmarkEnd w:id="10"/>
    <w:p>
      <w:pPr>
        <w:spacing w:after="0"/>
        <w:tabs>
          <w:tab w:leader="none" w:pos="5540" w:val="left"/>
          <w:tab w:leader="none" w:pos="99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G8136L122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12 Pages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5380" w:type="dxa"/>
            <w:vAlign w:val="bottom"/>
          </w:tcPr>
          <w:p>
            <w:pPr>
              <w:spacing w:after="0"/>
              <w:rPr>
                <w:sz w:val="20"/>
                <w:szCs w:val="20"/>
                <w:color w:val="auto"/>
              </w:rPr>
            </w:pPr>
            <w:r>
              <w:rPr>
                <w:rFonts w:ascii="Arial" w:cs="Arial" w:eastAsia="Arial" w:hAnsi="Arial"/>
                <w:sz w:val="20"/>
                <w:szCs w:val="20"/>
                <w:color w:val="auto"/>
              </w:rPr>
              <w:t>DATE: August 16, 2019</w:t>
            </w:r>
          </w:p>
        </w:tc>
        <w:tc>
          <w:tcPr>
            <w:tcW w:w="59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Thomas L. Kempner, Jr.</w:t>
            </w:r>
          </w:p>
        </w:tc>
      </w:tr>
      <w:tr>
        <w:trPr>
          <w:trHeight w:val="206"/>
        </w:trPr>
        <w:tc>
          <w:tcPr>
            <w:tcW w:w="5380" w:type="dxa"/>
            <w:vAlign w:val="bottom"/>
          </w:tcPr>
          <w:p>
            <w:pPr>
              <w:spacing w:after="0"/>
              <w:rPr>
                <w:sz w:val="17"/>
                <w:szCs w:val="17"/>
                <w:color w:val="auto"/>
              </w:rPr>
            </w:pPr>
          </w:p>
        </w:tc>
        <w:tc>
          <w:tcPr>
            <w:tcW w:w="5920" w:type="dxa"/>
            <w:vAlign w:val="bottom"/>
          </w:tcPr>
          <w:p>
            <w:pPr>
              <w:ind w:left="100"/>
              <w:spacing w:after="0" w:line="207" w:lineRule="exact"/>
              <w:rPr>
                <w:sz w:val="20"/>
                <w:szCs w:val="20"/>
                <w:color w:val="auto"/>
              </w:rPr>
            </w:pPr>
            <w:r>
              <w:rPr>
                <w:rFonts w:ascii="Arial" w:cs="Arial" w:eastAsia="Arial" w:hAnsi="Arial"/>
                <w:sz w:val="20"/>
                <w:szCs w:val="20"/>
                <w:color w:val="auto"/>
              </w:rPr>
              <w:t>THOMAS L. KEMPNER, JR., (i) individually, (ii) as Co-Executive</w:t>
            </w:r>
          </w:p>
        </w:tc>
      </w:tr>
      <w:tr>
        <w:trPr>
          <w:trHeight w:val="230"/>
        </w:trPr>
        <w:tc>
          <w:tcPr>
            <w:tcW w:w="53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w w:val="92"/>
              </w:rPr>
              <w:t>Managing Member of: (a) Davidson Kempner Capital Management LP,</w:t>
            </w:r>
          </w:p>
        </w:tc>
      </w:tr>
      <w:tr>
        <w:trPr>
          <w:trHeight w:val="230"/>
        </w:trPr>
        <w:tc>
          <w:tcPr>
            <w:tcW w:w="53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rPr>
              <w:t>(x) for itself and (y) as Investment Manager of Davidson Kempner</w:t>
            </w:r>
          </w:p>
        </w:tc>
      </w:tr>
      <w:tr>
        <w:trPr>
          <w:trHeight w:val="230"/>
        </w:trPr>
        <w:tc>
          <w:tcPr>
            <w:tcW w:w="53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rPr>
              <w:t>International, Ltd. and (b) MHD Management Co. GP, L.L.C., as</w:t>
            </w:r>
          </w:p>
        </w:tc>
      </w:tr>
      <w:tr>
        <w:trPr>
          <w:trHeight w:val="230"/>
        </w:trPr>
        <w:tc>
          <w:tcPr>
            <w:tcW w:w="53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rPr>
              <w:t>General Partner of MHD Management Co. as General Partner of</w:t>
            </w:r>
          </w:p>
        </w:tc>
      </w:tr>
      <w:tr>
        <w:trPr>
          <w:trHeight w:val="230"/>
        </w:trPr>
        <w:tc>
          <w:tcPr>
            <w:tcW w:w="53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w w:val="99"/>
              </w:rPr>
              <w:t>Davidson Kempner Partners and (iii) as Co-President of Davidson</w:t>
            </w:r>
          </w:p>
        </w:tc>
      </w:tr>
      <w:tr>
        <w:trPr>
          <w:trHeight w:val="230"/>
        </w:trPr>
        <w:tc>
          <w:tcPr>
            <w:tcW w:w="53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rPr>
              <w:t>Kempner Advisers Inc. as General Partner of Davidson Kempner</w:t>
            </w:r>
          </w:p>
        </w:tc>
      </w:tr>
      <w:tr>
        <w:trPr>
          <w:trHeight w:val="250"/>
        </w:trPr>
        <w:tc>
          <w:tcPr>
            <w:tcW w:w="5380" w:type="dxa"/>
            <w:vAlign w:val="bottom"/>
          </w:tcPr>
          <w:p>
            <w:pPr>
              <w:spacing w:after="0"/>
              <w:rPr>
                <w:sz w:val="21"/>
                <w:szCs w:val="21"/>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rPr>
              <w:t>Institutional Partners, L.P.</w:t>
            </w:r>
          </w:p>
        </w:tc>
      </w:tr>
      <w:tr>
        <w:trPr>
          <w:trHeight w:val="685"/>
        </w:trPr>
        <w:tc>
          <w:tcPr>
            <w:tcW w:w="5380" w:type="dxa"/>
            <w:vAlign w:val="bottom"/>
          </w:tcPr>
          <w:p>
            <w:pPr>
              <w:spacing w:after="0"/>
              <w:rPr>
                <w:sz w:val="24"/>
                <w:szCs w:val="24"/>
                <w:color w:val="auto"/>
              </w:rPr>
            </w:pPr>
          </w:p>
        </w:tc>
        <w:tc>
          <w:tcPr>
            <w:tcW w:w="59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Anthony A. Yoseloff</w:t>
            </w:r>
          </w:p>
        </w:tc>
      </w:tr>
      <w:tr>
        <w:trPr>
          <w:trHeight w:val="244"/>
        </w:trPr>
        <w:tc>
          <w:tcPr>
            <w:tcW w:w="5380" w:type="dxa"/>
            <w:vAlign w:val="bottom"/>
          </w:tcPr>
          <w:p>
            <w:pPr>
              <w:spacing w:after="0"/>
              <w:rPr>
                <w:sz w:val="21"/>
                <w:szCs w:val="21"/>
                <w:color w:val="auto"/>
              </w:rPr>
            </w:pPr>
          </w:p>
        </w:tc>
        <w:tc>
          <w:tcPr>
            <w:tcW w:w="5920" w:type="dxa"/>
            <w:vAlign w:val="bottom"/>
          </w:tcPr>
          <w:p>
            <w:pPr>
              <w:ind w:left="100"/>
              <w:spacing w:after="0"/>
              <w:rPr>
                <w:sz w:val="20"/>
                <w:szCs w:val="20"/>
                <w:color w:val="auto"/>
              </w:rPr>
            </w:pPr>
            <w:r>
              <w:rPr>
                <w:rFonts w:ascii="Arial" w:cs="Arial" w:eastAsia="Arial" w:hAnsi="Arial"/>
                <w:sz w:val="20"/>
                <w:szCs w:val="20"/>
                <w:color w:val="auto"/>
              </w:rPr>
              <w:t>ANTHONY A. YOSELOFF</w:t>
            </w:r>
          </w:p>
        </w:tc>
      </w:tr>
    </w:tbl>
    <w:p>
      <w:pPr>
        <w:sectPr>
          <w:pgSz w:w="11900" w:h="16838" w:orient="portrait"/>
          <w:cols w:equalWidth="0" w:num="1">
            <w:col w:w="11420"/>
          </w:cols>
          <w:pgMar w:left="240" w:top="225" w:right="239" w:bottom="1440" w:gutter="0" w:footer="0" w:header="0"/>
        </w:sectPr>
      </w:pPr>
    </w:p>
    <w:bookmarkStart w:id="11" w:name="page12"/>
    <w:bookmarkEnd w:id="11"/>
    <w:p>
      <w:pPr>
        <w:spacing w:after="0"/>
        <w:tabs>
          <w:tab w:leader="none" w:pos="5540" w:val="left"/>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G8136L122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12 of 12 Pages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46"/>
        </w:trPr>
        <w:tc>
          <w:tcPr>
            <w:tcW w:w="5400" w:type="dxa"/>
            <w:vAlign w:val="bottom"/>
          </w:tcPr>
          <w:p>
            <w:pPr>
              <w:spacing w:after="0"/>
              <w:rPr>
                <w:sz w:val="20"/>
                <w:szCs w:val="20"/>
                <w:color w:val="auto"/>
              </w:rPr>
            </w:pPr>
            <w:r>
              <w:rPr>
                <w:rFonts w:ascii="Arial" w:cs="Arial" w:eastAsia="Arial" w:hAnsi="Arial"/>
                <w:sz w:val="20"/>
                <w:szCs w:val="20"/>
                <w:color w:val="auto"/>
              </w:rPr>
              <w:t>DATE: August 16, 2019</w:t>
            </w:r>
          </w:p>
        </w:tc>
        <w:tc>
          <w:tcPr>
            <w:tcW w:w="59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Thomas L. Kempner, Jr.</w:t>
            </w:r>
          </w:p>
        </w:tc>
      </w:tr>
      <w:tr>
        <w:trPr>
          <w:trHeight w:val="206"/>
        </w:trPr>
        <w:tc>
          <w:tcPr>
            <w:tcW w:w="5400" w:type="dxa"/>
            <w:vAlign w:val="bottom"/>
          </w:tcPr>
          <w:p>
            <w:pPr>
              <w:spacing w:after="0"/>
              <w:rPr>
                <w:sz w:val="17"/>
                <w:szCs w:val="17"/>
                <w:color w:val="auto"/>
              </w:rPr>
            </w:pPr>
          </w:p>
        </w:tc>
        <w:tc>
          <w:tcPr>
            <w:tcW w:w="5920" w:type="dxa"/>
            <w:vAlign w:val="bottom"/>
          </w:tcPr>
          <w:p>
            <w:pPr>
              <w:ind w:left="80"/>
              <w:spacing w:after="0" w:line="207" w:lineRule="exact"/>
              <w:rPr>
                <w:sz w:val="20"/>
                <w:szCs w:val="20"/>
                <w:color w:val="auto"/>
              </w:rPr>
            </w:pPr>
            <w:r>
              <w:rPr>
                <w:rFonts w:ascii="Arial" w:cs="Arial" w:eastAsia="Arial" w:hAnsi="Arial"/>
                <w:sz w:val="20"/>
                <w:szCs w:val="20"/>
                <w:color w:val="auto"/>
              </w:rPr>
              <w:t>THOMAS L. KEMPNER, JR., (i) individually, (ii) as Co-Executive</w:t>
            </w:r>
          </w:p>
        </w:tc>
      </w:tr>
      <w:tr>
        <w:trPr>
          <w:trHeight w:val="230"/>
        </w:trPr>
        <w:tc>
          <w:tcPr>
            <w:tcW w:w="5400" w:type="dxa"/>
            <w:vAlign w:val="bottom"/>
          </w:tcPr>
          <w:p>
            <w:pPr>
              <w:spacing w:after="0"/>
              <w:rPr>
                <w:sz w:val="19"/>
                <w:szCs w:val="19"/>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w w:val="92"/>
              </w:rPr>
              <w:t>Managing Member of: (a) Davidson Kempner Capital Management LP,</w:t>
            </w:r>
          </w:p>
        </w:tc>
      </w:tr>
      <w:tr>
        <w:trPr>
          <w:trHeight w:val="230"/>
        </w:trPr>
        <w:tc>
          <w:tcPr>
            <w:tcW w:w="5400" w:type="dxa"/>
            <w:vAlign w:val="bottom"/>
          </w:tcPr>
          <w:p>
            <w:pPr>
              <w:spacing w:after="0"/>
              <w:rPr>
                <w:sz w:val="19"/>
                <w:szCs w:val="19"/>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rPr>
              <w:t>(x) for itself and (y) as Investment Manager of Davidson Kempner</w:t>
            </w:r>
          </w:p>
        </w:tc>
      </w:tr>
      <w:tr>
        <w:trPr>
          <w:trHeight w:val="230"/>
        </w:trPr>
        <w:tc>
          <w:tcPr>
            <w:tcW w:w="5400" w:type="dxa"/>
            <w:vAlign w:val="bottom"/>
          </w:tcPr>
          <w:p>
            <w:pPr>
              <w:spacing w:after="0"/>
              <w:rPr>
                <w:sz w:val="19"/>
                <w:szCs w:val="19"/>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rPr>
              <w:t>International, Ltd. and (b) MHD Management Co. GP, L.L.C., as</w:t>
            </w:r>
          </w:p>
        </w:tc>
      </w:tr>
      <w:tr>
        <w:trPr>
          <w:trHeight w:val="230"/>
        </w:trPr>
        <w:tc>
          <w:tcPr>
            <w:tcW w:w="5400" w:type="dxa"/>
            <w:vAlign w:val="bottom"/>
          </w:tcPr>
          <w:p>
            <w:pPr>
              <w:spacing w:after="0"/>
              <w:rPr>
                <w:sz w:val="19"/>
                <w:szCs w:val="19"/>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rPr>
              <w:t>General Partner of MHD Management Co. as General Partner of</w:t>
            </w:r>
          </w:p>
        </w:tc>
      </w:tr>
      <w:tr>
        <w:trPr>
          <w:trHeight w:val="230"/>
        </w:trPr>
        <w:tc>
          <w:tcPr>
            <w:tcW w:w="5400" w:type="dxa"/>
            <w:vAlign w:val="bottom"/>
          </w:tcPr>
          <w:p>
            <w:pPr>
              <w:spacing w:after="0"/>
              <w:rPr>
                <w:sz w:val="19"/>
                <w:szCs w:val="19"/>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w w:val="99"/>
              </w:rPr>
              <w:t>Davidson Kempner Partners and (iii) as Co-President of Davidson</w:t>
            </w:r>
          </w:p>
        </w:tc>
      </w:tr>
      <w:tr>
        <w:trPr>
          <w:trHeight w:val="230"/>
        </w:trPr>
        <w:tc>
          <w:tcPr>
            <w:tcW w:w="5400" w:type="dxa"/>
            <w:vAlign w:val="bottom"/>
          </w:tcPr>
          <w:p>
            <w:pPr>
              <w:spacing w:after="0"/>
              <w:rPr>
                <w:sz w:val="19"/>
                <w:szCs w:val="19"/>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rPr>
              <w:t>Kempner Advisers Inc. as General Partner of Davidson Kempner</w:t>
            </w:r>
          </w:p>
        </w:tc>
      </w:tr>
      <w:tr>
        <w:trPr>
          <w:trHeight w:val="250"/>
        </w:trPr>
        <w:tc>
          <w:tcPr>
            <w:tcW w:w="5400" w:type="dxa"/>
            <w:vAlign w:val="bottom"/>
          </w:tcPr>
          <w:p>
            <w:pPr>
              <w:spacing w:after="0"/>
              <w:rPr>
                <w:sz w:val="21"/>
                <w:szCs w:val="21"/>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rPr>
              <w:t>Institutional Partners, L.P.</w:t>
            </w:r>
          </w:p>
        </w:tc>
      </w:tr>
      <w:tr>
        <w:trPr>
          <w:trHeight w:val="685"/>
        </w:trPr>
        <w:tc>
          <w:tcPr>
            <w:tcW w:w="5400" w:type="dxa"/>
            <w:vAlign w:val="bottom"/>
          </w:tcPr>
          <w:p>
            <w:pPr>
              <w:spacing w:after="0"/>
              <w:rPr>
                <w:sz w:val="24"/>
                <w:szCs w:val="24"/>
                <w:color w:val="auto"/>
              </w:rPr>
            </w:pPr>
          </w:p>
        </w:tc>
        <w:tc>
          <w:tcPr>
            <w:tcW w:w="59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Anthony A. Yoseloff</w:t>
            </w:r>
          </w:p>
        </w:tc>
      </w:tr>
      <w:tr>
        <w:trPr>
          <w:trHeight w:val="244"/>
        </w:trPr>
        <w:tc>
          <w:tcPr>
            <w:tcW w:w="5400" w:type="dxa"/>
            <w:vAlign w:val="bottom"/>
          </w:tcPr>
          <w:p>
            <w:pPr>
              <w:spacing w:after="0"/>
              <w:rPr>
                <w:sz w:val="21"/>
                <w:szCs w:val="21"/>
                <w:color w:val="auto"/>
              </w:rPr>
            </w:pPr>
          </w:p>
        </w:tc>
        <w:tc>
          <w:tcPr>
            <w:tcW w:w="5920" w:type="dxa"/>
            <w:vAlign w:val="bottom"/>
          </w:tcPr>
          <w:p>
            <w:pPr>
              <w:ind w:left="80"/>
              <w:spacing w:after="0"/>
              <w:rPr>
                <w:sz w:val="20"/>
                <w:szCs w:val="20"/>
                <w:color w:val="auto"/>
              </w:rPr>
            </w:pPr>
            <w:r>
              <w:rPr>
                <w:rFonts w:ascii="Arial" w:cs="Arial" w:eastAsia="Arial" w:hAnsi="Arial"/>
                <w:sz w:val="20"/>
                <w:szCs w:val="20"/>
                <w:color w:val="auto"/>
              </w:rPr>
              <w:t>ANTHONY A. YOSELOFF</w:t>
            </w:r>
          </w:p>
        </w:tc>
      </w:tr>
    </w:tbl>
    <w:p>
      <w:pPr>
        <w:spacing w:after="0" w:line="1" w:lineRule="exact"/>
        <w:rPr>
          <w:sz w:val="20"/>
          <w:szCs w:val="20"/>
          <w:color w:val="auto"/>
        </w:rPr>
      </w:pP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2019-11-30T00:18:38Z</dcterms:created>
  <dcterms:modified xsi:type="dcterms:W3CDTF">2019-11-30T00:18:38Z</dcterms:modified>
</cp:coreProperties>
</file>