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6"/>
        </w:rPr>
        <w:t>For the transition period from ____</w:t>
      </w:r>
      <w:r>
        <w:rPr>
          <w:color w:val="000000"/>
          <w:shd w:fill="FFFFFF" w:val="clear"/>
        </w:rPr>
        <w:t xml:space="preserve"> </w:t>
      </w:r>
      <w:r>
        <w:rPr>
          <w:rFonts w:ascii="Times New Roman;serif" w:hAnsi="Times New Roman;serif"/>
          <w:b/>
          <w:color w:val="000000"/>
          <w:sz w:val="16"/>
          <w:shd w:fill="FFFFFF" w:val="clear"/>
        </w:rPr>
        <w:t>to 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001-39021</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_______________________________________________________________________________</w:t>
      </w:r>
    </w:p>
    <w:tbl>
      <w:tblPr>
        <w:tblW w:w="7286" w:type="dxa"/>
        <w:jc w:val="center"/>
        <w:tblInd w:w="0" w:type="dxa"/>
        <w:tblLayout w:type="fixed"/>
        <w:tblCellMar>
          <w:top w:w="28" w:type="dxa"/>
          <w:left w:w="28" w:type="dxa"/>
          <w:bottom w:w="28" w:type="dxa"/>
          <w:right w:w="28" w:type="dxa"/>
        </w:tblCellMar>
      </w:tblPr>
      <w:tblGrid>
        <w:gridCol w:w="1553"/>
        <w:gridCol w:w="1364"/>
        <w:gridCol w:w="1372"/>
        <w:gridCol w:w="109"/>
        <w:gridCol w:w="109"/>
        <w:gridCol w:w="109"/>
        <w:gridCol w:w="736"/>
        <w:gridCol w:w="736"/>
        <w:gridCol w:w="1198"/>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98-1605615</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41 Discovery</w:t>
            </w:r>
          </w:p>
          <w:p>
            <w:pPr>
              <w:pStyle w:val="TableContents"/>
              <w:bidi w:val="0"/>
              <w:spacing w:lineRule="auto" w:line="268"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0"/>
              <w:ind w:left="0" w:right="0" w:firstLine="45"/>
              <w:jc w:val="center"/>
              <w:rPr/>
            </w:pPr>
            <w:r>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erif" w:hAnsi="Times New Roman;serif"/>
                <w:b/>
                <w:color w:val="000000"/>
                <w:sz w:val="16"/>
              </w:rPr>
            </w:pPr>
            <w:r>
              <w:rPr>
                <w:rFonts w:ascii="Times New Roman;serif" w:hAnsi="Times New Roman;serif"/>
                <w:b/>
                <w:color w:val="000000"/>
                <w:sz w:val="16"/>
              </w:rPr>
              <w:t>92618</w:t>
            </w:r>
          </w:p>
        </w:tc>
      </w:tr>
      <w:tr>
        <w:trPr/>
        <w:tc>
          <w:tcPr>
            <w:tcW w:w="4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(844) 933-3627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385"/>
        <w:gridCol w:w="1982"/>
        <w:gridCol w:w="2008"/>
        <w:gridCol w:w="408"/>
        <w:gridCol w:w="403"/>
        <w:gridCol w:w="405"/>
        <w:gridCol w:w="764"/>
        <w:gridCol w:w="764"/>
        <w:gridCol w:w="1086"/>
      </w:tblGrid>
      <w:tr>
        <w:trPr/>
        <w:tc>
          <w:tcPr>
            <w:tcW w:w="238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t>
            </w:r>
          </w:p>
        </w:tc>
        <w:tc>
          <w:tcPr>
            <w:tcW w:w="2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OTCQX Best Market</w:t>
            </w:r>
          </w:p>
        </w:tc>
      </w:tr>
      <w:tr>
        <w:trPr/>
        <w:tc>
          <w:tcPr>
            <w:tcW w:w="637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Warrants, each whole warrant exercisable for one share of Class A Common Stock at an exercise price of $11.50 per share</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MAPSW</w:t>
            </w:r>
          </w:p>
        </w:tc>
        <w:tc>
          <w:tcPr>
            <w:tcW w:w="2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OTCID Basic Market</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Act).     Yes   ☐     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May 4, 2026, there were 111,376,293 shares of the registrant’s Class A common stock outstanding and 47,852,652 shares of Class V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WM TECHNOLOGY,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949"/>
        <w:gridCol w:w="2949"/>
        <w:gridCol w:w="2959"/>
        <w:gridCol w:w="167"/>
        <w:gridCol w:w="167"/>
        <w:gridCol w:w="24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0">
              <w:r>
                <w:rPr>
                  <w:rStyle w:val="InternetLink"/>
                  <w:rFonts w:ascii="Times New Roman;serif" w:hAnsi="Times New Roman;serif"/>
                  <w:b w:val="false"/>
                  <w:color w:val="0000FF"/>
                  <w:sz w:val="20"/>
                  <w:u w:val="single"/>
                </w:rPr>
                <w:t>Forward-Looking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0">
              <w:r>
                <w:rPr>
                  <w:rStyle w:val="InternetLink"/>
                  <w:rFonts w:ascii="Times New Roman;serif" w:hAnsi="Times New Roman;serif"/>
                  <w:b w:val="false"/>
                  <w:color w:val="0000EE"/>
                  <w:sz w:val="20"/>
                  <w:u w:val="single"/>
                </w:rPr>
                <w:t>1</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
              <w:r>
                <w:rPr>
                  <w:rStyle w:val="InternetLink"/>
                  <w:rFonts w:ascii="Times New Roman;serif" w:hAnsi="Times New Roman;serif"/>
                  <w:b/>
                  <w:strike w:val="false"/>
                  <w:dstrike w:val="false"/>
                  <w:color w:val="000000"/>
                  <w:sz w:val="20"/>
                  <w:u w:val="none"/>
                  <w:effect w:val="non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6">
              <w:r>
                <w:rPr>
                  <w:rStyle w:val="InternetLink"/>
                  <w:rFonts w:ascii="Times New Roman;serif" w:hAnsi="Times New Roman;serif"/>
                  <w:b w:val="false"/>
                  <w:color w:val="0000EE"/>
                  <w:sz w:val="20"/>
                  <w:u w:val="single"/>
                </w:rPr>
                <w:t>Item 1.</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u w:val="single"/>
              </w:rPr>
              <w:t xml:space="preserve">Condensed Consolidated </w:t>
            </w:r>
            <w:hyperlink w:anchor="i39f4a5a321c349a88cb320a342eb1010_16">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EE"/>
                <w:sz w:val="20"/>
                <w:u w:val="single"/>
              </w:rPr>
              <w:t xml:space="preserve"> (Unaudited)</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6">
              <w:r>
                <w:rPr>
                  <w:rStyle w:val="InternetLink"/>
                  <w:rFonts w:ascii="Times New Roman;serif" w:hAnsi="Times New Roman;serif"/>
                  <w:b w:val="false"/>
                  <w:color w:val="0000EE"/>
                  <w:sz w:val="20"/>
                  <w:u w:val="single"/>
                </w:rPr>
                <w:t>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4a5a321c349a88cb320a342eb1010_19">
              <w:r>
                <w:rPr>
                  <w:rStyle w:val="InternetLink"/>
                  <w:rFonts w:ascii="Times New Roman;serif" w:hAnsi="Times New Roman;serif"/>
                  <w:b w:val="false"/>
                  <w:color w:val="000080"/>
                  <w:sz w:val="20"/>
                  <w:u w:val="single"/>
                </w:rPr>
                <w:t>Condensed Consolidated Balance Sheet</w:t>
              </w:r>
            </w:hyperlink>
            <w:r>
              <w:rPr>
                <w:rFonts w:ascii="Times New Roman;serif" w:hAnsi="Times New Roman;serif"/>
                <w:b w:val="false"/>
                <w:color w:val="0000EE"/>
                <w:sz w:val="20"/>
                <w:u w:val="single"/>
              </w:rPr>
              <w:t>s as of March 31, 2026 and December 31, 2025</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9">
              <w:r>
                <w:rPr>
                  <w:rStyle w:val="InternetLink"/>
                  <w:rFonts w:ascii="Times New Roman;serif" w:hAnsi="Times New Roman;serif"/>
                  <w:b w:val="false"/>
                  <w:color w:val="0000EE"/>
                  <w:sz w:val="20"/>
                  <w:u w:val="single"/>
                </w:rPr>
                <w:t>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22">
              <w:r>
                <w:rPr>
                  <w:rStyle w:val="InternetLink"/>
                  <w:rFonts w:ascii="Times New Roman;serif" w:hAnsi="Times New Roman;serif"/>
                  <w:b w:val="false"/>
                  <w:color w:val="000080"/>
                  <w:sz w:val="20"/>
                  <w:u w:val="single"/>
                </w:rPr>
                <w:t>Condensed Consolidated Statements of Operations f</w:t>
              </w:r>
            </w:hyperlink>
            <w:r>
              <w:rPr>
                <w:rFonts w:ascii="Times New Roman;serif" w:hAnsi="Times New Roman;serif"/>
                <w:b w:val="false"/>
                <w:color w:val="0000EE"/>
                <w:sz w:val="20"/>
                <w:u w:val="single"/>
              </w:rPr>
              <w:t>or the Three Months Ended March 31, 2026 and 2025</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22">
              <w:r>
                <w:rPr>
                  <w:rStyle w:val="InternetLink"/>
                  <w:rFonts w:ascii="Times New Roman;serif" w:hAnsi="Times New Roman;serif"/>
                  <w:b w:val="false"/>
                  <w:color w:val="0000EE"/>
                  <w:sz w:val="20"/>
                  <w:u w:val="single"/>
                </w:rPr>
                <w:t>4</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578">
              <w:r>
                <w:rPr>
                  <w:rStyle w:val="InternetLink"/>
                  <w:rFonts w:ascii="Times New Roman;serif" w:hAnsi="Times New Roman;serif"/>
                  <w:b w:val="false"/>
                  <w:color w:val="000080"/>
                  <w:sz w:val="20"/>
                  <w:u w:val="single"/>
                </w:rPr>
                <w:t xml:space="preserve">Condensed Consolidated Statements of </w:t>
              </w:r>
            </w:hyperlink>
            <w:hyperlink w:anchor="i39f4a5a321c349a88cb320a342eb1010_578">
              <w:r>
                <w:rPr>
                  <w:rStyle w:val="InternetLink"/>
                  <w:rFonts w:ascii="Times New Roman;serif" w:hAnsi="Times New Roman;serif"/>
                  <w:b w:val="false"/>
                  <w:color w:val="000080"/>
                  <w:sz w:val="20"/>
                  <w:u w:val="single"/>
                </w:rPr>
                <w:t>Comprehensive Income</w:t>
              </w:r>
            </w:hyperlink>
            <w:hyperlink w:anchor="i39f4a5a321c349a88cb320a342eb1010_578">
              <w:r>
                <w:rPr>
                  <w:rStyle w:val="InternetLink"/>
                  <w:rFonts w:ascii="Times New Roman;serif" w:hAnsi="Times New Roman;serif"/>
                  <w:b w:val="false"/>
                  <w:color w:val="000080"/>
                  <w:sz w:val="20"/>
                  <w:u w:val="single"/>
                </w:rPr>
                <w:t xml:space="preserve"> f</w:t>
              </w:r>
            </w:hyperlink>
            <w:r>
              <w:rPr>
                <w:rFonts w:ascii="Times New Roman;serif" w:hAnsi="Times New Roman;serif"/>
                <w:b w:val="false"/>
                <w:color w:val="0000EE"/>
                <w:sz w:val="20"/>
                <w:u w:val="single"/>
              </w:rPr>
              <w:t>or the Three Months Ended March 31, 2026 and 2025</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578">
              <w:r>
                <w:rPr>
                  <w:rStyle w:val="InternetLink"/>
                  <w:rFonts w:ascii="Times New Roman;serif" w:hAnsi="Times New Roman;serif"/>
                  <w:b w:val="false"/>
                  <w:color w:val="0000EE"/>
                  <w:sz w:val="20"/>
                  <w:u w:val="single"/>
                </w:rPr>
                <w:t>5</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25">
              <w:r>
                <w:rPr>
                  <w:rStyle w:val="InternetLink"/>
                  <w:rFonts w:ascii="Times New Roman;serif" w:hAnsi="Times New Roman;serif"/>
                  <w:b w:val="false"/>
                  <w:color w:val="000080"/>
                  <w:sz w:val="20"/>
                  <w:u w:val="single"/>
                </w:rPr>
                <w:t>Condensed Consolidated Statements of Equit</w:t>
              </w:r>
            </w:hyperlink>
            <w:r>
              <w:rPr>
                <w:rFonts w:ascii="Times New Roman;serif" w:hAnsi="Times New Roman;serif"/>
                <w:b w:val="false"/>
                <w:color w:val="0000EE"/>
                <w:sz w:val="20"/>
                <w:u w:val="single"/>
              </w:rPr>
              <w:t xml:space="preserve">y </w:t>
            </w:r>
            <w:hyperlink w:anchor="i39f4a5a321c349a88cb320a342eb1010_22">
              <w:r>
                <w:rPr>
                  <w:rStyle w:val="InternetLink"/>
                  <w:rFonts w:ascii="Times New Roman;serif" w:hAnsi="Times New Roman;serif"/>
                  <w:b w:val="false"/>
                  <w:color w:val="000080"/>
                  <w:sz w:val="20"/>
                  <w:u w:val="single"/>
                </w:rPr>
                <w:t>f</w:t>
              </w:r>
            </w:hyperlink>
            <w:r>
              <w:rPr>
                <w:rFonts w:ascii="Times New Roman;serif" w:hAnsi="Times New Roman;serif"/>
                <w:b w:val="false"/>
                <w:color w:val="0000EE"/>
                <w:sz w:val="20"/>
                <w:u w:val="single"/>
              </w:rPr>
              <w:t>or the Three Months Ended March 31, 2026 and 2025</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25">
              <w:r>
                <w:rPr>
                  <w:rStyle w:val="InternetLink"/>
                  <w:rFonts w:ascii="Times New Roman;serif" w:hAnsi="Times New Roman;serif"/>
                  <w:b w:val="false"/>
                  <w:color w:val="0000EE"/>
                  <w:sz w:val="20"/>
                  <w:u w:val="single"/>
                </w:rPr>
                <w:t>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28">
              <w:r>
                <w:rPr>
                  <w:rStyle w:val="InternetLink"/>
                  <w:rFonts w:ascii="Times New Roman;serif" w:hAnsi="Times New Roman;serif"/>
                  <w:b w:val="false"/>
                  <w:color w:val="000080"/>
                  <w:sz w:val="20"/>
                  <w:u w:val="single"/>
                </w:rPr>
                <w:t xml:space="preserve">Condensed Consolidated Statements of Cash Flows </w:t>
              </w:r>
            </w:hyperlink>
            <w:r>
              <w:rPr>
                <w:rFonts w:ascii="Times New Roman;serif" w:hAnsi="Times New Roman;serif"/>
                <w:b w:val="false"/>
                <w:color w:val="0000EE"/>
                <w:sz w:val="20"/>
                <w:u w:val="single"/>
              </w:rPr>
              <w:t>for the Three Months Ended March 31, 2026 and 2025</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28">
              <w:r>
                <w:rPr>
                  <w:rStyle w:val="InternetLink"/>
                  <w:rFonts w:ascii="Times New Roman;serif" w:hAnsi="Times New Roman;serif"/>
                  <w:b w:val="false"/>
                  <w:color w:val="0000EE"/>
                  <w:sz w:val="20"/>
                  <w:u w:val="single"/>
                </w:rPr>
                <w:t>7</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31">
              <w:r>
                <w:rPr>
                  <w:rStyle w:val="InternetLink"/>
                  <w:rFonts w:ascii="Times New Roman;serif" w:hAnsi="Times New Roman;serif"/>
                  <w:b w:val="false"/>
                  <w:color w:val="0000EE"/>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31">
              <w:r>
                <w:rPr>
                  <w:rStyle w:val="InternetLink"/>
                  <w:rFonts w:ascii="Times New Roman;serif" w:hAnsi="Times New Roman;serif"/>
                  <w:b w:val="false"/>
                  <w:color w:val="0000EE"/>
                  <w:sz w:val="20"/>
                  <w:u w:val="single"/>
                </w:rPr>
                <w:t>8</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76">
              <w:r>
                <w:rPr>
                  <w:rStyle w:val="InternetLink"/>
                  <w:rFonts w:ascii="Times New Roman;serif" w:hAnsi="Times New Roman;serif"/>
                  <w:b w:val="false"/>
                  <w:color w:val="0000EE"/>
                  <w:sz w:val="20"/>
                  <w:u w:val="single"/>
                </w:rPr>
                <w:t>Item 2.</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76">
              <w:r>
                <w:rPr>
                  <w:rStyle w:val="InternetLink"/>
                  <w:rFonts w:ascii="Times New Roman;serif" w:hAnsi="Times New Roman;serif"/>
                  <w:b w:val="false"/>
                  <w:color w:val="0000EE"/>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76">
              <w:r>
                <w:rPr>
                  <w:rStyle w:val="InternetLink"/>
                  <w:rFonts w:ascii="Times New Roman;serif" w:hAnsi="Times New Roman;serif"/>
                  <w:b w:val="false"/>
                  <w:color w:val="0000EE"/>
                  <w:sz w:val="20"/>
                  <w:u w:val="single"/>
                </w:rPr>
                <w:t>32</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4a5a321c349a88cb320a342eb1010_109">
              <w:r>
                <w:rPr>
                  <w:rStyle w:val="InternetLink"/>
                  <w:rFonts w:ascii="Times New Roman;serif" w:hAnsi="Times New Roman;serif"/>
                  <w:b w:val="false"/>
                  <w:color w:val="0000EE"/>
                  <w:sz w:val="20"/>
                  <w:u w:val="single"/>
                </w:rPr>
                <w:t>Item 3.</w:t>
              </w:r>
            </w:hyperlink>
          </w:p>
        </w:tc>
        <w:tc>
          <w:tcPr>
            <w:tcW w:w="88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f4a5a321c349a88cb320a342eb1010_109">
              <w:r>
                <w:rPr>
                  <w:rStyle w:val="InternetLink"/>
                  <w:rFonts w:ascii="Times New Roman;serif" w:hAnsi="Times New Roman;serif"/>
                  <w:b w:val="false"/>
                  <w:color w:val="0000EE"/>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09">
              <w:r>
                <w:rPr>
                  <w:rStyle w:val="InternetLink"/>
                  <w:rFonts w:ascii="Times New Roman;serif" w:hAnsi="Times New Roman;serif"/>
                  <w:b w:val="false"/>
                  <w:color w:val="0000EE"/>
                  <w:sz w:val="20"/>
                  <w:u w:val="single"/>
                </w:rPr>
                <w:t>43</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12">
              <w:r>
                <w:rPr>
                  <w:rStyle w:val="InternetLink"/>
                  <w:rFonts w:ascii="Times New Roman;serif" w:hAnsi="Times New Roman;serif"/>
                  <w:b w:val="false"/>
                  <w:color w:val="0000EE"/>
                  <w:sz w:val="20"/>
                  <w:u w:val="single"/>
                </w:rPr>
                <w:t>Item 4.</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12">
              <w:r>
                <w:rPr>
                  <w:rStyle w:val="InternetLink"/>
                  <w:rFonts w:ascii="Times New Roman;serif" w:hAnsi="Times New Roman;serif"/>
                  <w:b w:val="false"/>
                  <w:color w:val="0000EE"/>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12">
              <w:r>
                <w:rPr>
                  <w:rStyle w:val="InternetLink"/>
                  <w:rFonts w:ascii="Times New Roman;serif" w:hAnsi="Times New Roman;serif"/>
                  <w:b w:val="false"/>
                  <w:color w:val="0000EE"/>
                  <w:sz w:val="20"/>
                  <w:u w:val="single"/>
                </w:rPr>
                <w:t>43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15">
              <w:r>
                <w:rPr>
                  <w:rStyle w:val="InternetLink"/>
                  <w:rFonts w:ascii="Times New Roman;serif" w:hAnsi="Times New Roman;serif"/>
                  <w:b/>
                  <w:strike w:val="false"/>
                  <w:dstrike w:val="false"/>
                  <w:color w:val="000000"/>
                  <w:sz w:val="20"/>
                  <w:u w:val="none"/>
                  <w:effect w:val="non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15">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18">
              <w:r>
                <w:rPr>
                  <w:rStyle w:val="InternetLink"/>
                  <w:rFonts w:ascii="Times New Roman;serif" w:hAnsi="Times New Roman;serif"/>
                  <w:b w:val="false"/>
                  <w:color w:val="0000EE"/>
                  <w:sz w:val="20"/>
                  <w:u w:val="single"/>
                </w:rPr>
                <w:t>Item 1.</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18">
              <w:r>
                <w:rPr>
                  <w:rStyle w:val="InternetLink"/>
                  <w:rFonts w:ascii="Times New Roman;serif" w:hAnsi="Times New Roman;serif"/>
                  <w:b w:val="false"/>
                  <w:color w:val="0000EE"/>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18">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1">
              <w:r>
                <w:rPr>
                  <w:rStyle w:val="InternetLink"/>
                  <w:rFonts w:ascii="Times New Roman;serif" w:hAnsi="Times New Roman;serif"/>
                  <w:b w:val="false"/>
                  <w:color w:val="0000EE"/>
                  <w:sz w:val="20"/>
                  <w:u w:val="single"/>
                </w:rPr>
                <w:t>Item 1A.</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1">
              <w:r>
                <w:rPr>
                  <w:rStyle w:val="InternetLink"/>
                  <w:rFonts w:ascii="Times New Roman;serif" w:hAnsi="Times New Roman;serif"/>
                  <w:b w:val="false"/>
                  <w:color w:val="0000EE"/>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21">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4">
              <w:r>
                <w:rPr>
                  <w:rStyle w:val="InternetLink"/>
                  <w:rFonts w:ascii="Times New Roman;serif" w:hAnsi="Times New Roman;serif"/>
                  <w:b w:val="false"/>
                  <w:color w:val="0000EE"/>
                  <w:sz w:val="20"/>
                  <w:u w:val="single"/>
                </w:rPr>
                <w:t>Item 2.</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4">
              <w:r>
                <w:rPr>
                  <w:rStyle w:val="InternetLink"/>
                  <w:rFonts w:ascii="Times New Roman;serif" w:hAnsi="Times New Roman;serif"/>
                  <w:b w:val="false"/>
                  <w:color w:val="0000EE"/>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24">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7">
              <w:r>
                <w:rPr>
                  <w:rStyle w:val="InternetLink"/>
                  <w:rFonts w:ascii="Times New Roman;serif" w:hAnsi="Times New Roman;serif"/>
                  <w:b w:val="false"/>
                  <w:color w:val="0000EE"/>
                  <w:sz w:val="20"/>
                  <w:u w:val="single"/>
                </w:rPr>
                <w:t>Item 3.</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27">
              <w:r>
                <w:rPr>
                  <w:rStyle w:val="InternetLink"/>
                  <w:rFonts w:ascii="Times New Roman;serif" w:hAnsi="Times New Roman;serif"/>
                  <w:b w:val="false"/>
                  <w:color w:val="0000EE"/>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27">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0">
              <w:r>
                <w:rPr>
                  <w:rStyle w:val="InternetLink"/>
                  <w:rFonts w:ascii="Times New Roman;serif" w:hAnsi="Times New Roman;serif"/>
                  <w:b w:val="false"/>
                  <w:color w:val="0000EE"/>
                  <w:sz w:val="20"/>
                  <w:u w:val="single"/>
                </w:rPr>
                <w:t>Item 4.</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0">
              <w:r>
                <w:rPr>
                  <w:rStyle w:val="InternetLink"/>
                  <w:rFonts w:ascii="Times New Roman;serif" w:hAnsi="Times New Roman;serif"/>
                  <w:b w:val="false"/>
                  <w:color w:val="0000EE"/>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30">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3">
              <w:r>
                <w:rPr>
                  <w:rStyle w:val="InternetLink"/>
                  <w:rFonts w:ascii="Times New Roman;serif" w:hAnsi="Times New Roman;serif"/>
                  <w:b w:val="false"/>
                  <w:color w:val="0000EE"/>
                  <w:sz w:val="20"/>
                  <w:u w:val="single"/>
                </w:rPr>
                <w:t>Item 5.</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3">
              <w:r>
                <w:rPr>
                  <w:rStyle w:val="InternetLink"/>
                  <w:rFonts w:ascii="Times New Roman;serif" w:hAnsi="Times New Roman;serif"/>
                  <w:b w:val="false"/>
                  <w:color w:val="0000EE"/>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33">
              <w:r>
                <w:rPr>
                  <w:rStyle w:val="InternetLink"/>
                  <w:rFonts w:ascii="Times New Roman;serif" w:hAnsi="Times New Roman;serif"/>
                  <w:b w:val="false"/>
                  <w:color w:val="0000EE"/>
                  <w:sz w:val="20"/>
                  <w:u w:val="single"/>
                </w:rPr>
                <w:t>46</w:t>
              </w:r>
            </w:hyperlink>
          </w:p>
        </w:tc>
      </w:tr>
      <w:tr>
        <w:trPr/>
        <w:tc>
          <w:tcPr>
            <w:tcW w:w="7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6">
              <w:r>
                <w:rPr>
                  <w:rStyle w:val="InternetLink"/>
                  <w:rFonts w:ascii="Times New Roman;serif" w:hAnsi="Times New Roman;serif"/>
                  <w:b w:val="false"/>
                  <w:color w:val="0000EE"/>
                  <w:sz w:val="20"/>
                  <w:u w:val="single"/>
                </w:rPr>
                <w:t>Item 6.</w:t>
              </w:r>
            </w:hyperlink>
          </w:p>
        </w:tc>
        <w:tc>
          <w:tcPr>
            <w:tcW w:w="88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6">
              <w:r>
                <w:rPr>
                  <w:rStyle w:val="InternetLink"/>
                  <w:rFonts w:ascii="Times New Roman;serif" w:hAnsi="Times New Roman;serif"/>
                  <w:b w:val="false"/>
                  <w:color w:val="0000EE"/>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36">
              <w:r>
                <w:rPr>
                  <w:rStyle w:val="InternetLink"/>
                  <w:rFonts w:ascii="Times New Roman;serif" w:hAnsi="Times New Roman;serif"/>
                  <w:b w:val="false"/>
                  <w:color w:val="0000EE"/>
                  <w:sz w:val="20"/>
                  <w:u w:val="single"/>
                </w:rPr>
                <w:t>47</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39f4a5a321c349a88cb320a342eb1010_139">
              <w:r>
                <w:rPr>
                  <w:rStyle w:val="InternetLink"/>
                  <w:rFonts w:ascii="Times New Roman;serif" w:hAnsi="Times New Roman;serif"/>
                  <w:b w:val="false"/>
                  <w:color w:val="0000EE"/>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39f4a5a321c349a88cb320a342eb1010_139">
              <w:r>
                <w:rPr>
                  <w:rStyle w:val="InternetLink"/>
                  <w:rFonts w:ascii="Times New Roman;serif" w:hAnsi="Times New Roman;serif"/>
                  <w:b w:val="false"/>
                  <w:color w:val="0000EE"/>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financial and business performance, including key business metrics and any underlying assumptions thereunder;</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market opportunity and our ability to acquire new clients and retain existing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expectations and timing related to commercial product launches;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success of our go-to-market strategy;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scale our business and expand our offerings;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competitive advantages and growth strategies;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future capital requirements and sources and uses of cash;</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obtain funding for our future operations;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impact of material weaknesses in our internal controls and our ability to remediate any such material weakness on the timing we anticipate, or at all;</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market reactions to or impacts resulting from the delisting of our Class A common stock and warrants from the Nasdaq Stock Market LLC and deregistration of our Class A common stock and warrants under Section 12(b) of the Exchange Act;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ability to maintain our listing on the OTC Markets Group Inc. (“OTC”);</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possibility that trading in our Class A common stock and warrants on the OTC may be significantly less liquid and/or have greater price volatility;</w:t>
      </w:r>
    </w:p>
    <w:p>
      <w:pPr>
        <w:pStyle w:val="TextBody"/>
        <w:bidi w:val="0"/>
        <w:spacing w:lineRule="auto" w:line="288" w:before="60" w:after="60"/>
        <w:ind w:left="0" w:right="0" w:hanging="360"/>
        <w:jc w:val="both"/>
        <w:rPr/>
      </w:pPr>
      <w:r>
        <w:rPr>
          <w:color w:val="000000"/>
          <w:shd w:fill="FFFFFF" w:val="clear"/>
        </w:rPr>
        <w:t>•</w:t>
      </w:r>
      <w:r>
        <w:rPr>
          <w:rFonts w:ascii="Times New Roman;serif" w:hAnsi="Times New Roman;serif"/>
          <w:b w:val="false"/>
          <w:color w:val="000000"/>
          <w:sz w:val="20"/>
        </w:rPr>
        <w:t xml:space="preserve">the outcome of any known and unknown litigation and regulatory proceedings;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changes in domestic and foreign business, market, financial, political and legal conditions;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 xml:space="preserve">the effect of macroeconomic conditions, including, but not limited to inflation, tariffs, public health crises, government shutdowns, uncertain credit and global financial markets, past and potential future disruptions in access to bank deposits or lending commitments due to bank failures; current and potential future geopolitical events and conflicts; and the occurrence of a catastrophic event, including but not limited to severe weather, war, or terrorist attack; </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future global, regional or local economic and market conditions affecting the cannabis industry;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development, effects and enforcement of and changes to laws and regulations, including with respect to the cannabis and hemp industries;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successfully capitalize on new and existing cannabis markets, including our ability to successfully monetize our solutions in those markets;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manage future growth;</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effectively anticipate and address changes in the end-user market in the cannabis industry;</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ability to develop new products and solutions, bring them to market in a timely manner and make enhancements to our platform and our ability to maintain and grow our two-sided marketplace, including our ability to acquire and retain paying clients;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effects of competition on our future business;</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our success in retaining or recruiting, or changes required in, officers, key employees or directors;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cyber-attacks and security vulnerabilities;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possibility that we may be adversely affected by other economic, business or competitive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this Quarterly Report on Form 10-Q and in our Annual Report on Form 10-K for the year ended December 31, 2025, filed with the SEC on March 12, 2026.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WHERE YOU CAN FIND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announce material information to the public through filings with the Securities and Exchange Commission (“SEC”), the investor relations page on our website, which is located at ir.weedmaps.com,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we post through these channels is not a part of this Quarterly Report on Form 10-Q. Any updates to the list of disclosure channels through which we will announce information will be posted on the investor relations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660"/>
        <w:gridCol w:w="2159"/>
        <w:gridCol w:w="2089"/>
        <w:gridCol w:w="109"/>
        <w:gridCol w:w="109"/>
        <w:gridCol w:w="109"/>
        <w:gridCol w:w="229"/>
        <w:gridCol w:w="899"/>
        <w:gridCol w:w="118"/>
        <w:gridCol w:w="109"/>
        <w:gridCol w:w="109"/>
        <w:gridCol w:w="109"/>
        <w:gridCol w:w="246"/>
        <w:gridCol w:w="966"/>
        <w:gridCol w:w="185"/>
      </w:tblGrid>
      <w:tr>
        <w:trPr/>
        <w:tc>
          <w:tcPr>
            <w:tcW w:w="266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21,562 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 $0.0001 par value; 75,000,000 shares authorized; no shares issued and outstanding at March 31,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 $0.0001 par value; 1,500,000,000 shares authorized; 111,187,614 shares issued and outstanding at March 31, 2026 and 109,990,343 shares issued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V Common Stock - $0.0001 par value; 500,000,000 shares authorized, 47,852,652 shares issued and outstanding at March 31, 2026 and 47,852,652 shares issued and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186,408 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190,667 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0143" w:type="dxa"/>
        <w:jc w:val="left"/>
        <w:tblInd w:w="0" w:type="dxa"/>
        <w:tblLayout w:type="fixed"/>
        <w:tblCellMar>
          <w:top w:w="28" w:type="dxa"/>
          <w:left w:w="28" w:type="dxa"/>
          <w:bottom w:w="28" w:type="dxa"/>
          <w:right w:w="28" w:type="dxa"/>
        </w:tblCellMar>
      </w:tblPr>
      <w:tblGrid>
        <w:gridCol w:w="2571"/>
        <w:gridCol w:w="2253"/>
        <w:gridCol w:w="2270"/>
        <w:gridCol w:w="268"/>
        <w:gridCol w:w="918"/>
        <w:gridCol w:w="125"/>
        <w:gridCol w:w="125"/>
        <w:gridCol w:w="125"/>
        <w:gridCol w:w="125"/>
        <w:gridCol w:w="268"/>
        <w:gridCol w:w="918"/>
        <w:gridCol w:w="177"/>
      </w:tblGrid>
      <w:tr>
        <w:trPr/>
        <w:tc>
          <w:tcPr>
            <w:tcW w:w="257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110,588,979 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104,041,260 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110,801,379 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106,991,698 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w:t>
      </w:r>
    </w:p>
    <w:tbl>
      <w:tblPr>
        <w:tblW w:w="8199" w:type="dxa"/>
        <w:jc w:val="center"/>
        <w:tblInd w:w="0" w:type="dxa"/>
        <w:tblLayout w:type="fixed"/>
        <w:tblCellMar>
          <w:top w:w="28" w:type="dxa"/>
          <w:left w:w="28" w:type="dxa"/>
          <w:bottom w:w="28" w:type="dxa"/>
          <w:right w:w="28" w:type="dxa"/>
        </w:tblCellMar>
      </w:tblPr>
      <w:tblGrid>
        <w:gridCol w:w="1943"/>
        <w:gridCol w:w="1703"/>
        <w:gridCol w:w="1723"/>
        <w:gridCol w:w="266"/>
        <w:gridCol w:w="778"/>
        <w:gridCol w:w="137"/>
        <w:gridCol w:w="137"/>
        <w:gridCol w:w="137"/>
        <w:gridCol w:w="137"/>
        <w:gridCol w:w="266"/>
        <w:gridCol w:w="778"/>
        <w:gridCol w:w="194"/>
      </w:tblGrid>
      <w:tr>
        <w:trPr/>
        <w:tc>
          <w:tcPr>
            <w:tcW w:w="194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net income attributable to WM Technology, Inc.</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 thousands, except for share data)</w:t>
      </w:r>
    </w:p>
    <w:tbl>
      <w:tblPr>
        <w:tblW w:w="13721" w:type="dxa"/>
        <w:jc w:val="center"/>
        <w:tblInd w:w="0" w:type="dxa"/>
        <w:tblLayout w:type="fixed"/>
        <w:tblCellMar>
          <w:top w:w="28" w:type="dxa"/>
          <w:left w:w="28" w:type="dxa"/>
          <w:bottom w:w="28" w:type="dxa"/>
          <w:right w:w="28" w:type="dxa"/>
        </w:tblCellMar>
      </w:tblPr>
      <w:tblGrid>
        <w:gridCol w:w="462"/>
        <w:gridCol w:w="354"/>
        <w:gridCol w:w="355"/>
        <w:gridCol w:w="334"/>
        <w:gridCol w:w="334"/>
        <w:gridCol w:w="338"/>
        <w:gridCol w:w="196"/>
        <w:gridCol w:w="331"/>
        <w:gridCol w:w="109"/>
        <w:gridCol w:w="109"/>
        <w:gridCol w:w="109"/>
        <w:gridCol w:w="109"/>
        <w:gridCol w:w="304"/>
        <w:gridCol w:w="304"/>
        <w:gridCol w:w="308"/>
        <w:gridCol w:w="196"/>
        <w:gridCol w:w="241"/>
        <w:gridCol w:w="109"/>
        <w:gridCol w:w="109"/>
        <w:gridCol w:w="109"/>
        <w:gridCol w:w="109"/>
        <w:gridCol w:w="196"/>
        <w:gridCol w:w="736"/>
        <w:gridCol w:w="109"/>
        <w:gridCol w:w="109"/>
        <w:gridCol w:w="109"/>
        <w:gridCol w:w="109"/>
        <w:gridCol w:w="335"/>
        <w:gridCol w:w="694"/>
        <w:gridCol w:w="187"/>
        <w:gridCol w:w="203"/>
        <w:gridCol w:w="203"/>
        <w:gridCol w:w="109"/>
        <w:gridCol w:w="213"/>
        <w:gridCol w:w="719"/>
        <w:gridCol w:w="119"/>
        <w:gridCol w:w="109"/>
        <w:gridCol w:w="109"/>
        <w:gridCol w:w="109"/>
        <w:gridCol w:w="225"/>
        <w:gridCol w:w="744"/>
        <w:gridCol w:w="127"/>
        <w:gridCol w:w="109"/>
        <w:gridCol w:w="109"/>
        <w:gridCol w:w="109"/>
        <w:gridCol w:w="259"/>
        <w:gridCol w:w="856"/>
        <w:gridCol w:w="146"/>
        <w:gridCol w:w="109"/>
        <w:gridCol w:w="109"/>
        <w:gridCol w:w="109"/>
        <w:gridCol w:w="109"/>
        <w:gridCol w:w="109"/>
        <w:gridCol w:w="196"/>
        <w:gridCol w:w="73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7" w:type="dxa"/>
            <w:gridSpan w:val="4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109,990,343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47,852,652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1,197,271</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March 31, 2026</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111,187,614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47,852,652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(53,746)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59,685 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75,148 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3819" w:type="dxa"/>
        <w:jc w:val="center"/>
        <w:tblInd w:w="0" w:type="dxa"/>
        <w:tblLayout w:type="fixed"/>
        <w:tblCellMar>
          <w:top w:w="28" w:type="dxa"/>
          <w:left w:w="28" w:type="dxa"/>
          <w:bottom w:w="28" w:type="dxa"/>
          <w:right w:w="28" w:type="dxa"/>
        </w:tblCellMar>
      </w:tblPr>
      <w:tblGrid>
        <w:gridCol w:w="507"/>
        <w:gridCol w:w="354"/>
        <w:gridCol w:w="355"/>
        <w:gridCol w:w="333"/>
        <w:gridCol w:w="333"/>
        <w:gridCol w:w="340"/>
        <w:gridCol w:w="196"/>
        <w:gridCol w:w="331"/>
        <w:gridCol w:w="109"/>
        <w:gridCol w:w="109"/>
        <w:gridCol w:w="109"/>
        <w:gridCol w:w="109"/>
        <w:gridCol w:w="480"/>
        <w:gridCol w:w="481"/>
        <w:gridCol w:w="196"/>
        <w:gridCol w:w="196"/>
        <w:gridCol w:w="241"/>
        <w:gridCol w:w="109"/>
        <w:gridCol w:w="109"/>
        <w:gridCol w:w="109"/>
        <w:gridCol w:w="109"/>
        <w:gridCol w:w="196"/>
        <w:gridCol w:w="736"/>
        <w:gridCol w:w="109"/>
        <w:gridCol w:w="109"/>
        <w:gridCol w:w="109"/>
        <w:gridCol w:w="109"/>
        <w:gridCol w:w="335"/>
        <w:gridCol w:w="694"/>
        <w:gridCol w:w="187"/>
        <w:gridCol w:w="109"/>
        <w:gridCol w:w="109"/>
        <w:gridCol w:w="109"/>
        <w:gridCol w:w="213"/>
        <w:gridCol w:w="719"/>
        <w:gridCol w:w="119"/>
        <w:gridCol w:w="109"/>
        <w:gridCol w:w="109"/>
        <w:gridCol w:w="109"/>
        <w:gridCol w:w="225"/>
        <w:gridCol w:w="744"/>
        <w:gridCol w:w="127"/>
        <w:gridCol w:w="109"/>
        <w:gridCol w:w="109"/>
        <w:gridCol w:w="109"/>
        <w:gridCol w:w="259"/>
        <w:gridCol w:w="856"/>
        <w:gridCol w:w="146"/>
        <w:gridCol w:w="109"/>
        <w:gridCol w:w="109"/>
        <w:gridCol w:w="109"/>
        <w:gridCol w:w="109"/>
        <w:gridCol w:w="109"/>
        <w:gridCol w:w="196"/>
        <w:gridCol w:w="736"/>
        <w:gridCol w:w="154"/>
      </w:tblGrid>
      <w:tr>
        <w:trPr/>
        <w:tc>
          <w:tcPr>
            <w:tcW w:w="5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0" w:type="dxa"/>
            <w:gridSpan w:val="47"/>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xml:space="preserve">As of December 31, 2024 </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99,033,110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54,319,542 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vesting of restricted stock units, net of shares withheld for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711,646</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Class A Unit exchange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 Class P Unit exchange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309,010</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As of March 31,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105,053,766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49,319,542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48,465 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75,251 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084" w:type="dxa"/>
        <w:jc w:val="center"/>
        <w:tblInd w:w="0" w:type="dxa"/>
        <w:tblLayout w:type="fixed"/>
        <w:tblCellMar>
          <w:top w:w="28" w:type="dxa"/>
          <w:left w:w="28" w:type="dxa"/>
          <w:bottom w:w="28" w:type="dxa"/>
          <w:right w:w="28" w:type="dxa"/>
        </w:tblCellMar>
      </w:tblPr>
      <w:tblGrid>
        <w:gridCol w:w="2341"/>
        <w:gridCol w:w="2054"/>
        <w:gridCol w:w="2070"/>
        <w:gridCol w:w="226"/>
        <w:gridCol w:w="745"/>
        <w:gridCol w:w="125"/>
        <w:gridCol w:w="125"/>
        <w:gridCol w:w="125"/>
        <w:gridCol w:w="125"/>
        <w:gridCol w:w="226"/>
        <w:gridCol w:w="745"/>
        <w:gridCol w:w="177"/>
      </w:tblGrid>
      <w:tr>
        <w:trPr/>
        <w:tc>
          <w:tcPr>
            <w:tcW w:w="2341"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tax receivable agreement liability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lease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domain name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contingency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reconciling items included in net income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used in investing activities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expenditures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domain name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used in financing activities</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 of related party note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payment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29" w:type="dxa"/>
        <w:jc w:val="center"/>
        <w:tblInd w:w="0" w:type="dxa"/>
        <w:tblLayout w:type="fixed"/>
        <w:tblCellMar>
          <w:top w:w="28" w:type="dxa"/>
          <w:left w:w="28" w:type="dxa"/>
          <w:bottom w:w="28" w:type="dxa"/>
          <w:right w:w="28" w:type="dxa"/>
        </w:tblCellMar>
      </w:tblPr>
      <w:tblGrid>
        <w:gridCol w:w="1996"/>
        <w:gridCol w:w="1750"/>
        <w:gridCol w:w="1759"/>
        <w:gridCol w:w="196"/>
        <w:gridCol w:w="421"/>
        <w:gridCol w:w="109"/>
        <w:gridCol w:w="109"/>
        <w:gridCol w:w="109"/>
        <w:gridCol w:w="109"/>
        <w:gridCol w:w="196"/>
        <w:gridCol w:w="421"/>
        <w:gridCol w:w="154"/>
      </w:tblGrid>
      <w:tr>
        <w:trPr/>
        <w:tc>
          <w:tcPr>
            <w:tcW w:w="199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8" w:type="dxa"/>
            <w:gridSpan w:val="6"/>
            <w:tcBorders/>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capitalized for software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assets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50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0"/>
        <w:jc w:val="both"/>
        <w:rPr/>
      </w:pPr>
      <w:r>
        <w:rPr/>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Business and Organization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base makes the Weedmaps marketplace highly valuable to its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Weedmaps for Business, the Company’s SaaS offering, is a comprehensive set of eCommerce and compliance software solutions catered towards cannabis retailers, delivery services and brands that streamline front and back-end operations and help manage compliance needs. With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On the Closing Date, and in connection with the closing of the Business Combination (the “Closing”), Silver Spike was domesticated and continues as a Delaware corporation, changing its name to WM Technology,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2025, filed with the SEC on March 12, 2026. The condensed consolidated financial statements of the Company include all adjustments of a normal recurring nature which, in the opinion of management, are necessary for a fair statement of the Company’s financial position as of March 31, 2026, and results of its operations and its cash flows for the interim periods presented. Certain prior period amounts have been reclassified to conform to the current period presentation. The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operations for the three months ended March 31, 2026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Statements of Operations Reclassification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Beginning on January 1, 2026, the Company reclassified certain employee and non-employee related expenses to align the financial statements with the Company’s current management of its operations. These expenses were reclassified from General and Administrative expenses to Product Development and Sales and Marketing expenses. Certain prior year balances have been reclassified in order to conform to current year presentation. These reclassifications have no impact on operating income, net income or shareholders’ equity as previously reported.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2026 and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estimates made by management include, among others, the allowance for credit losses, loss contingencies,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performance and stock-based compensation and the recognition and disclosure of contingent liabilities.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operates in a relatively new industry where laws and regulations vary significantly by jurisdiction. Currently, forty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two states continue to prohibit cannabis entirely. However, in 2025, at least three ballot initiatives (Arizona, Massachusetts and Maine) were introduced to repeal all or some portion of each state’s laws permitting adult use sales, and Florida’s Attorney General has thus far successfully precluded adult</w:t>
        <w:noBreakHyphen/>
        <w:t>use legalization from being placed on the 2026 ballot. Additionally, while a number of U.S. legislators have introduced various bills to legalize cannabis at the federal level, none of these bills has become law. On April 23, 2026, the U.S. Department of Justice issued a final rule rescheduling marijuana contained in FDA-approved drug products and marijuana subject to a state medical marijuana license from Schedule I to Schedule III of the Controlled Substances Act (“CSA”). However, any form of marijuana other than in an FDA-approved drug product or marijuana subject to a state medical marijuana license remains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pStyle w:val="TextBody"/>
        <w:bidi w:val="0"/>
        <w:spacing w:lineRule="auto" w:line="288" w:before="120" w:after="283"/>
        <w:jc w:val="both"/>
        <w:rPr/>
      </w:pPr>
      <w:r>
        <w:rPr>
          <w:rFonts w:ascii="Times New Roman;serif" w:hAnsi="Times New Roman;serif"/>
          <w:b w:val="false"/>
          <w:color w:val="000000"/>
          <w:sz w:val="20"/>
        </w:rPr>
        <w:t>The geographic concentration of the Company’s clients makes the Company vulnerable to a downturn in the local markets. Historically, the Company’s business operations have been located primarily in the State of California. See Note 3, “</w:t>
      </w:r>
      <w:r>
        <w:rPr>
          <w:rFonts w:ascii="Times New Roman;serif" w:hAnsi="Times New Roman;serif"/>
          <w:b w:val="false"/>
          <w:color w:val="000000"/>
          <w:sz w:val="20"/>
          <w:shd w:fill="FFFFFF" w:val="clear"/>
        </w:rPr>
        <w:t>Revenue from Contracts with Customers</w:t>
      </w:r>
      <w:r>
        <w:rPr>
          <w:rFonts w:ascii="Times New Roman;serif" w:hAnsi="Times New Roman;serif"/>
          <w:b w:val="false"/>
          <w:color w:val="000000"/>
          <w:sz w:val="20"/>
        </w:rPr>
        <w:t>,”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both"/>
        <w:rPr/>
      </w:pPr>
      <w:r>
        <w:rPr>
          <w:rFonts w:ascii="Times New Roman;serif" w:hAnsi="Times New Roman;serif"/>
          <w:b w:val="false"/>
          <w:color w:val="000000"/>
          <w:sz w:val="20"/>
        </w:rPr>
        <w:t>The Company follows the guidance in Accounting Standards Codification (“ASC”)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 See Note 6, “Fair Value Measurements”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consist of cash and highly liquid investments that are readily convertible into cash and have original maturities of three months or less at the date of purchase. The Company had cash equivalents of $8.6 million and $10.0 million as of March 31, 2026 and December 31, 2025, respectively. See “Investments,” below for further discussion.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120"/>
        <w:jc w:val="both"/>
        <w:rPr/>
      </w:pPr>
      <w:r>
        <w:rPr>
          <w:rFonts w:ascii="Times New Roman;serif" w:hAnsi="Times New Roman;serif"/>
          <w:b w:val="false"/>
          <w:color w:val="000000"/>
          <w:sz w:val="20"/>
        </w:rPr>
        <w:t>A receivable is recorded when an unconditional right to invoice and receive payment exists. Accounts receivable represents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Account balances are written off against the allowance when it is determined that it is probable that the receivable will not be recovered. The Company had allowance for credit losses of $7.0 million and $4.2 million as of March 31, 2026 and December 31, 2025, respectively. The increase in the allowance was primarily driven by the aging of general customer receivables and higher credit loss estimates for certain customers. During the quarter, a portion of our accounts receivable portfolio experienced an increase in days sales outstanding, resulting in higher aging buckets for these customers impacting a higher allowance for credit losses. The Company continues to pursue a disciplined approach to accounts receivable management, including increased focus on payment plans and collection efforts. While the Company continues to support clients through a difficult operating environment, the Company also seeks to take appropriate action where payment behavior no longer supports continued service.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no customer accounted for more than 10% of the total gross accounts receivable outstanding.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allowance for credit losses:</w:t>
      </w:r>
    </w:p>
    <w:tbl>
      <w:tblPr>
        <w:tblW w:w="5639" w:type="dxa"/>
        <w:jc w:val="left"/>
        <w:tblInd w:w="0" w:type="dxa"/>
        <w:tblLayout w:type="fixed"/>
        <w:tblCellMar>
          <w:top w:w="28" w:type="dxa"/>
          <w:left w:w="28" w:type="dxa"/>
          <w:bottom w:w="28" w:type="dxa"/>
          <w:right w:w="28" w:type="dxa"/>
        </w:tblCellMar>
      </w:tblPr>
      <w:tblGrid>
        <w:gridCol w:w="977"/>
        <w:gridCol w:w="860"/>
        <w:gridCol w:w="862"/>
        <w:gridCol w:w="267"/>
        <w:gridCol w:w="781"/>
        <w:gridCol w:w="138"/>
        <w:gridCol w:w="138"/>
        <w:gridCol w:w="138"/>
        <w:gridCol w:w="138"/>
        <w:gridCol w:w="267"/>
        <w:gridCol w:w="781"/>
        <w:gridCol w:w="138"/>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beginning of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net of recoveries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end of period</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Investments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Investments in debt securities are primarily comprised of U.S. Treasury Bills, highly rated corporate bonds and municipal bonds and are classified as available-for-sale investment securities. Investments in U.S. Treasury Bills had maturities less than 90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as such are classified as cash and cash equivalents on the condensed consolidated balance sheet. Investments in corporate bonds and municipal bonds had maturity dates ranging from less than two months to approximately 29 months. The Company may sell these securities at any time for use in current operations even if they have not yet reached maturity. The Company invests in a diversified portfolio of debt securities and limits the concentration of its investment in any particular security. </w:t>
      </w:r>
    </w:p>
    <w:p>
      <w:pPr>
        <w:pStyle w:val="TextBody"/>
        <w:bidi w:val="0"/>
        <w:spacing w:lineRule="auto" w:line="288" w:before="120" w:after="283"/>
        <w:jc w:val="both"/>
        <w:rPr/>
      </w:pPr>
      <w:r>
        <w:rPr>
          <w:rFonts w:ascii="Times New Roman;serif" w:hAnsi="Times New Roman;serif"/>
          <w:b w:val="false"/>
          <w:color w:val="000000"/>
          <w:sz w:val="20"/>
        </w:rPr>
        <w:t>The Company reports available-for-sale investments at fair value as of each balance sheet date in accordance with ASC 320, “</w:t>
      </w:r>
      <w:r>
        <w:rPr>
          <w:rFonts w:ascii="Times New Roman;serif" w:hAnsi="Times New Roman;serif"/>
          <w:b w:val="false"/>
          <w:i/>
          <w:color w:val="000000"/>
          <w:sz w:val="20"/>
        </w:rPr>
        <w:t>Investments – Debt Securities</w:t>
      </w:r>
      <w:r>
        <w:rPr>
          <w:color w:val="000000"/>
        </w:rPr>
        <w:t xml:space="preserve">” </w:t>
      </w:r>
      <w:r>
        <w:rPr>
          <w:rFonts w:ascii="Times New Roman;serif" w:hAnsi="Times New Roman;serif"/>
          <w:b w:val="false"/>
          <w:color w:val="000000"/>
          <w:sz w:val="20"/>
        </w:rPr>
        <w:t>and records any unrealized gains or losses in accumulated other comprehensive income as a component of stockholders’ equity. The cost of securities sold is determined on a specific identification basis and realized gains and losses upon disposition are included in other income (expense) within the condensed consolidated statements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realized losses are recognized when the Company determines that a decline in value is other than temporary, which requires judgment regarding the amount and timing of recovery. For investments that are classified as available-for-sale securities, the Company also considers the extent to which cost exceeds fair value, the duration of that difference, management’s judgment about the issuer’s current and prospective financial condition, as well as the Company’s intent and ability to hold the security until recovery of the unrealized losses.</w:t>
      </w:r>
    </w:p>
    <w:p>
      <w:pPr>
        <w:pStyle w:val="TextBody"/>
        <w:bidi w:val="0"/>
        <w:spacing w:lineRule="auto" w:line="288" w:before="120" w:after="120"/>
        <w:jc w:val="both"/>
        <w:rPr/>
      </w:pPr>
      <w:r>
        <w:rPr>
          <w:rFonts w:ascii="Times New Roman;serif" w:hAnsi="Times New Roman;serif"/>
          <w:b w:val="false"/>
          <w:color w:val="000000"/>
          <w:sz w:val="20"/>
        </w:rPr>
        <w:t>Fair value of available-for-sale investment securities are generally obtained from third party pricing sources using quoted market prices to determine fair value</w:t>
      </w:r>
      <w:r>
        <w:rPr>
          <w:rFonts w:ascii="Times New Roman;serif" w:hAnsi="Times New Roman;serif"/>
          <w:b w:val="false"/>
          <w:color w:val="000000"/>
          <w:sz w:val="20"/>
          <w:shd w:fill="FFFFFF" w:val="clear"/>
        </w:rPr>
        <w:t xml:space="preserv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w:t>
      </w:r>
      <w:r>
        <w:rPr>
          <w:rFonts w:ascii="Times New Roman;serif" w:hAnsi="Times New Roman;serif"/>
          <w:b w:val="false"/>
          <w:color w:val="000000"/>
          <w:sz w:val="20"/>
        </w:rPr>
        <w:t>Pricing models generally do not entail material subjectivity because the methodologies employed use inputs observed from active markets. See Note 6, “Fair Value Measurements” to these condensed consolidated financial statements for additional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Securities</w:t>
      </w:r>
    </w:p>
    <w:p>
      <w:pPr>
        <w:pStyle w:val="TextBody"/>
        <w:bidi w:val="0"/>
        <w:spacing w:lineRule="auto" w:line="288" w:before="120" w:after="283"/>
        <w:jc w:val="both"/>
        <w:rPr/>
      </w:pPr>
      <w:r>
        <w:rPr>
          <w:rFonts w:ascii="Times New Roman;serif" w:hAnsi="Times New Roman;serif"/>
          <w:b w:val="false"/>
          <w:color w:val="000000"/>
          <w:sz w:val="20"/>
        </w:rPr>
        <w:t>Investments in equity securities that do not have a readily determinable fair value and qualify for the measurement alternative for equity investments provided in ASC 321,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rPr>
        <w:t>are accounted for at cost, less any impairment, plus or minus changes resulting from observable price changes in orderly transactions for an identical or similar investment of the same issuer. As of March 31, 2026 and December 31, 2025, the carrying value of the Company’s investments in equity securities without a readily determinable fair value were nil.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 to investments in equity securities were recorded for the three months ended March 31, 2026 and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are carried at cost, less accumulated depreciation, amortization and asset impairment charges, and consist of internally developed software, computer equipment, motor vehicle,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assesses impairment of property and equipment when an event or change in circumstance indicates that the carrying value of such assets may not be recoverable. If an event and/or a change in circumstance indicates that the carrying amount of an asset (or asset group) may not be recoverable and the expected undiscounted cash flows attributable to the asset are less than its carrying value, an impairment loss equal to the excess of the asset’s carrying value over its fair value is recognized. No impairments to property and equipment were recorded during the three months ended March 31, 2026 and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Capitalized Software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website and internal-use software development costs are included in property and equipment in the accompanying consolidated balance sheets. The Company capitalizes certain costs related to the development and enhancement of the Weedmaps platform and SaaS solutions when (i) the preliminary development project stage is completed, (ii) management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w:t>
      </w:r>
    </w:p>
    <w:p>
      <w:pPr>
        <w:pStyle w:val="TextBody"/>
        <w:bidi w:val="0"/>
        <w:spacing w:lineRule="auto" w:line="288" w:before="120" w:after="120"/>
        <w:jc w:val="both"/>
        <w:rPr/>
      </w:pPr>
      <w:r>
        <w:rPr>
          <w:rFonts w:ascii="Times New Roman;serif" w:hAnsi="Times New Roman;serif"/>
          <w:b w:val="false"/>
          <w:color w:val="000000"/>
          <w:sz w:val="20"/>
        </w:rPr>
        <w:t xml:space="preserve">As of March 31, 2026 and December 31, 2025, the Company has $24.8 million and $24.2 million in capitalized software costs, net, respectively which are recorded within property and equipment, net on the Company’s condensed consolidated balance sheets. For the three months ended March 31, 2026 and 2025, the Company amortized $2.9 million and $3.0 million, respectively, of internal-use software development costs included in depreciation and amortization expense </w:t>
      </w:r>
      <w:r>
        <w:rPr>
          <w:rFonts w:ascii="Times New Roman;serif" w:hAnsi="Times New Roman;serif"/>
          <w:b w:val="false"/>
          <w:color w:val="000000"/>
          <w:sz w:val="20"/>
          <w:shd w:fill="FFFFFF" w:val="clear"/>
        </w:rPr>
        <w:t xml:space="preserve">in the accompanying condensed consolidated statements of operations.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the fair value of the reporting unit is estimated using a discounted cash flow valuation which incorporates assumptions regarding long-term growth rates, revenue and earnings projections, estimation of cash flows, discount rates and other factors. Changes in these inputs could materially affect the results of the impairment review. If the carrying value of the reporting unit exceeds its fair value, an impairment loss equal to the difference will be recorded. No goodwill impairment charges were recorded for the three months ended March 31, 2026 and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No intangible asset impairment charges have been recorded for the three months ended March 31, 2026 and 2025. See Note 7, “Intangible Assets,” to these condensed consolidated financial statements for additional information.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operating leases consist of office space located primarily in the United States. The Company does not have any leases classified as financing leases. </w:t>
      </w:r>
      <w:r>
        <w:rPr>
          <w:rFonts w:ascii="Times New Roman;serif" w:hAnsi="Times New Roman;serif"/>
          <w:b w:val="false"/>
          <w:color w:val="000000"/>
          <w:sz w:val="20"/>
        </w:rPr>
        <w:t>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pStyle w:val="TextBody"/>
        <w:bidi w:val="0"/>
        <w:spacing w:lineRule="auto" w:line="288" w:before="120" w:after="283"/>
        <w:jc w:val="both"/>
        <w:rPr/>
      </w:pPr>
      <w:r>
        <w:rPr>
          <w:rFonts w:ascii="Times New Roman;serif" w:hAnsi="Times New Roman;serif"/>
          <w:b w:val="false"/>
          <w:color w:val="000000"/>
          <w:sz w:val="20"/>
        </w:rPr>
        <w:t>In calculating the right-of-use asset and lease liability, the Company elects to combine lease and non-lease components for all classes of assets. The Company excludes short-term leases having initial terms of 12 months or less as provided u</w:t>
      </w:r>
      <w:r>
        <w:rPr>
          <w:rFonts w:ascii="Times New Roman;serif" w:hAnsi="Times New Roman;serif"/>
          <w:b w:val="false"/>
          <w:color w:val="000000"/>
          <w:sz w:val="20"/>
          <w:shd w:fill="FFFFFF" w:val="clear"/>
        </w:rPr>
        <w:t>nder ASC 842, “</w:t>
      </w:r>
      <w:r>
        <w:rPr>
          <w:rFonts w:ascii="Times New Roman;serif" w:hAnsi="Times New Roman;serif"/>
          <w:b w:val="false"/>
          <w:i/>
          <w:color w:val="000000"/>
          <w:sz w:val="20"/>
          <w:shd w:fill="FFFFFF" w:val="clear"/>
        </w:rPr>
        <w:t>Leases,”</w:t>
      </w:r>
      <w:r>
        <w:rPr>
          <w:color w:val="000000"/>
        </w:rPr>
        <w:t xml:space="preserve"> </w:t>
      </w:r>
      <w:r>
        <w:rPr>
          <w:rFonts w:ascii="Times New Roman;serif" w:hAnsi="Times New Roman;serif"/>
          <w:b w:val="false"/>
          <w:color w:val="000000"/>
          <w:sz w:val="20"/>
        </w:rPr>
        <w:t>as an accounting policy election, and instead recognizes rent expense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impairment of ROU assets when an event or change in circumstance indicates that the carrying value of such ROU assets may not be recoverable. If an event and/or a change in circumstance indicates that the carrying value of an ROU asset may not be recoverable and the estimated fair value attributable to the ROU asset is less than its carrying value, an impairment loss equal to the excess of the ROU asset’s carrying value over its fair value is recognized.</w:t>
      </w:r>
    </w:p>
    <w:p>
      <w:pPr>
        <w:pStyle w:val="TextBody"/>
        <w:bidi w:val="0"/>
        <w:spacing w:lineRule="auto" w:line="288" w:before="120" w:after="120"/>
        <w:jc w:val="both"/>
        <w:rPr/>
      </w:pPr>
      <w:r>
        <w:rPr>
          <w:rFonts w:ascii="Times New Roman;serif" w:hAnsi="Times New Roman;serif"/>
          <w:b w:val="false"/>
          <w:color w:val="000000"/>
          <w:sz w:val="20"/>
        </w:rPr>
        <w:t xml:space="preserve">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w:t>
      </w:r>
      <w:r>
        <w:rPr>
          <w:rFonts w:ascii="Times New Roman;serif" w:hAnsi="Times New Roman;serif"/>
          <w:b w:val="false"/>
          <w:color w:val="000000"/>
          <w:sz w:val="20"/>
          <w:shd w:fill="FFFFFF" w:val="clear"/>
        </w:rPr>
        <w:t>Net rent expense f</w:t>
      </w:r>
      <w:r>
        <w:rPr>
          <w:rFonts w:ascii="Times New Roman;serif" w:hAnsi="Times New Roman;serif"/>
          <w:b w:val="false"/>
          <w:color w:val="000000"/>
          <w:sz w:val="20"/>
        </w:rPr>
        <w:t>or the three months ended March 31, 2026 and 2025 was $1.9 million and $1.9 million, respectively and is incl</w:t>
      </w:r>
      <w:r>
        <w:rPr>
          <w:rFonts w:ascii="Times New Roman;serif" w:hAnsi="Times New Roman;serif"/>
          <w:b w:val="false"/>
          <w:color w:val="000000"/>
          <w:sz w:val="20"/>
          <w:shd w:fill="FFFFFF" w:val="clear"/>
        </w:rPr>
        <w:t xml:space="preserve">uded in general and administrative expense in the accompanying condensed consolidated statements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rental income is recognized as a reduction to the related lease expense on a straight-line basis over the sublease term. For the three months ended March 31, 2026 and 2025, the Company recorded rent income related to a sublease of nil and $0.2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Warrant Liability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2026,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pStyle w:val="TextBody"/>
        <w:bidi w:val="0"/>
        <w:spacing w:lineRule="auto" w:line="288" w:before="120" w:after="120"/>
        <w:jc w:val="both"/>
        <w:rPr/>
      </w:pPr>
      <w:r>
        <w:rPr>
          <w:rFonts w:ascii="Times New Roman;serif" w:hAnsi="Times New Roman;serif"/>
          <w:b w:val="false"/>
          <w:color w:val="000000"/>
          <w:sz w:val="20"/>
        </w:rPr>
        <w:t>The Company evaluated the Warrants under ASC 815-40</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i/>
          <w:color w:val="000000"/>
          <w:sz w:val="20"/>
        </w:rPr>
        <w:t>Derivatives and Hedging - Contracts in Entity’s Own Equity</w:t>
      </w:r>
      <w:r>
        <w:rPr>
          <w:rFonts w:ascii="Times New Roman;serif" w:hAnsi="Times New Roman;serif"/>
          <w:b w:val="false"/>
          <w:color w:val="000000"/>
          <w:sz w:val="20"/>
        </w:rPr>
        <w:t>, and concluded they do not meet the criteria to be classified in stockholders’ equity. Specifically, the exercise of the Warrants may be settled in cash upon the occurrence of a tender offer or exchange that involves 50% or more of the Company’s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10, “Warrant Liability,” to these condensed consolidated financial statements for additional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the Company entered into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pPr>
      <w:r>
        <w:rPr>
          <w:rFonts w:ascii="Times New Roman;serif" w:hAnsi="Times New Roman;serif"/>
          <w:b w:val="false"/>
          <w:color w:val="000000"/>
          <w:sz w:val="20"/>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condensed consolidated statements of operations. As of March 31, 2026 and December 31, 2025, the TRA liability was nil and $2.7 million, respectively. For the three months ended March 31, 2026 and 2025, the Company recognized a loss of nil and $0.5 million, respectively, related to the remeasurement of the TRA liability. See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below for information related to the Company’s allowance against its net deferred tax assets.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jc w:val="both"/>
        <w:rPr/>
      </w:pPr>
      <w:r>
        <w:rPr>
          <w:rFonts w:ascii="Times New Roman;serif" w:hAnsi="Times New Roman;serif"/>
          <w:b w:val="false"/>
          <w:color w:val="000000"/>
          <w:sz w:val="20"/>
        </w:rPr>
        <w:t>The Company recognizes revenue when the fundamental criteria for revenue recognition are met. In accord</w:t>
      </w:r>
      <w:r>
        <w:rPr>
          <w:rFonts w:ascii="Times New Roman;serif" w:hAnsi="Times New Roman;serif"/>
          <w:b w:val="false"/>
          <w:color w:val="000000"/>
          <w:sz w:val="20"/>
          <w:shd w:fill="FFFFFF" w:val="clear"/>
        </w:rPr>
        <w:t xml:space="preserve">ance with ASC Topic 606, </w:t>
      </w:r>
      <w:r>
        <w:rPr>
          <w:color w:val="000000"/>
          <w:shd w:fill="FFFFFF" w:val="clear"/>
        </w:rPr>
        <w:t>“</w:t>
      </w:r>
      <w:r>
        <w:rPr>
          <w:rFonts w:ascii="Times New Roman;serif" w:hAnsi="Times New Roman;serif"/>
          <w:b w:val="false"/>
          <w:i/>
          <w:color w:val="000000"/>
          <w:sz w:val="20"/>
          <w:shd w:fill="FFFFFF" w:val="clear"/>
        </w:rPr>
        <w:t>Revenue from Contracts with Customers,</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w:t>
      </w:r>
      <w:r>
        <w:rPr>
          <w:rFonts w:ascii="Times New Roman;serif" w:hAnsi="Times New Roman;serif"/>
          <w:b w:val="false"/>
          <w:color w:val="000000"/>
          <w:sz w:val="20"/>
          <w:shd w:fill="FFFFFF" w:val="clear"/>
        </w:rPr>
        <w:t>. The Company’s contract with customers do not contain general rights of return. However, adjustments to the standard pricing may occur for selected customers on a case-by-case basis. Revenue reflects the transaction price, including any adjustments, that the Company expects to receive for such goods and services. Transaction price adjustments are primarily related to the Company’s Together for Equity Access and Legislation program, through which the Company provides free software, advertising, educational materials and training programs to applicants or licenses under social equity licensing programs. The Company provides these transaction price adjustments to license holders who were awarded special status by the state based on owner qualifications. Special status is typically given in new markets to add more diversity and inclusion in the cannabis space. A license’s social equity status is validated by the Company on the applicable state’s website. For</w:t>
      </w:r>
      <w:r>
        <w:rPr>
          <w:color w:val="000000"/>
        </w:rPr>
        <w:t xml:space="preserve"> </w:t>
      </w:r>
      <w:r>
        <w:rPr>
          <w:rFonts w:ascii="Times New Roman;serif" w:hAnsi="Times New Roman;serif"/>
          <w:b w:val="false"/>
          <w:color w:val="000000"/>
          <w:sz w:val="20"/>
        </w:rPr>
        <w:t>the three months ended March 31, 2026 and 2025, total</w:t>
      </w:r>
      <w:r>
        <w:rPr>
          <w:color w:val="000000"/>
          <w:shd w:fill="FFFFFF" w:val="clear"/>
        </w:rPr>
        <w:t xml:space="preserve"> </w:t>
      </w:r>
      <w:r>
        <w:rPr>
          <w:rFonts w:ascii="Times New Roman;serif" w:hAnsi="Times New Roman;serif"/>
          <w:b w:val="false"/>
          <w:color w:val="000000"/>
          <w:sz w:val="20"/>
          <w:shd w:fill="FFFFFF" w:val="clear"/>
        </w:rPr>
        <w:t>transaction price adjustments</w:t>
      </w:r>
      <w:r>
        <w:rPr>
          <w:color w:val="000000"/>
        </w:rPr>
        <w:t xml:space="preserve"> </w:t>
      </w:r>
      <w:r>
        <w:rPr>
          <w:rFonts w:ascii="Times New Roman;serif" w:hAnsi="Times New Roman;serif"/>
          <w:b w:val="false"/>
          <w:color w:val="000000"/>
          <w:sz w:val="20"/>
        </w:rPr>
        <w:t xml:space="preserve">issued was $1.8 million and $1.8 million, respectively.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clients that pay in advance for listing and other services, the Company records deferred revenue and recognizes revenue over the applicable subscription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primarily from monthly subscriptions to Weedmaps for Business, Featured Listing and WM Deal products and other WM Ad solutions. The Company’s Weedmaps for Business subscriptions generally have one-month terms that automatically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cost of revenue primarily consists of web hosting, internet service costs, credit card processing costs and other third party services.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Advertising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expenses the cost of advertising in the period incurred. Advertising expense totaled $3.2 million and $1.9 million for the three months ended March 31, 2026 and 2025, respectively, and is included in sales and marketing expense in the accompanying condensed consolidated statements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of employee stock-based compensation awards on the date of grant and allocates the related expense over the requisite service period. The fair value of restricted stock units and performance-based restricted stock units without market conditions is equal to the market price of the Company’s Class A common stock on the date of grant. The fair value of performance-based restricted stock units with market conditions is measured using a Monte Carlo simulation.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of the Company that impacts the vesting of the award, the Company records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When awards include a performance condition of the markets, the vesting of the award is dependent upon the attainment of a target stock price. Forfeitures of such stock-based awards are recognized as they occur and the Company records compensation cost over the derived service period. See Note 12, “Stock-based Compensation,” to these condensed consolidated financial statements for additional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Employee Benefit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2026 and 2025, the Company expensed $0.3 million and $0.7 million, respectively, related to employer contributions for the Company’s 401(k) saving plan.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interest income earned on cash, cash equivalents and other investments, and other non-operating income and expense.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pStyle w:val="TextBody"/>
        <w:bidi w:val="0"/>
        <w:spacing w:lineRule="auto" w:line="288" w:before="120" w:after="120"/>
        <w:jc w:val="both"/>
        <w:rPr/>
      </w:pPr>
      <w:r>
        <w:rPr>
          <w:rFonts w:ascii="Times New Roman;serif" w:hAnsi="Times New Roman;serif"/>
          <w:b w:val="false"/>
          <w:color w:val="000000"/>
          <w:sz w:val="20"/>
        </w:rPr>
        <w:t xml:space="preserve">Based on the weight of all available evidence, both positive and negative, the Company determined during the fourth quarter of 2022 that a full valuation allowance was required against its net deferred tax assets. Management assessed the available positive and negative evidence to estimate whether sufficient future taxable income would be generated to permit use of the existing deferred tax assets. Significant pieces of negative evidence evaluated were the book operating loss incurred during the year ended December 31, 2023 and fluctuation in both historical book operating results and future expectations. For three months ended March 31, 2026 and for the year ended December 31, 2025, management conducted similar analyses, and determined that a full valuation allowance was still required based in a more likely than not standard. Payment with respect to the TRA liability was not probable, resulting from </w:t>
      </w:r>
      <w:r>
        <w:rPr>
          <w:rFonts w:ascii="Times New Roman;serif" w:hAnsi="Times New Roman;serif"/>
          <w:b w:val="false"/>
          <w:color w:val="000000"/>
          <w:sz w:val="20"/>
          <w:shd w:fill="FFFFFF" w:val="clear"/>
        </w:rPr>
        <w:t xml:space="preserve">the full valuation allowance. </w:t>
      </w:r>
      <w:r>
        <w:rPr>
          <w:rFonts w:ascii="Times New Roman;serif" w:hAnsi="Times New Roman;serif"/>
          <w:b w:val="false"/>
          <w:color w:val="000000"/>
          <w:sz w:val="20"/>
        </w:rPr>
        <w:t xml:space="preserve">As of March 31, 2026 and December 31, 2025, the TRA liability was nil and $2.7 million,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continue to evaluate the realization of the TRA tax attributes, and in the future, management may conclude that it is more likely than not that the Company will be able to utilize the deferred tax assets that are subject to the TRA,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therefore that the TRA liability is probable of payment. If the TRA liability is reinstated, the payments would be substantial. Assuming a reinstatement of the TRA liability, there are several assumptions that would be relevant in the ultimate determination of the amount of our TRA liability. For example, assuming no material changes in relevant tax law, that there are no future redemptions or exchanges to Class A Units and that we earn sufficient taxable income to realize all tax benefits that are subject to the TRA, the tax savings associated with acquisitions of Legacy WMH common units in the Business Combination and subsequent exchanges as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would equal approximately $165.0 million, determined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Under this scenario, we would be required to pay certain Class A Unit holders approximately 85% of such amount, or $136.2 million.</w:t>
      </w:r>
      <w:r>
        <w:rPr>
          <w:color w:val="000000"/>
        </w:rPr>
        <w:t xml:space="preserve"> </w:t>
      </w:r>
      <w:r>
        <w:rPr>
          <w:rFonts w:ascii="Times New Roman;serif" w:hAnsi="Times New Roman;serif"/>
          <w:b w:val="false"/>
          <w:color w:val="000000"/>
          <w:sz w:val="20"/>
        </w:rPr>
        <w:t>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utilize the tax benefits that are subject to the TRA. The termination fee under the TRA may also exceed any potential future tax savings that we will be deemed to realize. Payments under the TRA are not conditioned on the TRA parties continued equity ownership in us or WMH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March 31, 2025, the Company recorded less than $0.1 million in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Earnings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is computed by dividing net income (loss) attributable to WM Technology, Inc. by the weighted-average number of shares of Class A Common Stock outstanding during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conditions have not been satisfied by the end of the reporting period. See Note 13, “Earnings Per Share,” for additional information on dilutive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are potentially subject to concentrations of credit risk. The Company places its cash with high quality credit institutions and the Company’s cash balances at these institutions typically exceed the applicable government insurance limits. Any loss incurred or a lack of access to such funds could have a significant adverse impact on the Company’s financial condition, result of operations, and cash flows. The Company believes that the risk of loss is not significant and has not experienced any losses in such accounts.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Financial Accounting Standards Board (“FASB”) issued ASU 2023-09, </w:t>
      </w:r>
      <w:r>
        <w:rPr>
          <w:color w:val="000000"/>
        </w:rPr>
        <w:t>“</w:t>
      </w:r>
      <w:r>
        <w:rPr>
          <w:rFonts w:ascii="Times New Roman;serif" w:hAnsi="Times New Roman;serif"/>
          <w:b w:val="false"/>
          <w:i/>
          <w:color w:val="000000"/>
          <w:sz w:val="20"/>
        </w:rPr>
        <w:t>Income Taxes - Improvements to Income Tax Disclosures”</w:t>
      </w:r>
      <w:r>
        <w:rPr>
          <w:color w:val="000000"/>
        </w:rPr>
        <w:t xml:space="preserve"> </w:t>
      </w:r>
      <w:r>
        <w:rPr>
          <w:rFonts w:ascii="Times New Roman;serif" w:hAnsi="Times New Roman;serif"/>
          <w:b w:val="false"/>
          <w:color w:val="000000"/>
          <w:sz w:val="20"/>
        </w:rPr>
        <w:t xml:space="preserve">requiring enhancements and further transparency to certain income tax disclosures, most notably the tax rate reconciliation and income taxes paid. This ASU is effective for annual reporting periods beginning after December 15, 2024 on a prospective basis and retrospective application is permitted. The Company adopted retrospectively this ASU as of December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reviewed other accounting pronouncements that became effective for fiscal year 2026 and determined that either they were not applicable, or they did not have a material impact on the condensed consolidated financial statements.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requiring additional disaggregated disclosures in the notes to financial statements for certain categories of expenses that are included on the face of the statement of income. This ASU is effective for annual reporting periods beginning after December 15, 2026 and interim reporting periods beginning after December 15, 2027. The Company is currently evaluating the impact of the adoption of this standard.</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amends the guidance in ASC 350-40, Intangibles-Goodwill and Other-Internal-Use Software. The amendments modernize the recognition and disclosure framework for internal-use software costs, removing the previous “development stage” model and introducing a more judgment-based approach. This ASU is effective for annual reporting periods beginning after December 15, 2027, and interim reporting period within those annual reporting periods. The Company is currently evaluating the impact of the adoption of this standard.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reviewed other recently issued accounting pronouncements to be adopted in future periods and determined that they are not expected to have a material impact on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3.    Revenue from Contracts with Customers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sells a monthly subscription offering to retailer and brand clients as well as upsell and add-on offerings to licensed clients. The Company’s current Weedmaps for Business monthly subscription package includes: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offers other add-on products for additional fees,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Featured Listings: Premium placement ad solutions on high visibility locations on the Weedmaps marketplace (desktop and mobile) to amplify the Company’s clients’ businesses and maximize clients’ listings and deal presence.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 ads solutions: Includes banner ads and promotion tiles on the Company’s marketplace as well as banner ads that can be tied to keyword searches. These products provide clients with targeted ad solutions in highly visible slots across the Company’s digital surfaces.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disaggregated revenues information (in thousands):</w:t>
      </w:r>
    </w:p>
    <w:tbl>
      <w:tblPr>
        <w:tblW w:w="6908" w:type="dxa"/>
        <w:jc w:val="left"/>
        <w:tblInd w:w="0" w:type="dxa"/>
        <w:tblLayout w:type="fixed"/>
        <w:tblCellMar>
          <w:top w:w="28" w:type="dxa"/>
          <w:left w:w="28" w:type="dxa"/>
          <w:bottom w:w="28" w:type="dxa"/>
          <w:right w:w="28" w:type="dxa"/>
        </w:tblCellMar>
      </w:tblPr>
      <w:tblGrid>
        <w:gridCol w:w="1477"/>
        <w:gridCol w:w="1297"/>
        <w:gridCol w:w="1305"/>
        <w:gridCol w:w="243"/>
        <w:gridCol w:w="833"/>
        <w:gridCol w:w="125"/>
        <w:gridCol w:w="125"/>
        <w:gridCol w:w="125"/>
        <w:gridCol w:w="125"/>
        <w:gridCol w:w="243"/>
        <w:gridCol w:w="833"/>
        <w:gridCol w:w="177"/>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Featured and deal listings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Weedmaps for Business and other SaaS solutions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 solutions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w:t>
            </w:r>
            <w:r>
              <w:rPr>
                <w:rFonts w:ascii="Times New Roman;serif" w:hAnsi="Times New Roman;serif"/>
                <w:b w:val="false"/>
                <w:color w:val="000000"/>
                <w:sz w:val="13"/>
              </w:rPr>
              <w:t>1</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jc w:val="both"/>
        <w:rPr/>
      </w:pPr>
      <w:r>
        <w:rPr>
          <w:rFonts w:ascii="Times New Roman;serif" w:hAnsi="Times New Roman;serif"/>
          <w:b w:val="false"/>
          <w:color w:val="000000"/>
          <w:sz w:val="12"/>
          <w:shd w:fill="FFFFFF" w:val="clear"/>
        </w:rPr>
        <w:t xml:space="preserve">1 </w:t>
      </w:r>
      <w:r>
        <w:rPr>
          <w:rFonts w:ascii="Times New Roman;serif" w:hAnsi="Times New Roman;serif"/>
          <w:b w:val="false"/>
          <w:color w:val="000000"/>
          <w:sz w:val="18"/>
          <w:shd w:fill="FFFFFF" w:val="clear"/>
        </w:rPr>
        <w:t xml:space="preserve">Revenues include transaction price adjustments of </w:t>
      </w:r>
      <w:r>
        <w:rPr>
          <w:rFonts w:ascii="Times New Roman;serif" w:hAnsi="Times New Roman;serif"/>
          <w:b w:val="false"/>
          <w:color w:val="000000"/>
          <w:sz w:val="18"/>
        </w:rPr>
        <w:t>$1.8 million and $1.8 million, respectively, for three months ended March 31, 2026 and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balance as of March 31, 2026 and December 31, 2025 was $6.0 million and $5.5 million, respectively. Deferred revenue primarily consists of billings or payments received in advance of revenue recognition from subscription offerings, as described above, and is recognized as the revenue recognition criteria are met, typically on a monthly basis. The Company generally invoices customers in advance on a monthly basis and performance obligations are satisfied over the next month. The Company generally receives payment on an upfront basis and payments do not include significant financing components or variable consideration and there are generally no rights of return or refunds after the subscription period has passed. For the three months ended March 31, 2026 and 2025, the Company recorded additions to deferred revenue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$39.7 million and $40.9 million, respectively and reduction to deferred revenue related to performance obligations satisfied of $39.2 million and $41.3 million, respectively.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has been generated in the United States for the three months ended March 31, 2026 and 2025. For the three months ended March 31, 2026, approximately 61% of the Company’s revenue originated in California compared with 55% of revenues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4.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its product offerings as similar, in close proximity, and have aggregated them into one reportable segment, which constitutes consolidated results. Revenue from customers is derived principally from monthly subscription packages and other add-on products. The Company’s chief operating decision maker (the “CODM”) is the Chief Executive Officer. The Company’s CODM reviews financial information on a consolidated basis for purposes of allocating resources and assessing financial performance, as well as for making strategic operational decisions and managing the organization. The accounting policies for the segment are the same as those described in Note 2, “Summary of Significant Accounting Policies.”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 The majority of the Company’s revenue and total assets are within the United States. The CODM evaluates company-wide performance based on multiple performance measures (both GAAP and Non-GAAP measures), including, but not limited net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calculation of net income, which is the performance measure that is most consistent with GAAP, and the significant operating expenses included in this performance measure (in thousands):</w:t>
      </w:r>
    </w:p>
    <w:tbl>
      <w:tblPr>
        <w:tblW w:w="7128" w:type="dxa"/>
        <w:jc w:val="left"/>
        <w:tblInd w:w="0" w:type="dxa"/>
        <w:tblLayout w:type="fixed"/>
        <w:tblCellMar>
          <w:top w:w="28" w:type="dxa"/>
          <w:left w:w="28" w:type="dxa"/>
          <w:bottom w:w="28" w:type="dxa"/>
          <w:right w:w="28" w:type="dxa"/>
        </w:tblCellMar>
      </w:tblPr>
      <w:tblGrid>
        <w:gridCol w:w="1360"/>
        <w:gridCol w:w="1191"/>
        <w:gridCol w:w="1199"/>
        <w:gridCol w:w="244"/>
        <w:gridCol w:w="835"/>
        <w:gridCol w:w="126"/>
        <w:gridCol w:w="126"/>
        <w:gridCol w:w="126"/>
        <w:gridCol w:w="126"/>
        <w:gridCol w:w="244"/>
        <w:gridCol w:w="835"/>
        <w:gridCol w:w="126"/>
        <w:gridCol w:w="109"/>
        <w:gridCol w:w="109"/>
        <w:gridCol w:w="109"/>
        <w:gridCol w:w="109"/>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non-operating (income) expense, net</w:t>
            </w:r>
            <w:r>
              <w:rPr>
                <w:rFonts w:ascii="Times New Roman;serif" w:hAnsi="Times New Roman;serif"/>
                <w:b w:val="false"/>
                <w:color w:val="000000"/>
                <w:sz w:val="13"/>
              </w:rPr>
              <w:t>(1)</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change in fair value of warrant liability, change in the TRA liability and other non-operating income and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reconciling items or adjustments between segment revenues, net income, total assets and consolidated revenues, net income, and total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5.    Commitments and Contingencies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pStyle w:val="TextBody"/>
        <w:bidi w:val="0"/>
        <w:spacing w:lineRule="auto" w:line="288" w:before="60" w:after="60"/>
        <w:jc w:val="both"/>
        <w:rPr/>
      </w:pPr>
      <w:r>
        <w:rPr>
          <w:rFonts w:ascii="Times New Roman;serif" w:hAnsi="Times New Roman;serif"/>
          <w:b w:val="false"/>
          <w:color w:val="000000"/>
          <w:sz w:val="20"/>
          <w:shd w:fill="FFFFFF" w:val="clear"/>
        </w:rPr>
        <w:t xml:space="preserve">On October 17, 2024, a putative shareholder class action complaint, captioned </w:t>
      </w:r>
      <w:r>
        <w:rPr>
          <w:rFonts w:ascii="Times New Roman;serif" w:hAnsi="Times New Roman;serif"/>
          <w:b w:val="false"/>
          <w:i/>
          <w:color w:val="000000"/>
          <w:sz w:val="20"/>
        </w:rPr>
        <w:t>Seret Ishak v. WM Technology, Inc. et al</w:t>
      </w:r>
      <w:r>
        <w:rPr>
          <w:rFonts w:ascii="Times New Roman;serif" w:hAnsi="Times New Roman;serif"/>
          <w:b w:val="false"/>
          <w:color w:val="000000"/>
          <w:sz w:val="20"/>
          <w:shd w:fill="FFFFFF" w:val="clear"/>
        </w:rPr>
        <w:t xml:space="preserve">., Case No. 2:24-cv-08959 (the “Securities Class Action”), was filed in the U.S. District Court for the Central District of California, naming the Company and certain former and current officers and/or directors of the Company and Silver Spike as defendants. The lawsuit alleges that the Company made material misrepresentations and/or omissions of material fact relating to historical public reporting of MAUs in violation of Sections 10(b) and 20(a) of the Exchange Act and Rule 10b-5 promulgated thereunder. The putative class action is brought on behalf of persons or entities who purchased or otherwise acquired the Company’s securities between May 25, 2021, and September 24, 2024, inclusive, and seeks unspecified monetary damages on behalf of the putative class and an award of costs and expenses, including attorneys’ fees. On May 12, 2025, the plaintiffs filed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60" w:after="60"/>
        <w:jc w:val="both"/>
        <w:rPr/>
      </w:pPr>
      <w:r>
        <w:rPr>
          <w:rFonts w:ascii="Times New Roman;serif" w:hAnsi="Times New Roman;serif"/>
          <w:b w:val="false"/>
          <w:color w:val="000000"/>
          <w:sz w:val="20"/>
          <w:shd w:fill="FFFFFF" w:val="clear"/>
        </w:rPr>
        <w:t xml:space="preserve">an amended class action complaint. On July 11, 2025, the defendants moved to dismiss the plaintiffs’ amended class action complaint. </w:t>
      </w:r>
      <w:r>
        <w:rPr>
          <w:rFonts w:ascii="Times New Roman;serif" w:hAnsi="Times New Roman;serif"/>
          <w:b w:val="false"/>
          <w:color w:val="000000"/>
          <w:sz w:val="20"/>
        </w:rPr>
        <w:t xml:space="preserve">On February 12, 2026, the parties filed a notice of settlement stating that they had reached an agreement in principle to fully settle all pending claims in the action and requesting the court to not rule on the pending motions to dismiss as they were now moot. On February 13, 2026, the court denied as moot the motions to dismiss and ordered lead plaintiff to file a motion for preliminary approval of the settlement by April 13, 2026. On April 7, 2026, by joint stipulation, the court extended the deadline to file a motion for preliminary approval of settlement to May 14, 2026. The settlement remains subject to approval by the court and certain other conditions and contingencies out of our control. There </w:t>
      </w:r>
      <w:r>
        <w:rPr>
          <w:rFonts w:ascii="Times New Roman;serif" w:hAnsi="Times New Roman;serif"/>
          <w:b w:val="false"/>
          <w:color w:val="000000"/>
          <w:sz w:val="20"/>
          <w:shd w:fill="FFFFFF" w:val="clear"/>
        </w:rPr>
        <w:t xml:space="preserve">can be no guarantee that all of these conditions and contingencies will occur. Should a material condition or contingency to the settlement fail to occur, one or both of the parties to the settlement may exercise their right to terminate the settlement agreement. The Company recorded an accrued liability of $2.8 million related to this preliminary settlement agreement, representing management's reasonable estimate of its settlement obligation for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This liability is included in accounts payable and accrued expenses </w:t>
      </w:r>
      <w:r>
        <w:rPr>
          <w:rFonts w:ascii="Times New Roman;serif" w:hAnsi="Times New Roman;serif"/>
          <w:b w:val="false"/>
          <w:color w:val="000000"/>
          <w:sz w:val="20"/>
        </w:rPr>
        <w:t xml:space="preserve">in the condensed consolidated balance sheet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 xml:space="preserve">March 31, 2026 and December 31, 2025. </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On November 8, 2024, a shareholder derivative action, captioned </w:t>
      </w:r>
      <w:r>
        <w:rPr>
          <w:rFonts w:ascii="Times New Roman;serif" w:hAnsi="Times New Roman;serif"/>
          <w:b w:val="false"/>
          <w:i/>
          <w:color w:val="000000"/>
          <w:sz w:val="20"/>
          <w:shd w:fill="FFFFFF" w:val="clear"/>
        </w:rPr>
        <w:t>DeGennaro v. Francis, et. al</w:t>
      </w:r>
      <w:r>
        <w:rPr>
          <w:rFonts w:ascii="Times New Roman;serif" w:hAnsi="Times New Roman;serif"/>
          <w:b w:val="false"/>
          <w:color w:val="000000"/>
          <w:sz w:val="20"/>
          <w:shd w:fill="FFFFFF" w:val="clear"/>
        </w:rPr>
        <w:t>, Case No. 8:24-cv-02454 (the “DeGennaro Action”), was filed in the U.S. District Court for the Central District of California against certain members of the Company’s board of directors and certain former and current officers. The plaintiff purports to bring the action derivatively on behalf of the Company, and the Company is a nominal defendant in the action. The derivative complaint alleges, among other things, that the individual defendants authorized or permitted materially false statements and/or material omissions of fact relating to historical public reporting of MAUs. The derivative complaint asserts claims for violations of Section 10(b) of the Exchange Act as well as claims for breach of fiduciary duty, aiding and abetting breach of fiduciary duty, unjust enrichment, and waste of corporate assets. The derivative complaint seeks unspecified damages on behalf of the Company, disgorgement or restitution, corporate governance reforms, declaratory relief, and an award of costs and expenses to the derivative plaintiff, including attorneys’ fees.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Further, on November 18, 2024, a shareholder derivative action, captioned </w:t>
      </w:r>
      <w:r>
        <w:rPr>
          <w:rFonts w:ascii="Times New Roman;serif" w:hAnsi="Times New Roman;serif"/>
          <w:b w:val="false"/>
          <w:i/>
          <w:color w:val="000000"/>
          <w:sz w:val="20"/>
          <w:shd w:fill="FFFFFF" w:val="clear"/>
        </w:rPr>
        <w:t>Pearson v. Francis, et. al</w:t>
      </w:r>
      <w:r>
        <w:rPr>
          <w:rFonts w:ascii="Times New Roman;serif" w:hAnsi="Times New Roman;serif"/>
          <w:b w:val="false"/>
          <w:color w:val="000000"/>
          <w:sz w:val="20"/>
          <w:shd w:fill="FFFFFF" w:val="clear"/>
        </w:rPr>
        <w:t xml:space="preserve">, Case No. 8:24-cv-02525 (the “Pearson Action”), was filed in the U.S. District Court for the Central District of California against certain former and current members of the Company’s board of directors and certain former and current officers. The derivative complaint alleges, among other things, that the individual defendants authorized or permitted materially false statements and/or material omissions of fact relating to historical public reporting of MAUs and corporate governance matters. The derivative complaint asserts claims for violations of Section 14(a) of the Exchange Act and Rule 14a-9 promulgated thereunder, as well as claims for breach of fiduciary duty, unjust enrichment, abuse of control, gross mismanagement, waste of corporate assets, and contribution under Sections 10(b) and 21D of the Exchange Act. The derivative complaint seeks unspecified damages on behalf of the Company, restitution, corporate governance reforms, declaratory relief, and an award of costs and expenses to the derivative plaintiff, including attorneys’ fees. On December 10, 2024, the U.S. District Court of the Central District of California issued an order consolidating the DeGennaro Action and the Pearson Action (the “Consolidated Derivative Action”). On October 3, 2025, the court granted the parties’ joint stipulation to stay the Consolidated Derivative Action until resolution of the motions to dismiss the Securities Class Action discussed above. </w:t>
      </w:r>
      <w:r>
        <w:rPr>
          <w:rFonts w:ascii="Times New Roman;serif" w:hAnsi="Times New Roman;serif"/>
          <w:b w:val="false"/>
          <w:color w:val="000000"/>
          <w:sz w:val="20"/>
        </w:rPr>
        <w:t xml:space="preserve">On February 17, 2026, in light of the notice of settlement in the Securities Class Action and the denial of the motions to dismiss as moot, the court ordered the parties to show cause regarding the continued stay of the Consolidated Derivative Action. On February 25, 2026, the court extended the stay to April 10, 2026 to provide the parties additional time to discuss a potential resolution to the </w:t>
      </w:r>
      <w:r>
        <w:rPr>
          <w:rFonts w:ascii="Times New Roman;serif" w:hAnsi="Times New Roman;serif"/>
          <w:b w:val="false"/>
          <w:color w:val="000000"/>
          <w:sz w:val="20"/>
          <w:shd w:fill="FFFFFF" w:val="clear"/>
        </w:rPr>
        <w:t>Consolidated Derivative Action</w:t>
      </w:r>
      <w:r>
        <w:rPr>
          <w:rFonts w:ascii="Times New Roman;serif" w:hAnsi="Times New Roman;serif"/>
          <w:b w:val="false"/>
          <w:color w:val="000000"/>
          <w:sz w:val="20"/>
        </w:rPr>
        <w:t>, pursuant to a court-entered stipulation by the parties. On April 14, 2026, by joint stipulation, the court extended the stay until April 30, 202</w:t>
      </w:r>
      <w:r>
        <w:rPr>
          <w:rFonts w:ascii="Times New Roman;serif" w:hAnsi="Times New Roman;serif"/>
          <w:b w:val="false"/>
          <w:color w:val="000000"/>
          <w:sz w:val="20"/>
          <w:shd w:fill="FFFFFF" w:val="clear"/>
        </w:rPr>
        <w:t>6. On May 1, 2026, by joint stipulation, the court extended the stay until May 14, 2026. At this early stage of the proceedings, the Company is unable to make any prediction regarding the outcome of the litigation.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purchase obligations consist of agreements to purchase goods and services entered into in the ordinary course of business. The Company has non-cancelable purchase obligation agreements primarily relating to contracts with vendors in connection with Information Technology (“IT”) infrastructure and cloud computing services. </w:t>
      </w:r>
    </w:p>
    <w:p>
      <w:pPr>
        <w:pStyle w:val="TextBody"/>
        <w:bidi w:val="0"/>
        <w:spacing w:lineRule="auto" w:line="288" w:before="120" w:after="283"/>
        <w:jc w:val="both"/>
        <w:rPr/>
      </w:pPr>
      <w:r>
        <w:rPr>
          <w:rFonts w:ascii="Times New Roman;serif" w:hAnsi="Times New Roman;serif"/>
          <w:b w:val="false"/>
          <w:color w:val="000000"/>
          <w:sz w:val="20"/>
        </w:rPr>
        <w:t xml:space="preserve">The Company has minimum outstanding purchase obligations of approximately $5.2 million for the remaining nine months in 2026, due under software license agreements, of which the majority relates to the Company’s remaining period of a three-year AWS Enterprise agreement. </w:t>
      </w:r>
      <w:r>
        <w:rPr>
          <w:rFonts w:ascii="Times New Roman;serif" w:hAnsi="Times New Roman;serif"/>
          <w:b w:val="false"/>
          <w:color w:val="000000"/>
          <w:sz w:val="20"/>
          <w:shd w:fill="FFFFFF" w:val="clear"/>
        </w:rPr>
        <w:t xml:space="preserve">The Company has an obligation to pay the shortfall if it does not meet the specified minimum purchase obligations. During the year 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 Company performed a review of its cloud infrastructure strategy prompted by a downward revision in forecasted server cost spend for the full fiscal year 2025 and 2026. The lower spend identified was attributable to server management optimization and efficiencies implemented during 2024 and 2025 and discounts received on prepayments under the AWS agreement. Due to the revised forecast, the Company identified a probable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shortfall in the minimum purchase obligation of approximately $2.3 million. During the </w:t>
      </w:r>
      <w:r>
        <w:rPr>
          <w:rFonts w:ascii="Times New Roman;serif" w:hAnsi="Times New Roman;serif"/>
          <w:b w:val="false"/>
          <w:color w:val="000000"/>
          <w:sz w:val="20"/>
        </w:rPr>
        <w:t>three months ended March 31, 2026, the Company conducted similar analyses, and recorded a reduction in shortfall from minimum purchase obligation of $0.2 million.</w:t>
      </w:r>
    </w:p>
    <w:p>
      <w:pPr>
        <w:pStyle w:val="TextBody"/>
        <w:bidi w:val="0"/>
        <w:spacing w:lineRule="auto" w:line="288" w:before="120" w:after="283"/>
        <w:jc w:val="both"/>
        <w:rPr/>
      </w:pPr>
      <w:r>
        <w:rPr>
          <w:rFonts w:ascii="Times New Roman;serif" w:hAnsi="Times New Roman;serif"/>
          <w:b w:val="false"/>
          <w:color w:val="000000"/>
          <w:sz w:val="20"/>
        </w:rPr>
        <w:t xml:space="preserve">Under ASC 450 –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the Company evaluated whether a loss contingency should be recognized for non-cancellable commitments that will not provide future economic benefits. The Company determined that the unused portion of the AWS minimum commitment obligation is not probable of being recovered through usage or other means, and as such </w:t>
      </w:r>
      <w:r>
        <w:rPr>
          <w:rFonts w:ascii="Times New Roman;serif" w:hAnsi="Times New Roman;serif"/>
          <w:b w:val="false"/>
          <w:color w:val="000000"/>
          <w:sz w:val="20"/>
          <w:shd w:fill="FFFFFF" w:val="clear"/>
        </w:rPr>
        <w:t xml:space="preserve">recorded a loss contingency of $2.3 million in the year ended </w:t>
      </w:r>
      <w:r>
        <w:rPr>
          <w:rFonts w:ascii="Times New Roman;serif" w:hAnsi="Times New Roman;serif"/>
          <w:b w:val="false"/>
          <w:color w:val="000000"/>
          <w:sz w:val="20"/>
        </w:rPr>
        <w:t xml:space="preserve">December 31, 2025. As of March 31, 2026 and December 31, 2025, the Company had amounts due to AWS of $1.3 million and </w:t>
      </w:r>
      <w:r>
        <w:rPr>
          <w:rFonts w:ascii="Times New Roman;serif" w:hAnsi="Times New Roman;serif"/>
          <w:b w:val="false"/>
          <w:color w:val="000000"/>
          <w:sz w:val="20"/>
          <w:shd w:fill="FFFFFF" w:val="clear"/>
        </w:rPr>
        <w:t xml:space="preserve">$2.3 million, respectively, which is included in </w:t>
      </w:r>
      <w:r>
        <w:rPr>
          <w:rFonts w:ascii="Times New Roman;serif" w:hAnsi="Times New Roman;serif"/>
          <w:b w:val="false"/>
          <w:color w:val="000000"/>
          <w:sz w:val="20"/>
        </w:rPr>
        <w:t>accounts payable and accrued expenses in these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pPr>
      <w:r>
        <w:rPr>
          <w:rFonts w:ascii="Times New Roman;serif" w:hAnsi="Times New Roman;serif"/>
          <w:b w:val="false"/>
          <w:color w:val="000000"/>
          <w:sz w:val="20"/>
        </w:rPr>
        <w:t xml:space="preserve">The Company follows the guidance in ASC 820 -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its financial assets and liabilities that are re-measured and reported at fair value at each reporting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color w:val="000000"/>
          <w:sz w:val="20"/>
        </w:rPr>
        <w:t>Level 3: Unobservable inputs based on the Company assessment of the assumptions that market participants would use in pricing the asset or liability.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that are measured at fair value on a recurring basis at March 31, 2026 and December 31, 2025, and indicates the fair value hierarchy of the valuation inputs the Company utilized to determine such fair value (in thousands):</w:t>
      </w:r>
    </w:p>
    <w:tbl>
      <w:tblPr>
        <w:tblW w:w="8827" w:type="dxa"/>
        <w:jc w:val="left"/>
        <w:tblInd w:w="0" w:type="dxa"/>
        <w:tblLayout w:type="fixed"/>
        <w:tblCellMar>
          <w:top w:w="28" w:type="dxa"/>
          <w:left w:w="28" w:type="dxa"/>
          <w:bottom w:w="28" w:type="dxa"/>
          <w:right w:w="28" w:type="dxa"/>
        </w:tblCellMar>
      </w:tblPr>
      <w:tblGrid>
        <w:gridCol w:w="1465"/>
        <w:gridCol w:w="1287"/>
        <w:gridCol w:w="1298"/>
        <w:gridCol w:w="109"/>
        <w:gridCol w:w="109"/>
        <w:gridCol w:w="109"/>
        <w:gridCol w:w="195"/>
        <w:gridCol w:w="195"/>
        <w:gridCol w:w="196"/>
        <w:gridCol w:w="109"/>
        <w:gridCol w:w="109"/>
        <w:gridCol w:w="109"/>
        <w:gridCol w:w="292"/>
        <w:gridCol w:w="998"/>
        <w:gridCol w:w="150"/>
        <w:gridCol w:w="109"/>
        <w:gridCol w:w="109"/>
        <w:gridCol w:w="109"/>
        <w:gridCol w:w="344"/>
        <w:gridCol w:w="1175"/>
        <w:gridCol w:w="251"/>
      </w:tblGrid>
      <w:tr>
        <w:trPr/>
        <w:tc>
          <w:tcPr>
            <w:tcW w:w="1465"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carrying amount of cash equivalents was equal to or approximated fair value due to their short-term nature and proximity to current market rates. Cash equivalents consist of Money market and U.S. Treasury Bills that are readily convertible into cash and have original maturities of three months or less at the date of purchase.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marketable securities is comprised of highly rated debt securities classified as available-for-sale investment securities. Investments in debt securities had maturity dates ranging from less than two months to approximately 29 months. The Company may sell these securities at any time for use in current operations even if they have not yet reached maturity. The Company invests in a diversified portfolio of debt securities and limits the concentration of its investment in any particular security.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the fair value of the warrant liabilities (in thousands):</w:t>
      </w:r>
    </w:p>
    <w:tbl>
      <w:tblPr>
        <w:tblW w:w="10205" w:type="dxa"/>
        <w:jc w:val="left"/>
        <w:tblInd w:w="0" w:type="dxa"/>
        <w:tblLayout w:type="fixed"/>
        <w:tblCellMar>
          <w:top w:w="28" w:type="dxa"/>
          <w:left w:w="28" w:type="dxa"/>
          <w:bottom w:w="28" w:type="dxa"/>
          <w:right w:w="28" w:type="dxa"/>
        </w:tblCellMar>
      </w:tblPr>
      <w:tblGrid>
        <w:gridCol w:w="1381"/>
        <w:gridCol w:w="1159"/>
        <w:gridCol w:w="1170"/>
        <w:gridCol w:w="109"/>
        <w:gridCol w:w="109"/>
        <w:gridCol w:w="109"/>
        <w:gridCol w:w="386"/>
        <w:gridCol w:w="855"/>
        <w:gridCol w:w="203"/>
        <w:gridCol w:w="109"/>
        <w:gridCol w:w="109"/>
        <w:gridCol w:w="109"/>
        <w:gridCol w:w="727"/>
        <w:gridCol w:w="1244"/>
        <w:gridCol w:w="376"/>
        <w:gridCol w:w="109"/>
        <w:gridCol w:w="109"/>
        <w:gridCol w:w="109"/>
        <w:gridCol w:w="435"/>
        <w:gridCol w:w="963"/>
        <w:gridCol w:w="325"/>
      </w:tblGrid>
      <w:tr>
        <w:trPr/>
        <w:tc>
          <w:tcPr>
            <w:tcW w:w="138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r>
      <w:tr>
        <w:trPr/>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0"/>
        <w:gridCol w:w="1159"/>
        <w:gridCol w:w="1170"/>
        <w:gridCol w:w="109"/>
        <w:gridCol w:w="109"/>
        <w:gridCol w:w="109"/>
        <w:gridCol w:w="386"/>
        <w:gridCol w:w="855"/>
        <w:gridCol w:w="203"/>
        <w:gridCol w:w="109"/>
        <w:gridCol w:w="109"/>
        <w:gridCol w:w="109"/>
        <w:gridCol w:w="630"/>
        <w:gridCol w:w="1392"/>
        <w:gridCol w:w="327"/>
        <w:gridCol w:w="109"/>
        <w:gridCol w:w="109"/>
        <w:gridCol w:w="109"/>
        <w:gridCol w:w="435"/>
        <w:gridCol w:w="963"/>
        <w:gridCol w:w="324"/>
      </w:tblGrid>
      <w:tr>
        <w:trPr/>
        <w:tc>
          <w:tcPr>
            <w:tcW w:w="138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3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Public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Private Placement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Warrant Liabilities</w:t>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the Public Warrants, based on the publicly listed trading price of such warrants as of the valuation date. Accordingly, the Public Warrants are classified as Level 1 financial instruments. The fair value of the Public Warrants was $0.1 million as of March 31, 2026 and December 31,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Private Placement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quantitative information regarding Level 3 fair value measurements inputs at their measurement dates:</w:t>
      </w:r>
    </w:p>
    <w:tbl>
      <w:tblPr>
        <w:tblW w:w="5706" w:type="dxa"/>
        <w:jc w:val="left"/>
        <w:tblInd w:w="0" w:type="dxa"/>
        <w:tblLayout w:type="fixed"/>
        <w:tblCellMar>
          <w:top w:w="28" w:type="dxa"/>
          <w:left w:w="28" w:type="dxa"/>
          <w:bottom w:w="28" w:type="dxa"/>
          <w:right w:w="28" w:type="dxa"/>
        </w:tblCellMar>
      </w:tblPr>
      <w:tblGrid>
        <w:gridCol w:w="669"/>
        <w:gridCol w:w="587"/>
        <w:gridCol w:w="588"/>
        <w:gridCol w:w="109"/>
        <w:gridCol w:w="109"/>
        <w:gridCol w:w="109"/>
        <w:gridCol w:w="276"/>
        <w:gridCol w:w="808"/>
        <w:gridCol w:w="355"/>
        <w:gridCol w:w="109"/>
        <w:gridCol w:w="109"/>
        <w:gridCol w:w="109"/>
        <w:gridCol w:w="326"/>
        <w:gridCol w:w="954"/>
        <w:gridCol w:w="489"/>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changes in the volatility would result in a significant lower or higher fair value measurement, respectively. The fair value of the Private Placement Warrants were $0.04 million and $0.1 million, respectively as of March 31, 2026 and December 31, 2025. There were no transfers in or out of Level 3 from other levels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Goodwill and Intangible Assets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Goodwill totaled $61.3 million as of March 31, 2026 and December 31, 2025, respectively. The Company recorded a goodwill impairment charge of $7.1 million for the year ended December 31, 2025. No goodwill impairment charges were recorded for the three months ended March 31, 2026 and 2025.</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March 31, 2026 and December 31, 2025 (in thousands):</w:t>
      </w:r>
    </w:p>
    <w:tbl>
      <w:tblPr>
        <w:tblW w:w="10205" w:type="dxa"/>
        <w:jc w:val="center"/>
        <w:tblInd w:w="0" w:type="dxa"/>
        <w:tblLayout w:type="fixed"/>
        <w:tblCellMar>
          <w:top w:w="28" w:type="dxa"/>
          <w:left w:w="28" w:type="dxa"/>
          <w:bottom w:w="28" w:type="dxa"/>
          <w:right w:w="28" w:type="dxa"/>
        </w:tblCellMar>
      </w:tblPr>
      <w:tblGrid>
        <w:gridCol w:w="738"/>
        <w:gridCol w:w="462"/>
        <w:gridCol w:w="466"/>
        <w:gridCol w:w="906"/>
        <w:gridCol w:w="906"/>
        <w:gridCol w:w="908"/>
        <w:gridCol w:w="109"/>
        <w:gridCol w:w="109"/>
        <w:gridCol w:w="109"/>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2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8"/>
        <w:gridCol w:w="462"/>
        <w:gridCol w:w="466"/>
        <w:gridCol w:w="906"/>
        <w:gridCol w:w="906"/>
        <w:gridCol w:w="908"/>
        <w:gridCol w:w="109"/>
        <w:gridCol w:w="109"/>
        <w:gridCol w:w="109"/>
        <w:gridCol w:w="345"/>
        <w:gridCol w:w="1008"/>
        <w:gridCol w:w="178"/>
        <w:gridCol w:w="109"/>
        <w:gridCol w:w="109"/>
        <w:gridCol w:w="109"/>
        <w:gridCol w:w="405"/>
        <w:gridCol w:w="1215"/>
        <w:gridCol w:w="211"/>
        <w:gridCol w:w="109"/>
        <w:gridCol w:w="109"/>
        <w:gridCol w:w="109"/>
        <w:gridCol w:w="315"/>
        <w:gridCol w:w="923"/>
        <w:gridCol w:w="238"/>
      </w:tblGrid>
      <w:tr>
        <w:trPr/>
        <w:tc>
          <w:tcPr>
            <w:tcW w:w="7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Amortization Period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Intangible Assets</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domain names</w:t>
            </w:r>
          </w:p>
        </w:tc>
        <w:tc>
          <w:tcPr>
            <w:tcW w:w="2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2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120"/>
        <w:jc w:val="both"/>
        <w:rPr/>
      </w:pPr>
      <w:r>
        <w:rPr>
          <w:rFonts w:ascii="Times New Roman;serif" w:hAnsi="Times New Roman;serif"/>
          <w:b w:val="false"/>
          <w:color w:val="000000"/>
          <w:sz w:val="20"/>
        </w:rPr>
        <w:t>During the three months ended March 31, 2026, the Company sold all rights, title and interest in one</w:t>
      </w:r>
      <w:r>
        <w:rPr>
          <w:color w:val="000000"/>
          <w:shd w:fill="FFFFFF" w:val="clear"/>
        </w:rPr>
        <w:t xml:space="preserve"> </w:t>
      </w:r>
      <w:r>
        <w:rPr>
          <w:rFonts w:ascii="Times New Roman;serif" w:hAnsi="Times New Roman;serif"/>
          <w:b w:val="false"/>
          <w:color w:val="000000"/>
          <w:sz w:val="20"/>
          <w:shd w:fill="FFFFFF" w:val="clear"/>
        </w:rPr>
        <w:t>of its acquired domain names f</w:t>
      </w:r>
      <w:r>
        <w:rPr>
          <w:rFonts w:ascii="Times New Roman;serif" w:hAnsi="Times New Roman;serif"/>
          <w:b w:val="false"/>
          <w:color w:val="000000"/>
          <w:sz w:val="20"/>
        </w:rPr>
        <w:t xml:space="preserve">or cash proceeds of $1.0 million. The domain name had a de-minimus carrying value at the date of sale.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the sale, the Company recognized a gain of $1.0 million, which is included in “Other income (expense), net” in the accompanying condensed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$0.1 million and $0.1 million, respectively, for the three months ended March 31, 2026 and 2025. No intangible asset impairment charges have been recorded for the three months ended March 31, 2026 and 2025. The estimated future amortization expense of intangible assets as of March 31, 2026 is as follows (in thousands): </w:t>
      </w:r>
    </w:p>
    <w:p>
      <w:pPr>
        <w:pStyle w:val="TextBody"/>
        <w:bidi w:val="0"/>
        <w:spacing w:before="0" w:after="0"/>
        <w:ind w:left="0" w:right="0" w:firstLine="720"/>
        <w:jc w:val="left"/>
        <w:rPr/>
      </w:pPr>
      <w:r>
        <w:rPr/>
      </w:r>
    </w:p>
    <w:tbl>
      <w:tblPr>
        <w:tblW w:w="4743" w:type="dxa"/>
        <w:jc w:val="center"/>
        <w:tblInd w:w="0" w:type="dxa"/>
        <w:tblLayout w:type="fixed"/>
        <w:tblCellMar>
          <w:top w:w="28" w:type="dxa"/>
          <w:left w:w="28" w:type="dxa"/>
          <w:bottom w:w="28" w:type="dxa"/>
          <w:right w:w="28" w:type="dxa"/>
        </w:tblCellMar>
      </w:tblPr>
      <w:tblGrid>
        <w:gridCol w:w="1245"/>
        <w:gridCol w:w="1093"/>
        <w:gridCol w:w="1097"/>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period in 2026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Prepaid Expenses and Other Current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as of March 31, 2026 and December 31, 2025 consisted of the following (in thousands):</w:t>
      </w:r>
    </w:p>
    <w:tbl>
      <w:tblPr>
        <w:tblW w:w="7807" w:type="dxa"/>
        <w:jc w:val="center"/>
        <w:tblInd w:w="0" w:type="dxa"/>
        <w:tblLayout w:type="fixed"/>
        <w:tblCellMar>
          <w:top w:w="28" w:type="dxa"/>
          <w:left w:w="28" w:type="dxa"/>
          <w:bottom w:w="28" w:type="dxa"/>
          <w:right w:w="28" w:type="dxa"/>
        </w:tblCellMar>
      </w:tblPr>
      <w:tblGrid>
        <w:gridCol w:w="1428"/>
        <w:gridCol w:w="1256"/>
        <w:gridCol w:w="1261"/>
        <w:gridCol w:w="109"/>
        <w:gridCol w:w="109"/>
        <w:gridCol w:w="109"/>
        <w:gridCol w:w="324"/>
        <w:gridCol w:w="948"/>
        <w:gridCol w:w="167"/>
        <w:gridCol w:w="109"/>
        <w:gridCol w:w="109"/>
        <w:gridCol w:w="109"/>
        <w:gridCol w:w="380"/>
        <w:gridCol w:w="1110"/>
        <w:gridCol w:w="279"/>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charges were recognized for the three months ended March 31, 2026 and 2025, related to capitalized implementation costs for a cloud computing arrangement that the Company has determined is not probable to be completed and placed in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Accounts Payable and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as of March 31, 2026 and December 31, 2025 consisted of the following (in thousands):</w:t>
      </w:r>
    </w:p>
    <w:tbl>
      <w:tblPr>
        <w:tblW w:w="7913" w:type="dxa"/>
        <w:jc w:val="center"/>
        <w:tblInd w:w="0" w:type="dxa"/>
        <w:tblLayout w:type="fixed"/>
        <w:tblCellMar>
          <w:top w:w="28" w:type="dxa"/>
          <w:left w:w="28" w:type="dxa"/>
          <w:bottom w:w="28" w:type="dxa"/>
          <w:right w:w="28" w:type="dxa"/>
        </w:tblCellMar>
      </w:tblPr>
      <w:tblGrid>
        <w:gridCol w:w="1464"/>
        <w:gridCol w:w="1288"/>
        <w:gridCol w:w="1297"/>
        <w:gridCol w:w="109"/>
        <w:gridCol w:w="109"/>
        <w:gridCol w:w="109"/>
        <w:gridCol w:w="292"/>
        <w:gridCol w:w="998"/>
        <w:gridCol w:w="150"/>
        <w:gridCol w:w="109"/>
        <w:gridCol w:w="109"/>
        <w:gridCol w:w="109"/>
        <w:gridCol w:w="344"/>
        <w:gridCol w:w="1175"/>
        <w:gridCol w:w="251"/>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and other accrued liabilities</w:t>
            </w:r>
            <w:r>
              <w:rPr>
                <w:rFonts w:ascii="Times New Roman;serif" w:hAnsi="Times New Roman;serif"/>
                <w:b w:val="false"/>
                <w:color w:val="000000"/>
                <w:sz w:val="13"/>
              </w:rPr>
              <w:t>(1)</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commissions and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As of March 31, 2026 and December 31, 2025, the accounts payable and other accrued liabilities included $1.3 million and </w:t>
      </w:r>
      <w:r>
        <w:rPr>
          <w:rFonts w:ascii="Times New Roman;serif" w:hAnsi="Times New Roman;serif"/>
          <w:b w:val="false"/>
          <w:color w:val="000000"/>
          <w:sz w:val="18"/>
          <w:shd w:fill="FFFFFF" w:val="clear"/>
        </w:rPr>
        <w:t xml:space="preserve">$2.3 million, respectively, in </w:t>
      </w:r>
      <w:r>
        <w:rPr>
          <w:rFonts w:ascii="Times New Roman;serif" w:hAnsi="Times New Roman;serif"/>
          <w:b w:val="false"/>
          <w:color w:val="000000"/>
          <w:sz w:val="18"/>
        </w:rPr>
        <w:t xml:space="preserve">loss contingency due to a purchase obligation shortfall stemming from the AWS minimum commitment obligation that is not probable of being recovered through usage or other means and </w:t>
      </w:r>
      <w:r>
        <w:rPr>
          <w:rFonts w:ascii="Times New Roman;serif" w:hAnsi="Times New Roman;serif"/>
          <w:b w:val="false"/>
          <w:color w:val="000000"/>
          <w:sz w:val="18"/>
          <w:shd w:fill="FFFFFF" w:val="clear"/>
        </w:rPr>
        <w:t xml:space="preserve">$2.8 million </w:t>
      </w:r>
      <w:r>
        <w:rPr>
          <w:rFonts w:ascii="Times New Roman;serif" w:hAnsi="Times New Roman;serif"/>
          <w:b w:val="false"/>
          <w:color w:val="000000"/>
          <w:sz w:val="18"/>
        </w:rPr>
        <w:t>in legal settlement liabilities. See Note 5, “Commitments and Contingencies” to these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Warrant Liability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March 31, 2026, there were 12,499,973 Public Warrants outstanding and 7,000,000 Private Placement Warrants outstanding.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As of March 31, 2026, the Public Warrants were listed on the Nasdaq Global Select Market (“Nasdasq”) under the symbol “MAPSW.” On April 17, 2026, the Company filed a Form 25 with the SEC to effect the delisting of the Class A Common Stock and the Public Warrants from Nasdaq and to deregister the Class A Common Stock and Public Warrants under Section 12(b) of the Exchange Act. The removal of the Class A Common Stock and the Public Warrants from Nasdaq became effective on April 24, 2026. On April 27, 2026, the Public Warrants commenced trading on the OTCID Basic Market operated by the OTC under the ticker “MAPSW”. For additional information, see Note 15, “Subsequent Events”.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exercise its redemption right even if it is unable to register or qualify the underlying securities for sale under all applicable state securities laws.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concluded the Public Warrants and Private Placement Warrants, or the Warrants, meet the definition of a derivative under ASC 815 - Derivatives and Hedging (as described in Note 2) and are recorded as liabilities. Upon the Closing, the fair value of the Warrants was recorded on the balance sheet. The fair value of the Warrants are remeasured as of each balance sheet date, which resulted in non-cash gain of $0.1 million for the three months ended March 31, 2026 and no gain or loss from remeasurement on the condensed consolidated statements of operations for three months ended March 31, 2025, respectively. For additional information, see Note 6,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11.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Class V Common Stock</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the Class V Common Stock will not participate in any dividends declared by the Company’s board of directors.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Rights upon Liquidation, Dissolution and Winding-Up</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of any voluntary or involuntary liquidation, dissolution or winding up of the Company’s affairs, the holders of Class V Common Stock are not entitled to receive any of the Company’s assets.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Preemptive or Other Rights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holders of shares of Class V Common Stock do not have preemptive, subscription, redemption or conversion rights. There will be no redemption or sinking fund provisions applicable to the Class V Common Stock.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Issuance and Retirement of Class V Common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2026, there were no shares of preferred stock issued or outstanding.</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 represents the Units held by holders other than the Company. As of March 31, 2026 and December 31, 2025, the noncontrolling interests owned 30.1% and 30.8% of the Units outstanding, respectively. The noncontrolling interests’ ownership percentage can fluctuate over time, including as the WMH LLC equity holders elect to exchange Units for Class A Common Stock. During the three months ended March 31, 2025, 5 million shares of Class V Common Stock were exchanged on a one-to-one basis for shares of Class A Common Stock. The Company has consolidated the financial position and results of operations of WMH LLC and reflected the proportionate interest held by the WMH LLC Unit equity holders as noncontrolling interests. See condensed consolidated statement of equity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 Holding Company, LLC Equity Incentive Plan</w:t>
      </w:r>
    </w:p>
    <w:p>
      <w:pPr>
        <w:pStyle w:val="TextBody"/>
        <w:bidi w:val="0"/>
        <w:spacing w:lineRule="auto" w:line="288" w:before="120" w:after="283"/>
        <w:jc w:val="both"/>
        <w:rPr/>
      </w:pPr>
      <w:r>
        <w:rPr>
          <w:rFonts w:ascii="Times New Roman;serif" w:hAnsi="Times New Roman;serif"/>
          <w:b w:val="false"/>
          <w:color w:val="000000"/>
          <w:sz w:val="20"/>
        </w:rPr>
        <w:t xml:space="preserve">The Company has accounted for the issuance of Class A-3 and Class B Units issued under the WM Holding Company, LLC Equity Incentive Plan in accordance with ASC 718 - </w:t>
      </w:r>
      <w:r>
        <w:rPr>
          <w:rFonts w:ascii="Times New Roman;serif" w:hAnsi="Times New Roman;serif"/>
          <w:b w:val="false"/>
          <w:i/>
          <w:color w:val="000000"/>
          <w:sz w:val="20"/>
        </w:rPr>
        <w:t>Stock Based Compensation</w:t>
      </w:r>
      <w:r>
        <w:rPr>
          <w:rFonts w:ascii="Times New Roman;serif" w:hAnsi="Times New Roman;serif"/>
          <w:b w:val="false"/>
          <w:color w:val="000000"/>
          <w:sz w:val="20"/>
        </w:rPr>
        <w:t xml:space="preserve">. The Company considers the limitation on the exercisability of the Class A-3 and Class B Units to be a performance condition and records compensation cost when it becomes probable that the performance condition will be met.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Class P Unit activity for the three months ended March 31, 2026 is as follows:</w:t>
      </w:r>
    </w:p>
    <w:tbl>
      <w:tblPr>
        <w:tblW w:w="5943"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540"/>
        <w:gridCol w:w="541"/>
        <w:gridCol w:w="635"/>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Exchanged for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Class P Units,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all the outstanding Class P Units have been vested and as such, there is no remaining unrecognized stock-based compensation expense for non-vested Class P Units. The Company recorded no stock-based compensation expense for the Class P Units for the three months ended March 31, 2026 and 2025, as all Class P awards were fully vested as of the beginning of the reporting period.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WM Technology, Inc. Equity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forms of stock awards to employees, directors and consultants. As of March 31, 2026, 56,199,663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2026, 28,825,525 shares of Class A Common Stock are available for future issuance.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the restricted stock unit (“RSU”) activity for the three months ended March 31, 2026 is as follows:</w:t>
      </w:r>
    </w:p>
    <w:tbl>
      <w:tblPr>
        <w:tblW w:w="8729" w:type="dxa"/>
        <w:jc w:val="left"/>
        <w:tblInd w:w="0" w:type="dxa"/>
        <w:tblLayout w:type="fixed"/>
        <w:tblCellMar>
          <w:top w:w="28" w:type="dxa"/>
          <w:left w:w="28" w:type="dxa"/>
          <w:bottom w:w="28" w:type="dxa"/>
          <w:right w:w="28" w:type="dxa"/>
        </w:tblCellMar>
      </w:tblPr>
      <w:tblGrid>
        <w:gridCol w:w="1038"/>
        <w:gridCol w:w="912"/>
        <w:gridCol w:w="914"/>
        <w:gridCol w:w="109"/>
        <w:gridCol w:w="109"/>
        <w:gridCol w:w="109"/>
        <w:gridCol w:w="525"/>
        <w:gridCol w:w="525"/>
        <w:gridCol w:w="501"/>
        <w:gridCol w:w="109"/>
        <w:gridCol w:w="109"/>
        <w:gridCol w:w="109"/>
        <w:gridCol w:w="881"/>
        <w:gridCol w:w="2135"/>
        <w:gridCol w:w="64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7,915,966 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(1,197,570)</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unrecognized stock-based compensation expense for non-vested RSUs was $7.4 million, which is expected to be recognized over a weighted-average period of 2.0 years. For the three months ended March 31, 2026 and 2025, the Company recorded stock-based compensation expense for the RSUs of $1.1 million and $2.0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performance-based restricted stock units (“PRSUs”). For the awards with the Company’s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awards with market performance conditions, the vesting of the award is dependent upon the attainment of a target stock price. The Company recognizes stock-based compensation expense for awards with market conditions over the derived service period of the awards. The estimated fair value and derived service period for the awards with market conditions are calculated using a Monte Carlo simulation. Assumptions used in valuing awards with market conditions include the performance period, grant-date stock price, expected volatility, risk-free rate and cost of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a PRSU market condition award of 4,342,391 units was granted to the Company’s Chief Executive Officer that will vest based upon achieving certain target prices for the Company’s common stock. Achievement of the target prices will be determined using the volume weighted average closing price of the Company’s Class A common stock over a 30 trading-day period. Any unvested PRSUs remaining after December 31, 2027 will be forfeited. If service is terminated prior to December 31, 2027, all unvested PRSUs will be forfeited.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in estimating the value of the PRSUs granted in 2024.</w:t>
      </w:r>
    </w:p>
    <w:tbl>
      <w:tblPr>
        <w:tblW w:w="7045" w:type="dxa"/>
        <w:jc w:val="left"/>
        <w:tblInd w:w="0" w:type="dxa"/>
        <w:tblLayout w:type="fixed"/>
        <w:tblCellMar>
          <w:top w:w="28" w:type="dxa"/>
          <w:left w:w="28" w:type="dxa"/>
          <w:bottom w:w="28" w:type="dxa"/>
          <w:right w:w="28" w:type="dxa"/>
        </w:tblCellMar>
      </w:tblPr>
      <w:tblGrid>
        <w:gridCol w:w="1174"/>
        <w:gridCol w:w="1024"/>
        <w:gridCol w:w="1041"/>
        <w:gridCol w:w="109"/>
        <w:gridCol w:w="109"/>
        <w:gridCol w:w="109"/>
        <w:gridCol w:w="1017"/>
        <w:gridCol w:w="1017"/>
        <w:gridCol w:w="1445"/>
      </w:tblGrid>
      <w:tr>
        <w:trPr/>
        <w:tc>
          <w:tcPr>
            <w:tcW w:w="117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November 07, 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November 07, 2024 - December 31, 2027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4,342,391</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 Date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$0.77</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Estimated Volatility at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85.61%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the PRSU activity for the three months ended March 31, 2026 is as follows:</w:t>
      </w:r>
    </w:p>
    <w:tbl>
      <w:tblPr>
        <w:tblW w:w="8797" w:type="dxa"/>
        <w:jc w:val="left"/>
        <w:tblInd w:w="0" w:type="dxa"/>
        <w:tblLayout w:type="fixed"/>
        <w:tblCellMar>
          <w:top w:w="28" w:type="dxa"/>
          <w:left w:w="28" w:type="dxa"/>
          <w:bottom w:w="28" w:type="dxa"/>
          <w:right w:w="28" w:type="dxa"/>
        </w:tblCellMar>
      </w:tblPr>
      <w:tblGrid>
        <w:gridCol w:w="1038"/>
        <w:gridCol w:w="912"/>
        <w:gridCol w:w="914"/>
        <w:gridCol w:w="109"/>
        <w:gridCol w:w="109"/>
        <w:gridCol w:w="109"/>
        <w:gridCol w:w="539"/>
        <w:gridCol w:w="539"/>
        <w:gridCol w:w="541"/>
        <w:gridCol w:w="109"/>
        <w:gridCol w:w="109"/>
        <w:gridCol w:w="109"/>
        <w:gridCol w:w="881"/>
        <w:gridCol w:w="2135"/>
        <w:gridCol w:w="644"/>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unrecognized stock-based compensation expense for non-vested PRSUs was $0.4 million, which is expected to be recognized over a weighted-average period of 0.5 years. For the three months ended March 31, 2026 and 2025, the Company recorded stock-based compensation expense for the PRSUs of $0.2 million and $0.2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cost related to the RSUs, PRSUs, and Class P Units in the following expense categories on the accompanying condensed consolidated statements of operations (in thousands):</w:t>
      </w:r>
    </w:p>
    <w:tbl>
      <w:tblPr>
        <w:tblW w:w="6594" w:type="dxa"/>
        <w:jc w:val="left"/>
        <w:tblInd w:w="0" w:type="dxa"/>
        <w:tblLayout w:type="fixed"/>
        <w:tblCellMar>
          <w:top w:w="28" w:type="dxa"/>
          <w:left w:w="28" w:type="dxa"/>
          <w:bottom w:w="28" w:type="dxa"/>
          <w:right w:w="28" w:type="dxa"/>
        </w:tblCellMar>
      </w:tblPr>
      <w:tblGrid>
        <w:gridCol w:w="1360"/>
        <w:gridCol w:w="1198"/>
        <w:gridCol w:w="1206"/>
        <w:gridCol w:w="266"/>
        <w:gridCol w:w="778"/>
        <w:gridCol w:w="137"/>
        <w:gridCol w:w="137"/>
        <w:gridCol w:w="137"/>
        <w:gridCol w:w="137"/>
        <w:gridCol w:w="266"/>
        <w:gridCol w:w="778"/>
        <w:gridCol w:w="194"/>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capitalized to software development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Earnings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computation of income per share attributable to WM Technology, Inc. and weighted-average shares of the Company’s Class A Common Stock outstanding are as follows for the three months ended March 31, 2026 and 2025 (amounts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2671"/>
        <w:gridCol w:w="2343"/>
        <w:gridCol w:w="2365"/>
        <w:gridCol w:w="266"/>
        <w:gridCol w:w="777"/>
        <w:gridCol w:w="136"/>
        <w:gridCol w:w="136"/>
        <w:gridCol w:w="136"/>
        <w:gridCol w:w="136"/>
        <w:gridCol w:w="266"/>
        <w:gridCol w:w="777"/>
        <w:gridCol w:w="196"/>
      </w:tblGrid>
      <w:tr>
        <w:trPr/>
        <w:tc>
          <w:tcPr>
            <w:tcW w:w="267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 after the Business Combination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 Class A Common Stock - basic and diluted</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Class A Common Stock outstanding - basic</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110,588,979</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104,041,260</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dilutive securities: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units</w:t>
            </w:r>
            <w:r>
              <w:rPr>
                <w:rFonts w:ascii="Times New Roman;serif" w:hAnsi="Times New Roman;serif"/>
                <w:b w:val="false"/>
                <w:color w:val="000000"/>
                <w:sz w:val="13"/>
              </w:rPr>
              <w:t>1</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2,950,438 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of shares of Class A Common Stock outstanding - diluted</w:t>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110,801,379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106,991,698</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of Class A Common Stock:</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basic</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 - diluted</w:t>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¹ Calculated using the treasury stock method. </w:t>
      </w:r>
    </w:p>
    <w:p>
      <w:pPr>
        <w:pStyle w:val="TextBody"/>
        <w:bidi w:val="0"/>
        <w:spacing w:lineRule="auto" w:line="288" w:before="0" w:after="0"/>
        <w:jc w:val="both"/>
        <w:rPr/>
      </w:pPr>
      <w:r>
        <w:rPr>
          <w:rFonts w:ascii="Times New Roman;serif" w:hAnsi="Times New Roman;serif"/>
          <w:b w:val="false"/>
          <w:color w:val="000000"/>
          <w:sz w:val="20"/>
        </w:rPr>
        <w:t xml:space="preserve">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w:t>
      </w:r>
      <w:r>
        <w:rPr>
          <w:rFonts w:ascii="Times New Roman;serif" w:hAnsi="Times New Roman;serif"/>
          <w:b w:val="false"/>
          <w:color w:val="000000"/>
          <w:sz w:val="20"/>
          <w:shd w:fill="FFFFFF" w:val="clear"/>
        </w:rPr>
        <w:t>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excluded the following securities from its computation of diluted shares outstanding for three months ended March 31, 2026 and 2025, as their effect would have been anti-dilutive:</w:t>
      </w:r>
    </w:p>
    <w:tbl>
      <w:tblPr>
        <w:tblW w:w="6131" w:type="dxa"/>
        <w:jc w:val="left"/>
        <w:tblInd w:w="0" w:type="dxa"/>
        <w:tblLayout w:type="fixed"/>
        <w:tblCellMar>
          <w:top w:w="28" w:type="dxa"/>
          <w:left w:w="28" w:type="dxa"/>
          <w:bottom w:w="28" w:type="dxa"/>
          <w:right w:w="28" w:type="dxa"/>
        </w:tblCellMar>
      </w:tblPr>
      <w:tblGrid>
        <w:gridCol w:w="848"/>
        <w:gridCol w:w="742"/>
        <w:gridCol w:w="750"/>
        <w:gridCol w:w="780"/>
        <w:gridCol w:w="301"/>
        <w:gridCol w:w="301"/>
        <w:gridCol w:w="301"/>
        <w:gridCol w:w="301"/>
        <w:gridCol w:w="301"/>
        <w:gridCol w:w="780"/>
        <w:gridCol w:w="301"/>
        <w:gridCol w:w="425"/>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V Shares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47,184,402 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49,319,542 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P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13,803,732 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2,484,108 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4,020,267 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4,342,391 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12,499,973 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7,000,000 </w:t>
            </w:r>
          </w:p>
        </w:tc>
        <w:tc>
          <w:tcPr>
            <w:tcW w:w="4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and maturing on December 31, 2025. In an event of default, the outstanding principal amount shall bear interest for the entire period during which the principal balance is unpaid at a rate which is equal to 10% per annum. As of March 31, 2026 and December 31, 2025, the remaining balance of the promissory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WM TECHNOLOGY,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Unaudited</w:t>
      </w:r>
      <w:r>
        <w:rPr>
          <w:rFonts w:ascii="Times New Roman;serif" w:hAnsi="Times New Roman;serif"/>
          <w:b/>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receivable were nil and $0.1 million, respectively, and included in prepaid expenses and other current assets on the condensed consolidated balance sheets. For the three months ended March 31, 2026 and 2025, interest income on the promissory note were nil and less than $0.1 million, respectively, which is included in other income (expense), net on the condensed consolidated statements of operations.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March 31, 2026 and 2025</w:t>
      </w:r>
      <w:r>
        <w:rPr>
          <w:rFonts w:ascii="Times New Roman;serif" w:hAnsi="Times New Roman;serif"/>
          <w:b w:val="false"/>
          <w:color w:val="000000"/>
          <w:sz w:val="20"/>
          <w:shd w:fill="FFFFFF" w:val="clear"/>
        </w:rPr>
        <w:t>, the Company reimb</w:t>
      </w:r>
      <w:r>
        <w:rPr>
          <w:rFonts w:ascii="Times New Roman;serif" w:hAnsi="Times New Roman;serif"/>
          <w:b w:val="false"/>
          <w:color w:val="000000"/>
          <w:sz w:val="20"/>
        </w:rPr>
        <w:t xml:space="preserve">ursed $0.1 million and nil in </w:t>
      </w:r>
      <w:r>
        <w:rPr>
          <w:rFonts w:ascii="Times New Roman;serif" w:hAnsi="Times New Roman;serif"/>
          <w:b w:val="false"/>
          <w:color w:val="000000"/>
          <w:sz w:val="20"/>
          <w:shd w:fill="FFFFFF" w:val="clear"/>
        </w:rPr>
        <w:t>certain legal fees to Silver Spike Holdings, an affiliate to a member of the board of directors in connection with responding to the previously disclosed SEC investigation into the calculation, definition and reporting of the Company’s monthly active users metric, which matter was concluded in October 2024. The expense is included in general and administrative expenses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April 7, 2026, the Company provided notice of its voluntary intention to delist its Class A Common Stock and Public Warrants from the Nasdaq Global Select Market (“Nasdaq”) and eventual deregistration of the Common Stock and Public Warrants under the Exchange Act. On April 17, 2026, the Company filed a Form 25 with the SEC to effect the delisting of the Class A Common Stock and the Public Warrants from Nasdaq and to deregister the Class A Common Stock and Public Warrants under Section 12(b) of the Exchange Act. The removal of the Class A Common Stock and the Public Warrants from Nasdaq became effective on April 24, 2026. On April 27, 2026 the Class A Common Stock commenced trading on the OTCQX Best Market and the Public Warrants commenced trading on the OTCID Basic Market, both operated by the OTC, under the tickers “MAPS” and “MAPSW”.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Once permitted, the Company expects to file a Form 15 with the SEC to deregister the Common Stock and the Public Warrants under the Exchange Act and suspend the Company’s duty to file any reports required under Section 13(a) and 15(d)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WM Technology, Inc. should be read in conjunction with our condensed consolidated financial statements and related notes included in this Quarterly Report on Form 10-Q as well as the discussion under “Item 1A. Risk Factors.”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herein and in our Annual Report on Form 10-K for the year ended December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discussion of our products and services, growth strategy, challenges in our end-markets and competitive strengths, see “Item 1. Business.” Unless stated otherwise, the comparisons presented in this discussion and analysis refer to the year-over-year comparison of changes in our financial condition and results of operations as of and for the three months ended March 31, 2026 and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First Quarter 2026 Financial Highlights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Revenues were $43.6 million as compared to $44.6 million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monthly paying clients was 4,983, as compared to 5,179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Average monthly revenues per paying client was $2,914, as compared to $2,871 in the prior year.</w:t>
      </w:r>
    </w:p>
    <w:p>
      <w:pPr>
        <w:pStyle w:val="TextBody"/>
        <w:bidi w:val="0"/>
        <w:spacing w:lineRule="auto" w:line="288" w:before="60" w:after="283"/>
        <w:ind w:left="0" w:right="0" w:hanging="360"/>
        <w:jc w:val="both"/>
        <w:rPr/>
      </w:pPr>
      <w:r>
        <w:rPr>
          <w:color w:val="000000"/>
          <w:shd w:fill="FFFFFF" w:val="clear"/>
        </w:rPr>
        <w:t>•</w:t>
      </w:r>
      <w:r>
        <w:rPr>
          <w:rFonts w:ascii="Times New Roman;serif" w:hAnsi="Times New Roman;serif"/>
          <w:b w:val="false"/>
          <w:color w:val="000000"/>
          <w:sz w:val="20"/>
        </w:rPr>
        <w:t>Net income was $1.7 million as compared to $2.5 million in the prior year.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Adjusted EBITDA was $5.9 million as compared to Adjusted EBITDA of $10.1 million in the prior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Cash, cash equivalents and marketable securities totaled $57.0 million as of March 31,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further information about how we calculate EBITDA and Adjusted EBITDA as well as limitations of its use and a reconciliation of EBITDA and Adjusted EBITDA to net income, see “Net Income to EBITDA and Adjusted EBITDA” in Non-GAAP Financial Measurements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pStyle w:val="TextBody"/>
        <w:bidi w:val="0"/>
        <w:spacing w:lineRule="auto" w:line="288" w:before="120" w:after="120"/>
        <w:jc w:val="both"/>
        <w:rPr/>
      </w:pPr>
      <w:r>
        <w:rPr>
          <w:rFonts w:ascii="Times New Roman;serif" w:hAnsi="Times New Roman;serif"/>
          <w:b w:val="false"/>
          <w:color w:val="000000"/>
          <w:sz w:val="20"/>
        </w:rPr>
        <w:t>Our business primarily consists of our commerce-driven marketplace (“Weedmaps”), and our fully integrate</w:t>
      </w:r>
      <w:r>
        <w:rPr>
          <w:rFonts w:ascii="Times New Roman;serif" w:hAnsi="Times New Roman;serif"/>
          <w:b w:val="false"/>
          <w:color w:val="000000"/>
          <w:sz w:val="20"/>
          <w:shd w:fill="FFFFFF" w:val="clear"/>
        </w:rPr>
        <w:t>d suite of end-to-end Software-as-a-Service (“SaaS”) solutions software offering (“Weedmaps for Business”). The Weedmaps marketplace is a premier destination for cannabis consumers to discover and browse information regarding cannabis and cannabi</w:t>
      </w:r>
      <w:r>
        <w:rPr>
          <w:rFonts w:ascii="Times New Roman;serif" w:hAnsi="Times New Roman;serif"/>
          <w:b w:val="false"/>
          <w:color w:val="000000"/>
          <w:sz w:val="20"/>
        </w:rPr>
        <w:t>s products with 4,983 average monthly paying clients during the three months ended March 31, 2026, on the supply-side of our marketplace. These paying clients include retailers, brands and other client types (such as doctors). Further, these clients, who can choose to purchase multiple listings solutions for each business, had purchased approximately 8,300 active listing pages as of March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sell our Weedmaps for Business suite in the United States and have a limited number of non-monetized listings in several other countries including Austria, Canada, Germany, the Netherlands, Spain, Switzerland, and Uruguay. We operate in the United States, Canada and other foreign jurisdictions where medical and/or adult cannabis use is legal under state or national law. As of March 31, 2026,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Nasdaq Delisting</w:t>
      </w:r>
    </w:p>
    <w:p>
      <w:pPr>
        <w:pStyle w:val="TextBody"/>
        <w:bidi w:val="0"/>
        <w:spacing w:lineRule="auto" w:line="288" w:before="120" w:after="120"/>
        <w:jc w:val="both"/>
        <w:rPr/>
      </w:pPr>
      <w:r>
        <w:rPr>
          <w:rFonts w:ascii="Times New Roman;serif" w:hAnsi="Times New Roman;serif"/>
          <w:b w:val="false"/>
          <w:color w:val="000000"/>
          <w:sz w:val="20"/>
        </w:rPr>
        <w:t>On April 7, 2026, we provided notice of our voluntary intention to delist our Class A common stock and warrants from the Nasdaq Global Select Market (“Nasdaq”) and eventual deregistration of the Class A common stock and warrants under the Securities Exchange Act of 1934, as amended (the “Exchange Act”). On April 17, 2026, we filed a Form 25 with the Securities and Exchange Commission (the “SEC”) to effect the delisting of the Class A common stock and warrants from Nasdaq and to deregister the Class A common stock and public warrants under Section 12(b) of the Exchange Act. The removal of the Class A common stock and public warrants from Nasdaq became effective on April 24, 2026. On April 27, 2026 the</w:t>
      </w:r>
      <w:r>
        <w:rPr>
          <w:color w:val="000000"/>
          <w:shd w:fill="FFFFFF" w:val="clear"/>
        </w:rPr>
        <w:t xml:space="preserve"> </w:t>
      </w:r>
      <w:r>
        <w:rPr>
          <w:rFonts w:ascii="Times New Roman;serif" w:hAnsi="Times New Roman;serif"/>
          <w:b w:val="false"/>
          <w:color w:val="000000"/>
          <w:sz w:val="20"/>
          <w:shd w:fill="FFFFFF" w:val="clear"/>
        </w:rPr>
        <w:t xml:space="preserve">Class A common stock commenced trading on the OTCQX Best Market and the warrants commenced trading on the OTCID Basic Market, both operated by the OTC, under the tickers “MAPS” and “MAPSW”. </w:t>
      </w:r>
      <w:r>
        <w:rPr>
          <w:rFonts w:ascii="Times New Roman;serif" w:hAnsi="Times New Roman;serif"/>
          <w:b w:val="false"/>
          <w:color w:val="000000"/>
          <w:sz w:val="20"/>
        </w:rPr>
        <w:t>Once permitted, we expect to file a Form 15 with the SEC to deregister the Class A common stock and warrants under the Exchange Act and suspend our duty to file any reports required under Section 13(a) and 15(d) of the Exchange 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continue to focus on growing our comprehensive online marketplace and SaaS offerings to our business clients, following our voluntary delisting from Nasdaq, we also intend to explore unique business opportunities and additional potential revenue streams within the broader cannabis ecosystem. This may include investments, joint ventures, commercial partnerships, acquisitions and/or direct involvement in various parts of the cannabis industry, including in more nascent and disruptive emerging lines of business. While we believe these activities will provide increased strategic flexibility, exposure to attractive long-term growth opportunities, and more tailored capital allocation opportunities to ultimately create long-term value for all shareholders, they may be less likely to result in immediate or short-term financial results. Our board of directors and management team will have substantial discretion to pursue these business opportunities, which may involve longer investment horizons, evolving business models and risks that differ from those associated with our existing marketplace and SaaS offerings, and may not be immediately understood by our broader shareholder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and Financial Metrics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financial and operational metrics to evaluate our business, measure our performance, identify trends affecting our business, formulate business plans and make strategic decisions. The following table summarizes our financial performance for the three months ended March 31, 2026 compared to our financial performance for the three months ended March 31, 2025. For a detailed discussion of our results of operations, see “Results of Operations” below.</w:t>
      </w:r>
    </w:p>
    <w:tbl>
      <w:tblPr>
        <w:tblW w:w="9042" w:type="dxa"/>
        <w:jc w:val="left"/>
        <w:tblInd w:w="0" w:type="dxa"/>
        <w:tblLayout w:type="fixed"/>
        <w:tblCellMar>
          <w:top w:w="28" w:type="dxa"/>
          <w:left w:w="28" w:type="dxa"/>
          <w:bottom w:w="28" w:type="dxa"/>
          <w:right w:w="28" w:type="dxa"/>
        </w:tblCellMar>
      </w:tblPr>
      <w:tblGrid>
        <w:gridCol w:w="1407"/>
        <w:gridCol w:w="1233"/>
        <w:gridCol w:w="1244"/>
        <w:gridCol w:w="443"/>
        <w:gridCol w:w="1519"/>
        <w:gridCol w:w="228"/>
        <w:gridCol w:w="228"/>
        <w:gridCol w:w="228"/>
        <w:gridCol w:w="228"/>
        <w:gridCol w:w="443"/>
        <w:gridCol w:w="1519"/>
        <w:gridCol w:w="322"/>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revenues per paying client)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EBITDA</w:t>
            </w:r>
            <w:r>
              <w:rPr>
                <w:rFonts w:ascii="Times New Roman;serif" w:hAnsi="Times New Roman;serif"/>
                <w:b w:val="false"/>
                <w:color w:val="000000"/>
                <w:sz w:val="13"/>
              </w:rPr>
              <w:t>(1)</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80" w:after="283"/>
              <w:jc w:val="left"/>
              <w:rPr/>
            </w:pPr>
            <w:r>
              <w:rPr>
                <w:rFonts w:ascii="Times New Roman;serif" w:hAnsi="Times New Roman;serif"/>
                <w:b w:val="false"/>
                <w:color w:val="000000"/>
                <w:sz w:val="20"/>
              </w:rPr>
              <w:t>Average monthly revenues per paying client</w:t>
            </w:r>
            <w:r>
              <w:rPr>
                <w:rFonts w:ascii="Times New Roman;serif" w:hAnsi="Times New Roman;serif"/>
                <w:b w:val="false"/>
                <w:color w:val="000000"/>
                <w:sz w:val="13"/>
              </w:rPr>
              <w:t>(2)</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Average monthly paying clients</w:t>
            </w:r>
            <w:r>
              <w:rPr>
                <w:rFonts w:ascii="Times New Roman;serif" w:hAnsi="Times New Roman;serif"/>
                <w:b w:val="false"/>
                <w:color w:val="000000"/>
                <w:sz w:val="13"/>
              </w:rPr>
              <w:t>(3)</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 further information about how we calculate EBITDA and Adjusted EBITDA as well as limitations of its use and a reconciliation of EBITDA and Adjusted EBITDA to net income, see “Net Income to EBITDA and Adjusted EBITDA” in Non-GAAP Financial Measurements below.</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(2)Average monthly revenues per paying client is defined as the average monthly revenues for any particular period divided by the average monthly paying clients in the same respective period.</w:t>
      </w:r>
    </w:p>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(3)Average monthly paying clients are defined as the average of the number of paying clients billed in a month across a particular period (and for which services were provided). </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Average Monthly Revenues Per Paying Client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Average monthly revenues per paying client measures how much clients, for the period of measurement, are willing to pay us for our subscription and additional offerings and the efficiency of the bid-auction process for our featured listings placements (“Featured Listings”). We calculate this metric by dividing the average monthly revenues for any particular period by the average monthly number of paying clients in the same respective period. The increase in our average monthly revenues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paying client for the three months ended March 31, 2026 compared to the same period in 2025 was primarily due to a positive mix impact from churn among clients with below-average spend levels. </w:t>
      </w:r>
    </w:p>
    <w:p>
      <w:pPr>
        <w:pStyle w:val="TextBody"/>
        <w:bidi w:val="0"/>
        <w:spacing w:lineRule="auto" w:line="288" w:before="180" w:after="60"/>
        <w:jc w:val="left"/>
        <w:rPr>
          <w:rFonts w:ascii="Times New Roman;serif" w:hAnsi="Times New Roman;serif"/>
          <w:b/>
          <w:i/>
          <w:color w:val="000000"/>
          <w:sz w:val="20"/>
        </w:rPr>
      </w:pPr>
      <w:r>
        <w:rPr>
          <w:rFonts w:ascii="Times New Roman;serif" w:hAnsi="Times New Roman;serif"/>
          <w:b/>
          <w:i/>
          <w:color w:val="000000"/>
          <w:sz w:val="20"/>
        </w:rPr>
        <w:t>Average Monthly Paying Clients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Average monthly paying clients for the three months ended March 31, 2026 decreased 4% to 4,983 average monthly paying clients from 5,179 average monthly paying clients in the same period in 2025. The decrease in average monthly paying clients in the three months ended March 31, 2026 as compared to the same period in 2025 was primarily due to a churn in more established markets, partially offset by new client acquisitions across certain developing markets.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Net Income to EBITDA and Adjusted EBITDA</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financial statements, including net income, are prepared in accordance with GAAP. For more information regarding the components within our net income, see “Components of Our Results of Operations”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for the three months ended March 31, 2026 was $1.7 million compared to $2.5 million for the three months ended March 31, 2025. The decrease in net income was primarily due to a decrease in revenue of $1.1 million, an increase in operating expenses of $1.4 million, partially offset by an increase in other income of $1.0 million, change in fair value of warrant liability of $0.1 million and change in tax receivable agreement liability of $0.5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stock-based compensation, change in fair value of warrant liability, legal settlements and other legal costs, loss contingency, one-time asset sales, reduction in force expense, change in the TRA liability and other non-cash, unusual and/or infrequent costs in the case of Adjusted EBITDA. Below we have provided a reconciliation of net income (the most directly comparable GAAP financial measure) to EBITDA; and from EBITDA to 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changes in, or cash requirements for, our working capital needs;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EBITDA and Adjusted EBITDA do not reflect tax payments that may represent a reduction in cash available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you should consider EBITDA and Adjusted EBITDA alongside other financial performance measures, including net income and our other GAAP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 to non-GAAP EBITDA and Adjusted EBITDA is as follows:</w:t>
      </w:r>
    </w:p>
    <w:tbl>
      <w:tblPr>
        <w:tblW w:w="7004" w:type="dxa"/>
        <w:jc w:val="left"/>
        <w:tblInd w:w="0" w:type="dxa"/>
        <w:tblLayout w:type="fixed"/>
        <w:tblCellMar>
          <w:top w:w="28" w:type="dxa"/>
          <w:left w:w="28" w:type="dxa"/>
          <w:bottom w:w="28" w:type="dxa"/>
          <w:right w:w="28" w:type="dxa"/>
        </w:tblCellMar>
      </w:tblPr>
      <w:tblGrid>
        <w:gridCol w:w="1353"/>
        <w:gridCol w:w="1186"/>
        <w:gridCol w:w="1195"/>
        <w:gridCol w:w="255"/>
        <w:gridCol w:w="746"/>
        <w:gridCol w:w="132"/>
        <w:gridCol w:w="132"/>
        <w:gridCol w:w="132"/>
        <w:gridCol w:w="132"/>
        <w:gridCol w:w="255"/>
        <w:gridCol w:w="873"/>
        <w:gridCol w:w="132"/>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domain name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Legal settlements and other legal costs</w:t>
            </w:r>
            <w:r>
              <w:rPr>
                <w:rFonts w:ascii="Times New Roman;serif" w:hAnsi="Times New Roman;serif"/>
                <w:b w:val="false"/>
                <w:color w:val="000000"/>
                <w:sz w:val="13"/>
              </w:rPr>
              <w:t>(1)</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force expense</w:t>
            </w:r>
            <w:r>
              <w:rPr>
                <w:rFonts w:ascii="Times New Roman;serif" w:hAnsi="Times New Roman;serif"/>
                <w:b w:val="false"/>
                <w:color w:val="000000"/>
                <w:sz w:val="13"/>
              </w:rPr>
              <w:t>(2)</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contingency</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9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Represents legal and advisory fees related to ongoing litigation related to shareholder derivative actions. See Note 5, “Commitments and Contingencies” to our condensed consolidated financial statements included herein.</w:t>
      </w:r>
    </w:p>
    <w:p>
      <w:pPr>
        <w:pStyle w:val="TextBody"/>
        <w:bidi w:val="0"/>
        <w:spacing w:lineRule="auto" w:line="288" w:before="60" w:after="60"/>
        <w:ind w:left="0" w:right="0" w:hanging="9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severance charges related to certain reduction in force actions taken by our management. These reduction in force actions are designed to enhance operational efficiency and align resources with strategic priorities in our corporate technology and marketing divisions.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Factors Affecting Our Performance</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Growth of Our Two-Sided Weedmaps Marketplace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Growth and Retention of Our Paying Clients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global conflicts. Increasing prices in the component materials for the goods or services of our clients have and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 In addition, price deflation across our core markets has and may continue to compress our clients’ operating margins and marketing budgets, which directly impacts our revenue.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Regulation and Maturation of Cannabis Markets</w:t>
      </w:r>
    </w:p>
    <w:p>
      <w:pPr>
        <w:pStyle w:val="TextBody"/>
        <w:bidi w:val="0"/>
        <w:spacing w:lineRule="auto" w:line="288" w:before="0" w:after="120"/>
        <w:jc w:val="both"/>
        <w:rPr/>
      </w:pPr>
      <w:r>
        <w:rPr>
          <w:rFonts w:ascii="Times New Roman;serif" w:hAnsi="Times New Roman;serif"/>
          <w:b w:val="false"/>
          <w:color w:val="000000"/>
          <w:sz w:val="20"/>
        </w:rPr>
        <w:t>We believe that we will have significant opportunities for greater growth as more jurisdictions legalize cannabis for medical and/or adult-use and the regulatory environment continues to develop. Currently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forty </w:t>
      </w:r>
      <w:r>
        <w:rPr>
          <w:rFonts w:ascii="Times New Roman;serif" w:hAnsi="Times New Roman;serif"/>
          <w:b w:val="false"/>
          <w:color w:val="000000"/>
          <w:sz w:val="20"/>
          <w:shd w:fill="FFFFFF" w:val="clear"/>
        </w:rPr>
        <w:t>states, the</w:t>
      </w:r>
      <w:r>
        <w:rPr>
          <w:color w:val="000000"/>
        </w:rPr>
        <w:t xml:space="preserve"> </w:t>
      </w:r>
      <w:r>
        <w:rPr>
          <w:rFonts w:ascii="Times New Roman;serif" w:hAnsi="Times New Roman;serif"/>
          <w:b w:val="false"/>
          <w:color w:val="000000"/>
          <w:sz w:val="20"/>
        </w:rPr>
        <w:t>District of Columbia, Puerto Rico, the Virgin Islands, Guam and the Northern Mariana have legalized some form of cannabis use for certain medical purpose</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 xml:space="preserve">Twenty-four of those states, the District of Columbia, Guam and Northern Mariana have legalized cannabis for adults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non-medical purposes as well (sometimes referred to as adult or recreational use). Eight additional states have legalized forms of low-potency cannabis, for select medical conditions. Only two states continue to prohibit cannabis entirely. We intend to explore new expansion opportunities as additional jurisdictions legalize cannabis for medical or adult use and leverage our business model informed by our 18-year operating history to enter new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we compete with cannabis-focused and general two-sided marketplaces, internet search engines, delivery companies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Brand Recognition and Reputation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have and expect to continue to shift and accelerate our marketing spend to additional online and traditional channels, such as broadcast television or radio, as they become available to us. Further, we are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Investments in Growth</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continue to make focused organic and inorganic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 As operating expenses and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expenditures fluctuate over time, we may accordingly experience short-term, negative impacts to our operating results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120"/>
        <w:jc w:val="both"/>
        <w:rPr/>
      </w:pPr>
      <w:r>
        <w:rPr>
          <w:rFonts w:ascii="Times New Roman;serif" w:hAnsi="Times New Roman;serif"/>
          <w:b w:val="false"/>
          <w:color w:val="000000"/>
          <w:sz w:val="20"/>
          <w:shd w:fill="FFFFFF" w:val="clear"/>
        </w:rPr>
        <w:t>Our revenues are derived primarily from monthly subscriptions to Weedmaps for Bu</w:t>
      </w:r>
      <w:r>
        <w:rPr>
          <w:rFonts w:ascii="Times New Roman;serif" w:hAnsi="Times New Roman;serif"/>
          <w:b w:val="false"/>
          <w:color w:val="000000"/>
          <w:sz w:val="20"/>
        </w:rPr>
        <w:t>siness, Featured Listing and WM Deal products and other ad solutions. Our Weedmaps for Business subscriptions generally have one-month terms that autom</w:t>
      </w:r>
      <w:r>
        <w:rPr>
          <w:rFonts w:ascii="Times New Roman;serif" w:hAnsi="Times New Roman;serif"/>
          <w:b w:val="false"/>
          <w:color w:val="000000"/>
          <w:sz w:val="20"/>
          <w:shd w:fill="FFFFFF" w:val="clear"/>
        </w:rPr>
        <w:t>atically renew unless notice of cancellation is provided in advance. Featured Listing and WM Deal products are offered as add-on products to the Weedmaps for Business subscriptions. Featured Listing and WM Deal products provide customers with premium placement ad solutions and discount and promotion pricing tools. Other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Cost of Revenues (Exclusive of Depreciation and Amortization)</w:t>
      </w:r>
    </w:p>
    <w:p>
      <w:pPr>
        <w:pStyle w:val="TextBody"/>
        <w:bidi w:val="0"/>
        <w:spacing w:lineRule="auto" w:line="288" w:before="120" w:after="120"/>
        <w:jc w:val="both"/>
        <w:rPr/>
      </w:pPr>
      <w:r>
        <w:rPr>
          <w:rFonts w:ascii="Times New Roman;serif" w:hAnsi="Times New Roman;serif"/>
          <w:b w:val="false"/>
          <w:color w:val="000000"/>
          <w:sz w:val="20"/>
        </w:rPr>
        <w:t>Cost of revenues excludes depreciation and amortization expense and primarily consists of web hosting, internet service and credit card processing costs. Cost of revenues is primarily driven by fluctuations</w:t>
      </w:r>
      <w:r>
        <w:rPr>
          <w:color w:val="000000"/>
          <w:shd w:fill="FFFFFF" w:val="clear"/>
        </w:rPr>
        <w:t xml:space="preserve"> </w:t>
      </w:r>
      <w:r>
        <w:rPr>
          <w:rFonts w:ascii="Times New Roman;serif" w:hAnsi="Times New Roman;serif"/>
          <w:b w:val="false"/>
          <w:color w:val="000000"/>
          <w:sz w:val="20"/>
          <w:shd w:fill="FFFFFF" w:val="clear"/>
        </w:rPr>
        <w:t>in revenue leading to increases or decreases in credit card processing and web hosting cost. We expect our cost of revenue to continue to increase on an a</w:t>
      </w:r>
      <w:r>
        <w:rPr>
          <w:rFonts w:ascii="Times New Roman;serif" w:hAnsi="Times New Roman;serif"/>
          <w:b w:val="false"/>
          <w:color w:val="000000"/>
          <w:sz w:val="20"/>
        </w:rPr>
        <w:t>bsolute basis and remain relatively flat as a percentage of revenue as we scale our business and inventory costs related to multi-media offerings.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Selling and Marketing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consist of salaries and benefits, stock-based compensation expense, travel expense, incentive compensation, severance and restructuring expense for our sales and marketing employees. In addition, sales and marketing expenses include customer acquisition marketing, events cost and branding, advertising costs and related software expense. Over the longer term, we expect sales and marketing expense to increase in a manner consistent with revenue growth, however, we may experience fluctuations in some periods as we enter and develop new markets or have large one-time marketing projects.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Product development costs consist of salaries and benefits, stock-based compensation expense, travel expense, incentive compensation, severance and restructuring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(recovery) for credit losses, loss contingency, legal settlements and professional and outside services related to legal and other consulting services. General and administrative expenses are primarily driven by headcount required to support our business and meet our obligations as a public company. Excluding provision for doubtful accounts and certain non recurring charges, we expect general and administrative expenses to flatten as percentage of revenue as we scale our business and leverage investments in these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Depreciation and Amortization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depreciation on computer equipment, furniture and fixtures, leasehold improvements, capitalized software development costs and amortization of intangibles. We expect depreciation and amortization expenses to flatten on an absolute basis for the foreseeable future.</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fair value of warrant liability, TRA liability remeasurement, interest income earned on cash, cash equivalents and other investments and other non-operating income and expense.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 discussion regarding our financial condition and results of operations for the </w:t>
      </w:r>
      <w:r>
        <w:rPr>
          <w:rFonts w:ascii="Times New Roman;serif" w:hAnsi="Times New Roman;serif"/>
          <w:b w:val="false"/>
          <w:color w:val="000000"/>
          <w:sz w:val="20"/>
        </w:rPr>
        <w:t xml:space="preserve">three months ended March 31, 2026 compared to three months ended March 31, 2025 is </w:t>
      </w:r>
      <w:r>
        <w:rPr>
          <w:rFonts w:ascii="Times New Roman;serif" w:hAnsi="Times New Roman;serif"/>
          <w:b w:val="false"/>
          <w:color w:val="000000"/>
          <w:sz w:val="20"/>
          <w:shd w:fill="FFFFFF" w:val="clear"/>
        </w:rPr>
        <w:t xml:space="preserve">presented below.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sets forth our results of operations for the periods presented and express the relationship of certain line items as a percentage of revenues for those periods.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766"/>
        <w:gridCol w:w="1376"/>
        <w:gridCol w:w="1386"/>
        <w:gridCol w:w="211"/>
        <w:gridCol w:w="721"/>
        <w:gridCol w:w="109"/>
        <w:gridCol w:w="109"/>
        <w:gridCol w:w="109"/>
        <w:gridCol w:w="109"/>
        <w:gridCol w:w="237"/>
        <w:gridCol w:w="237"/>
        <w:gridCol w:w="592"/>
        <w:gridCol w:w="109"/>
        <w:gridCol w:w="109"/>
        <w:gridCol w:w="109"/>
        <w:gridCol w:w="211"/>
        <w:gridCol w:w="721"/>
        <w:gridCol w:w="109"/>
        <w:gridCol w:w="109"/>
        <w:gridCol w:w="109"/>
        <w:gridCol w:w="109"/>
        <w:gridCol w:w="237"/>
        <w:gridCol w:w="237"/>
        <w:gridCol w:w="592"/>
        <w:gridCol w:w="109"/>
        <w:gridCol w:w="109"/>
        <w:gridCol w:w="109"/>
        <w:gridCol w:w="155"/>
      </w:tblGrid>
      <w:tr>
        <w:trPr/>
        <w:tc>
          <w:tcPr>
            <w:tcW w:w="176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482" w:type="dxa"/>
            <w:gridSpan w:val="4"/>
            <w:tcBorders/>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WM Technology,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Three Months Ended March 31, 2026 and 2025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6015" w:type="dxa"/>
        <w:jc w:val="left"/>
        <w:tblInd w:w="0" w:type="dxa"/>
        <w:tblLayout w:type="fixed"/>
        <w:tblCellMar>
          <w:top w:w="28" w:type="dxa"/>
          <w:left w:w="28" w:type="dxa"/>
          <w:bottom w:w="28" w:type="dxa"/>
          <w:right w:w="28" w:type="dxa"/>
        </w:tblCellMar>
      </w:tblPr>
      <w:tblGrid>
        <w:gridCol w:w="332"/>
        <w:gridCol w:w="291"/>
        <w:gridCol w:w="293"/>
        <w:gridCol w:w="244"/>
        <w:gridCol w:w="835"/>
        <w:gridCol w:w="126"/>
        <w:gridCol w:w="126"/>
        <w:gridCol w:w="126"/>
        <w:gridCol w:w="126"/>
        <w:gridCol w:w="244"/>
        <w:gridCol w:w="835"/>
        <w:gridCol w:w="126"/>
        <w:gridCol w:w="109"/>
        <w:gridCol w:w="109"/>
        <w:gridCol w:w="109"/>
        <w:gridCol w:w="211"/>
        <w:gridCol w:w="691"/>
        <w:gridCol w:w="109"/>
        <w:gridCol w:w="109"/>
        <w:gridCol w:w="109"/>
        <w:gridCol w:w="109"/>
        <w:gridCol w:w="164"/>
        <w:gridCol w:w="166"/>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Revenues decreased by $1.1 million or 2% for the three months ended March 31, 2026 compared to the same period in 2025. The decrease was primarily due to a decrease in revenues from our Weedmaps for Business of $0.2 million and a decrease in revenues from other WM Ad solutions of $1.5 million, partially offset by an increase in revenues from our Featured Listing and WM Deal products of $0.6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Featured Listing and WM Deal products, Weedmaps for Business and other ad solutions represented approximately 64%, 31% and 5% our total revenues,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Costs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our total costs and expenses:</w:t>
      </w:r>
    </w:p>
    <w:tbl>
      <w:tblPr>
        <w:tblW w:w="10205" w:type="dxa"/>
        <w:jc w:val="left"/>
        <w:tblInd w:w="0" w:type="dxa"/>
        <w:tblLayout w:type="fixed"/>
        <w:tblCellMar>
          <w:top w:w="28" w:type="dxa"/>
          <w:left w:w="28" w:type="dxa"/>
          <w:bottom w:w="28" w:type="dxa"/>
          <w:right w:w="28" w:type="dxa"/>
        </w:tblCellMar>
      </w:tblPr>
      <w:tblGrid>
        <w:gridCol w:w="1918"/>
        <w:gridCol w:w="1646"/>
        <w:gridCol w:w="1651"/>
        <w:gridCol w:w="233"/>
        <w:gridCol w:w="798"/>
        <w:gridCol w:w="120"/>
        <w:gridCol w:w="120"/>
        <w:gridCol w:w="120"/>
        <w:gridCol w:w="120"/>
        <w:gridCol w:w="233"/>
        <w:gridCol w:w="798"/>
        <w:gridCol w:w="120"/>
        <w:gridCol w:w="109"/>
        <w:gridCol w:w="109"/>
        <w:gridCol w:w="109"/>
        <w:gridCol w:w="211"/>
        <w:gridCol w:w="616"/>
        <w:gridCol w:w="109"/>
        <w:gridCol w:w="109"/>
        <w:gridCol w:w="109"/>
        <w:gridCol w:w="109"/>
        <w:gridCol w:w="206"/>
        <w:gridCol w:w="209"/>
        <w:gridCol w:w="323"/>
      </w:tblGrid>
      <w:tr>
        <w:trPr/>
        <w:tc>
          <w:tcPr>
            <w:tcW w:w="191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5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shown separately below)</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1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r>
        <w:trPr/>
        <w:tc>
          <w:tcPr>
            <w:tcW w:w="5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cost of revenues for the three months ended March 31, 2026 was flat compared to the same period in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sales and marketing expenses for the three months ended March 31, 2026 compared to the same period in 2025 was primarily related to increases in advertising expense of $1.3 million and outside service expense of $0.2 million, partially offset by a decrease in personnel-related costs of $1.2 million. The decrease in personnel-related costs was primarily related to decreases in salary and wages of $0.6 million, bonus expense of $0.3 million, vacation expense of $0.2 million and stock-based compensation expense of $0.2 million, partially offset by an increase in severance expense of $0.1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Product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decrease in product development expenses for the three months ended March 31, 2026 compared to the same period in 2025 was primarily due to decreases in personnel-related costs of $1.0 million and outside service expense of $0.4 million, partially offset by an increase in software expense of $0.4 million. The decrease in personnel-related costs was primarily related to decreases in salaries and wages of $0.3 million, bonus expense of $0.2 million, stock-based compensation expense of $0.4 million and severance expense of $0.1 million.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general and administrative expenses for the three months ended March 31, 2026 compared to the same period in 2025 was primarily due to increases in salary and wages of $0.2 million, provision for credit losses of $3.6 million as ongoing operator financial pressure continued to impact collections from certain delinquent accounts, and other expense of $0.2 million, partially offset by bonus expense of $0.1 million, vacation expense of $0.1 million, stock-based compensation expense of $0.3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million, employee benefits expense of $0.5 million, outside service expense of $0.5 million and software expense of $0.1 million.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decrease in depreciation and amortization expense for the three months ended March 31, 2026 compared to the same period in 2025 was primarily due to a decrease in depreciation of $0.3 million related to capitalized software development.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tbl>
      <w:tblPr>
        <w:tblW w:w="8999" w:type="dxa"/>
        <w:jc w:val="left"/>
        <w:tblInd w:w="0" w:type="dxa"/>
        <w:tblLayout w:type="fixed"/>
        <w:tblCellMar>
          <w:top w:w="28" w:type="dxa"/>
          <w:left w:w="28" w:type="dxa"/>
          <w:bottom w:w="28" w:type="dxa"/>
          <w:right w:w="28" w:type="dxa"/>
        </w:tblCellMar>
      </w:tblPr>
      <w:tblGrid>
        <w:gridCol w:w="1354"/>
        <w:gridCol w:w="1185"/>
        <w:gridCol w:w="1195"/>
        <w:gridCol w:w="277"/>
        <w:gridCol w:w="809"/>
        <w:gridCol w:w="143"/>
        <w:gridCol w:w="143"/>
        <w:gridCol w:w="143"/>
        <w:gridCol w:w="143"/>
        <w:gridCol w:w="277"/>
        <w:gridCol w:w="710"/>
        <w:gridCol w:w="143"/>
        <w:gridCol w:w="109"/>
        <w:gridCol w:w="109"/>
        <w:gridCol w:w="109"/>
        <w:gridCol w:w="211"/>
        <w:gridCol w:w="616"/>
        <w:gridCol w:w="109"/>
        <w:gridCol w:w="109"/>
        <w:gridCol w:w="109"/>
        <w:gridCol w:w="109"/>
        <w:gridCol w:w="284"/>
        <w:gridCol w:w="287"/>
        <w:gridCol w:w="316"/>
      </w:tblGrid>
      <w:tr>
        <w:trPr/>
        <w:tc>
          <w:tcPr>
            <w:tcW w:w="1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tax receivable agreement liability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other income (expense), net for the three months ended March 31, 2026 compared to the same period in 2025 was primarily due to comparatively favorable changes in fair value of warrant liability of $0.1 million, changes in tax receivable agreement liability of $0.5 million, an increase in interest income of $0.1 million and an increase in other income of $1.0 million from sale of a domain name.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933" w:type="dxa"/>
        <w:jc w:val="left"/>
        <w:tblInd w:w="0" w:type="dxa"/>
        <w:tblLayout w:type="fixed"/>
        <w:tblCellMar>
          <w:top w:w="28" w:type="dxa"/>
          <w:left w:w="28" w:type="dxa"/>
          <w:bottom w:w="28" w:type="dxa"/>
          <w:right w:w="28" w:type="dxa"/>
        </w:tblCellMar>
      </w:tblPr>
      <w:tblGrid>
        <w:gridCol w:w="825"/>
        <w:gridCol w:w="726"/>
        <w:gridCol w:w="729"/>
        <w:gridCol w:w="371"/>
        <w:gridCol w:w="636"/>
        <w:gridCol w:w="192"/>
        <w:gridCol w:w="192"/>
        <w:gridCol w:w="192"/>
        <w:gridCol w:w="192"/>
        <w:gridCol w:w="371"/>
        <w:gridCol w:w="451"/>
        <w:gridCol w:w="192"/>
        <w:gridCol w:w="109"/>
        <w:gridCol w:w="109"/>
        <w:gridCol w:w="109"/>
        <w:gridCol w:w="211"/>
        <w:gridCol w:w="361"/>
        <w:gridCol w:w="109"/>
        <w:gridCol w:w="269"/>
        <w:gridCol w:w="271"/>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March 31, 2025, we recorded less than $0.1 million in income tax provisions due to the impact of the full valuation allowance on our net deferred assets. See Note 2, “Summary of Significant Accounting Policies—Income Taxes,”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20"/>
        <w:jc w:val="both"/>
        <w:rPr/>
      </w:pPr>
      <w:r>
        <w:rPr>
          <w:rFonts w:ascii="Times New Roman;serif" w:hAnsi="Times New Roman;serif"/>
          <w:b w:val="false"/>
          <w:color w:val="000000"/>
          <w:sz w:val="20"/>
        </w:rPr>
        <w:t>The cannabis industry has certain industry holidays that in recent years have resulted in increased purchases by cannabis consumers. Such “holidays” include, but are not limited to April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(420) and the day before Thanksgiving (Green Wednesday).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our cash, accounts receivable and working capital as of the dates indicated:</w:t>
      </w:r>
    </w:p>
    <w:tbl>
      <w:tblPr>
        <w:tblW w:w="7602" w:type="dxa"/>
        <w:jc w:val="left"/>
        <w:tblInd w:w="0" w:type="dxa"/>
        <w:tblLayout w:type="fixed"/>
        <w:tblCellMar>
          <w:top w:w="28" w:type="dxa"/>
          <w:left w:w="28" w:type="dxa"/>
          <w:bottom w:w="28" w:type="dxa"/>
          <w:right w:w="28" w:type="dxa"/>
        </w:tblCellMar>
      </w:tblPr>
      <w:tblGrid>
        <w:gridCol w:w="1472"/>
        <w:gridCol w:w="1293"/>
        <w:gridCol w:w="1300"/>
        <w:gridCol w:w="292"/>
        <w:gridCol w:w="998"/>
        <w:gridCol w:w="150"/>
        <w:gridCol w:w="109"/>
        <w:gridCol w:w="109"/>
        <w:gridCol w:w="109"/>
        <w:gridCol w:w="344"/>
        <w:gridCol w:w="1175"/>
        <w:gridCol w:w="251"/>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we had cash, cash equivalents and marketable securities of $57.0 million and $62.4 million, respectively. Our funds are being used for funding our current operations and potential strategic acquisitions in the future. We also intend to increase our capital expenditures to support the organic growth in our business and operations. We expect to fund our short-term and long-term liquidity requirements from cash, cash equivalents, marketable securities and working capital on hand at March 31, 2026, as well as from cash provided by operating activities. We believe that our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cash equivalents, marketable securities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primarily finance our operations and capital expenditures through cash flows generated by operations. To the extent existing cash, cash equivalents and marketable securities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Cash Flows</w:t>
      </w:r>
    </w:p>
    <w:tbl>
      <w:tblPr>
        <w:tblW w:w="7045" w:type="dxa"/>
        <w:jc w:val="left"/>
        <w:tblInd w:w="0" w:type="dxa"/>
        <w:tblLayout w:type="fixed"/>
        <w:tblCellMar>
          <w:top w:w="28" w:type="dxa"/>
          <w:left w:w="28" w:type="dxa"/>
          <w:bottom w:w="28" w:type="dxa"/>
          <w:right w:w="28" w:type="dxa"/>
        </w:tblCellMar>
      </w:tblPr>
      <w:tblGrid>
        <w:gridCol w:w="1524"/>
        <w:gridCol w:w="1340"/>
        <w:gridCol w:w="1350"/>
        <w:gridCol w:w="239"/>
        <w:gridCol w:w="903"/>
        <w:gridCol w:w="123"/>
        <w:gridCol w:w="123"/>
        <w:gridCol w:w="123"/>
        <w:gridCol w:w="123"/>
        <w:gridCol w:w="239"/>
        <w:gridCol w:w="784"/>
        <w:gridCol w:w="17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Operating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from operating activities consists primarily of net income adjusted for certain non-cash items, including depreciation and amortization, change in fair value of warrant liability, change in TRA liability, amortization of right-of-use lease assets, stock-based compensation, asset impairment charges, gain on lease termination, provision (recovery) for credit losses and the effect of changes in working capital.</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Net cash provided by operating activities is affected by changes in operating assets and liabilities, such as accounts receivable which is impacted by the timing of customer billings and related collections from our customers, accounts payable </w:t>
      </w:r>
      <w:r>
        <w:rPr>
          <w:rFonts w:ascii="Times New Roman;serif" w:hAnsi="Times New Roman;serif"/>
          <w:b w:val="false"/>
          <w:color w:val="000000"/>
          <w:sz w:val="20"/>
        </w:rPr>
        <w:t>and accrued expenses which is impacted by timing of payments and accrued personnel costs which are impacted by employee performance targets and the timing of payments related to employee bonus incentives.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by operating activities for the three months ended March 31, 2026 was $1.3 million, which resulted from net income of $1.7 million, together with net cash outflows of $10.6 million from changes in operating assets and liabilities, and non-cash items of $7.6 million, consisting of depreciation and amortization of $3.1 million, stock-based compensation of $1.3 million, amortization of right-of-use lease assets of $0.6 million, and change in the warrant liability of $0.1 million, gain on sale of domain name of $1.0 million, recovery of contract loss contingency of $0.2 million and provision for credit losses of $3.9 million. Net cash outflows from changes in operating assets and liabilities for the three months ended March 31, 2026 was primarily due to an increase in accounts receivable of $6.2 million, a decrease in accounts payable and accrued expenses of $4.8 million, a decrease in operating lease liabilities of $0.9 million and an increase in other assets of $0.4 million, partially offset by a decrease in prepaid expenses and other current assets of $1.2 million and an increase in deferred revenue of $0.5 million. The changes in operating assets and liabilities were mostly due to fluctuations in timing of cash receipts and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three months ended March 31, 2025 was $5.7 million, which resulted from net income of $2.5 million, together with net cash outflows of $3.8 million from changes in operating assets and liabilities, and non-cash items of $7.0 million, consisting of depreciation and amortization of $3.3 million, stock-based compensation of $2.2 million, amortization of right-of-use lease assets of $0.6 million and change in the TRA liability of $0.5 million and provision for credit losses of $0.3 million. Net cash outflows from changes in operating assets and liabilities for the three months ended March 31, 2025 were primarily due to a decrease in accounts payable and accrued expenses of $1.1 million and a decrease in operating lease liabilities of $0.9 million, an increase in prepaid expenses and other current assets of $0.6 million, a decrease in deferred revenue of $0.4 million and an increase in accounts receivables of $0.9 million. The changes in operating assets and liabilities are mostly due to fluctuations in timing of cash receipts and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2026 was $13.0 million, which resulted from $2.5 million cash paid for capital expenditures which include purchases of property and equipment and capitalized software development costs, $11.5 million cash paid to purchase securities and $1.0 million in proceeds from sale of domain name.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three months ended March 31, 2025 was $3.7 million, which resulted from $3.7 million cash paid for capital expenditures which include purchases of property and equipment and capitalized software development costs.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Cash Used in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outflows from financing activities for the three months ended March 31, 2026 was $2.6 million, which primarily consists of $2.7 million in TRA payments and $0.1 million in proceeds from collection of related party note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outflows from financing activities for three months ended March 31, 2025 was $0.7 million, which primarily consists of $0.7 million in distributions payments to members of WMH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120"/>
        <w:jc w:val="both"/>
        <w:rPr/>
      </w:pPr>
      <w:r>
        <w:rPr>
          <w:rFonts w:ascii="Times New Roman;serif" w:hAnsi="Times New Roman;serif"/>
          <w:b w:val="false"/>
          <w:color w:val="000000"/>
          <w:sz w:val="20"/>
        </w:rPr>
        <w:t xml:space="preserve">We have non-cancellable contractual agreements primarily related to leases and other purchase obligations. As of March 31, 2026, future payments on our operating leases were $32.5 million. We also have minimum outstanding purchase obligations of approximately $5.2 million, due under software license agreements, of which the majority relates to the remaining period of our three-year AWS Enterprise agreement. </w:t>
      </w:r>
      <w:r>
        <w:rPr>
          <w:rFonts w:ascii="Times New Roman;serif" w:hAnsi="Times New Roman;serif"/>
          <w:b w:val="false"/>
          <w:color w:val="000000"/>
          <w:sz w:val="20"/>
          <w:shd w:fill="FFFFFF" w:val="clear"/>
        </w:rPr>
        <w:t xml:space="preserve">During the year ended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prompted by a downward revision in forecasted server cost spend for the full fiscal year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w:t>
      </w:r>
      <w:r>
        <w:rPr>
          <w:color w:val="000000"/>
          <w:shd w:fill="FFFFFF" w:val="clear"/>
        </w:rPr>
        <w:t xml:space="preserve"> </w:t>
      </w:r>
      <w:r>
        <w:rPr>
          <w:rFonts w:ascii="Times New Roman;serif" w:hAnsi="Times New Roman;serif"/>
          <w:b w:val="false"/>
          <w:color w:val="000000"/>
          <w:sz w:val="20"/>
          <w:shd w:fill="FFFFFF" w:val="clear"/>
        </w:rPr>
        <w:t xml:space="preserve">performed a review of our cloud infrastructure strategy prompted by a downward revision in forecasted server cost spend for the full fiscal year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The lower spend identified was attributable to server management optimization and efficiencies implemented during 2024 and 2025 and discounts received on prepayments under the AWS agreement. Due to the revised forecast, we identified a probable shortfall in the minimum purchase obligation and recorded a loss contingency of $2.3 million in the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 xml:space="preserve">three months ended March 31, 2026, the Company conducted similar analyses, and recorded a reduction in shortfall from minimum purchase obligation of $0.2 million. As of March 31, 2026 and December 31, 2025, we had amounts due to AWS of $1.3 million and </w:t>
      </w:r>
      <w:r>
        <w:rPr>
          <w:rFonts w:ascii="Times New Roman;serif" w:hAnsi="Times New Roman;serif"/>
          <w:b w:val="false"/>
          <w:color w:val="000000"/>
          <w:sz w:val="20"/>
          <w:shd w:fill="FFFFFF" w:val="clear"/>
        </w:rPr>
        <w:t xml:space="preserve">$2.3 million, respectively, which is included in </w:t>
      </w:r>
      <w:r>
        <w:rPr>
          <w:rFonts w:ascii="Times New Roman;serif" w:hAnsi="Times New Roman;serif"/>
          <w:b w:val="false"/>
          <w:color w:val="000000"/>
          <w:sz w:val="20"/>
        </w:rPr>
        <w:t>accounts payable and accrued expenses in our condensed consolidated balance sheet.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December 31, 2025</w:t>
      </w:r>
      <w:r>
        <w:rPr>
          <w:rFonts w:ascii="Times New Roman;serif" w:hAnsi="Times New Roman;serif"/>
          <w:b w:val="false"/>
          <w:color w:val="000000"/>
          <w:sz w:val="20"/>
          <w:shd w:fill="FFFFFF" w:val="clear"/>
        </w:rPr>
        <w:t xml:space="preserve">, our TRA liability was </w:t>
      </w:r>
      <w:r>
        <w:rPr>
          <w:rFonts w:ascii="Times New Roman;serif" w:hAnsi="Times New Roman;serif"/>
          <w:b w:val="false"/>
          <w:color w:val="000000"/>
          <w:sz w:val="20"/>
        </w:rPr>
        <w:t xml:space="preserve">nil and </w:t>
      </w:r>
      <w:r>
        <w:rPr>
          <w:rFonts w:ascii="Times New Roman;serif" w:hAnsi="Times New Roman;serif"/>
          <w:b w:val="false"/>
          <w:color w:val="000000"/>
          <w:sz w:val="20"/>
          <w:shd w:fill="FFFFFF" w:val="clear"/>
        </w:rPr>
        <w:t xml:space="preserve">$2.7 million, respectively. </w:t>
      </w:r>
      <w:r>
        <w:rPr>
          <w:rFonts w:ascii="Times New Roman;serif" w:hAnsi="Times New Roman;serif"/>
          <w:b w:val="false"/>
          <w:color w:val="000000"/>
          <w:sz w:val="20"/>
        </w:rPr>
        <w:t>We expect that the payments we will be required to make under the TRA will not be substantial, and therefore, in conjunction with the recording of a full valuation allowance on the related TRA deferred tax assets for the year ended December 31, 2022, we have also adjusted the TRA liabilities as of March 31, 2026 and December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We will continue to evaluate the realization of the TRA tax attributes, and in the future, we may conclude that it is more likely than not that the Company will be able to utilize the deferred tax assets that are subject to the TRA, and therefore that the TRA liability is probable of payment, and if the TRA is reinstated, the payments would be substantial. Assuming a reinstatement of the TRA liability, there are several assumptions that would be relevant in the ultimate determination of the amount of our TRA liability. For example, assuming no material changes in relevant tax law, that there are no future redemptions or exchanges to Class A Units and that we earn sufficient taxable income to realize all tax benefits that are subject to the TRA, the tax savings associated with acquisitions of Legacy WMH common units in the Business Combination and subsequent exchanges as of March 31, 2026, would equal approximately </w:t>
      </w:r>
      <w:r>
        <w:rPr>
          <w:rFonts w:ascii="Times New Roman;serif" w:hAnsi="Times New Roman;serif"/>
          <w:b w:val="false"/>
          <w:color w:val="000000"/>
          <w:sz w:val="20"/>
          <w:shd w:fill="FFFFFF" w:val="clear"/>
        </w:rPr>
        <w:t xml:space="preserve">$165.0 million, determined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Under this scenario, we would be required to pay certain Class A Unit holders approximately 85% of such amount, or $136.2 million, determined as</w:t>
      </w:r>
      <w:r>
        <w:rPr>
          <w:color w:val="000000"/>
        </w:rPr>
        <w:t xml:space="preserve"> </w:t>
      </w:r>
      <w:r>
        <w:rPr>
          <w:rFonts w:ascii="Times New Roman;serif" w:hAnsi="Times New Roman;serif"/>
          <w:b w:val="false"/>
          <w:color w:val="000000"/>
          <w:sz w:val="20"/>
        </w:rPr>
        <w:t>of March 31, 2026</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utilize the tax benefits that are subject to the TRA. Payments under the TRA are not conditioned on the TRA parties’ continued equity ownership in us or WMH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no significant changes to our critical accounting policies and estimates from those disclosed in “Part I. Item 7. Management’s Discussion and Analysis of Financial Condition and Results of Operations” in our Annual Report on Form 10-K for the year ended December 31, 2025 that was filed with the SEC on March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reviewed all recently issued standards and have determined that, other than as disclosed in Note 2, “Summary of Significant Accounting Policies,” such standards will not have a material impact on our condensed consolidated financial statements or do not otherwise apply to our current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chief executive officer and chief financial officer, as appropriate to allow timely decisions regarding required disclosure. 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With the foregoing in mind, our chief executive officer and chief financial officer (“Certifying Officers”) evaluated the effectiveness of our disclosure controls and procedures as of March 31, 2026, pursuant to Rule 13a-15(b) under the Exchange Act. Based on the evaluation, our chief executive officer and chief financial officer have concluded that as of March 31, 2026, our disclosure controls and procedures were not effective due to the ongoing material weaknesses in internal control over financial reporting described below.</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we continue to implement design enhancements to our internal control procedures, we believe that, other than the changes described below regarding the ongoing remediation efforts,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of and with the participation of our management, we assessed the effectiveness of our internal control over financial reporting as of March 31, 2026, using the criteria set forth by the Committee of Sponsoring Organizations of the Treadway Commission (COSO) in Internal Control — Integrated Framework (2013). Based on the evaluation, our chief executive officer and chief financial officer have concluded that as of March 31, 2026, our internal control over financial reporting was not effective due to the ongoing material weaknesses in internal control over financial reporting. A material weakness is a deficiency, or a combination of deficiencies, in internal control over financial reporting, such that there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reasonable possibility that a material misstatement of our annual or interim financial statements will not be prevented or detected on a timely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have an ongoing entity-level material weakness that was identified in the years ended December 31, 2025, 2024 and 2023, and for which remediation efforts continued in the year ended December 31, 2026 as further described below.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did not fully maintain components of the COSO framework, including elements of the control environment, risk assessment, information and communication, and monitoring activities components, relating to (i) developing general control activities over technology to support the achievement of objectives across the entity, (ii) sufficiency of processes related to identifying and analyzing risks to the achievement of objectives, including technology, across the entity, and (iii) sufficiency of selecting and developing control activities that contribute to the mitigation of risks to the achievement of objectives to acceptable levels.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entity-level material weakness contributed to material weaknesses within our system of internal control over financial reporting as follows: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Unremediated material weaknesses identified in the years ended December 31, 2025, 2024 and 2023</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did not design and maintain effective information technology (IT) general controls for certain information systems supporting our key financial reporting processes, including for our enterprise resource planning (ERP) system and for certain in-scope on-premise and vendor-supported applications. Specifically, we did not design, implement and maintain (a) change management controls to ensure that program and data changes affecting financial applications and underlying accounting records are identified, tested, authorized and implemented appropriately, (b) access controls to ensure appropriate IT segregation of duties are maintained that adequately restrict and segregate privileged access between environments which support development and production, and (c) controls to monitor on an on-going basis for the proper segregation of privileged access between environments which support development and production. As a result, IT application controls and business process controls that are dependent on the ineffective IT general controls, or that rely on data produced from systems impacted by the ineffective IT general controls, are also deemed ineffective, which affects substantially all of our financial statement account balances and disclosures.</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2.We did not design and maintain effective process-level controls related to the order-to-cash cycle (including revenues, accounts receivables, and deferred revenue), procure-to-pay-cycle (including operating expenses, prepaid expenses and other current assets, accounts payable and accrued expenses), capitalized software and long-term assets. As of December 31, 2024, we also concluded that this material weakness applied to the payroll cycle and income taxes. This material weakness could result in a misstatement of any account balances or disclosures that would result in a material misstatement to the annual or interim consolidated financial statements that would not be prevented or detected.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Remediation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oversight of management and the audit committee of our board of directors, we continue to actively take the appropriate steps toward the remediation of the underlying causes of the material weaknesses described above. We are committed to maintaining a strong internal control environment and implementing measures designed to ensure that the material weaknesses are remediated as soon as possible. We believe progress has been made toward remediation and we continue to implement our remediation plan. Until the remediation plan is fully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Remediation Efforts to Address Ongoing Material Weaknesses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remediation efforts for material weaknesses identified in both the current and prior years are still ongoing. To date, we have taken the following actions to remediate certain aspects of the material weaknesses described above that, as of March 31, 2026, had not yet been fully implemented or had not been in place for a sufficient period of time to demonstrate that they were having their desired effect: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Improving the design and operation of controls related to revenue recognition including the identification of performance obligations and establishment of policies over the order-to-cash cycle, including policies over our treatment of cash basis customers.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Segregating access in our ERP system and certain on-premise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Filling certain key positions in our finance and technology organizations with individuals possessing public company knowledge and experience.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Commencing configuration of our new ERP system, which will replace our legacy ERP system in the fiscal year ending December 31,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developers’ administrative access from production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Removing the ability for certain users, including developers, to access other users’ accounts.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Implementing audit trails to log and monitor system configuration and data changes made by users to detect erroneous or unauthorized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Note 5, "Commitments and Contingencies—Litigation" to our condensed consolidated financial statements included herein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in our securities involves risk. An investor or potential investor should consider the risks summarized below and under the caption “Risk Factors” in Part I, Item 1A of our Annual Report on Form 10-K for the year ended December 31, 2025 (our “2025 Form 10-K”) when making investment decisions regarding our securities. Except for the risk factors discussed below, we do not believe there have been any material changes to the risk factors that were disclosed in our 2025 Form 10-K.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We have voluntarily delisted from Nasdaq, and there is a limited trading volume for our securities on the OTC Markets.</w:t>
      </w:r>
    </w:p>
    <w:p>
      <w:pPr>
        <w:pStyle w:val="TextBody"/>
        <w:bidi w:val="0"/>
        <w:spacing w:lineRule="auto" w:line="288" w:before="120" w:after="120"/>
        <w:jc w:val="both"/>
        <w:rPr/>
      </w:pPr>
      <w:r>
        <w:rPr>
          <w:rFonts w:ascii="Times New Roman;serif" w:hAnsi="Times New Roman;serif"/>
          <w:b w:val="false"/>
          <w:color w:val="000000"/>
          <w:sz w:val="20"/>
        </w:rPr>
        <w:t>On April 17, 2026, we filed a Form 25 with the SEC to effect the delisting of our Class A common stock and public warrants from Nasdaq and to deregister our Class A common stock and public warrants under Section 12(b) of the Exchange Act. The removal of our Class A common stock and public warrants from Nasdaq became effective on April 24, 2026. On April 27, 2026, the</w:t>
      </w:r>
      <w:r>
        <w:rPr>
          <w:color w:val="000000"/>
          <w:shd w:fill="FFFFFF" w:val="clear"/>
        </w:rPr>
        <w:t xml:space="preserve"> </w:t>
      </w:r>
      <w:r>
        <w:rPr>
          <w:rFonts w:ascii="Times New Roman;serif" w:hAnsi="Times New Roman;serif"/>
          <w:b w:val="false"/>
          <w:color w:val="000000"/>
          <w:sz w:val="20"/>
          <w:shd w:fill="FFFFFF" w:val="clear"/>
        </w:rPr>
        <w:t>Class A common stock commenced trading on the OTCQX Best Market and the public warrants commenced trading on the OTCID Basic Market, both operated by the OTC, under the tickers “MAPS” and “MAPSW”.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is a limited trading volume for our Class A common stock and public warrants on the OTC. As a result, relatively small trades of our Class A common stock and public warrants may have a significant impact on the price of our Class A common stock and public warrants and, therefore, may contribute to the price volatility of our Class A common stock and public warrants. Because of limited trading volume in our Class A common stock and public warrants and the price volatility of our Class A common stock and public warrants, our existing investors may be unable to sell their Class A common stock and public warrants when they desire or at the price they desire. The inability to sell their Class A common stock and public warrants in a declining market because of such illiquidity or at a price they desire may substantially increase our investors’ risk of loss.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delisting of our Class A common stock and public warrants from Nasdaq may have an adverse effect on institutional investor interest in holding or acquiring our Class A common stock or public warrants and otherwise reduce the number of investors willing to hold or acquire our Class A common stock or public warrants. This could negatively affect our ability to raise capital necessary to maintain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(as defined in Item 408(c) of Regulation S-K) during the quarterly period covered by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or incorporated by reference into, this Quarterly Report on Form 10-Q.</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109"/>
        <w:gridCol w:w="109"/>
        <w:gridCol w:w="109"/>
        <w:gridCol w:w="1710"/>
        <w:gridCol w:w="1583"/>
        <w:gridCol w:w="1598"/>
        <w:gridCol w:w="109"/>
        <w:gridCol w:w="109"/>
        <w:gridCol w:w="109"/>
        <w:gridCol w:w="195"/>
        <w:gridCol w:w="195"/>
        <w:gridCol w:w="196"/>
        <w:gridCol w:w="109"/>
        <w:gridCol w:w="109"/>
        <w:gridCol w:w="109"/>
        <w:gridCol w:w="264"/>
        <w:gridCol w:w="262"/>
        <w:gridCol w:w="189"/>
        <w:gridCol w:w="109"/>
        <w:gridCol w:w="109"/>
        <w:gridCol w:w="109"/>
        <w:gridCol w:w="245"/>
        <w:gridCol w:w="245"/>
        <w:gridCol w:w="246"/>
        <w:gridCol w:w="109"/>
        <w:gridCol w:w="109"/>
        <w:gridCol w:w="109"/>
        <w:gridCol w:w="235"/>
        <w:gridCol w:w="235"/>
        <w:gridCol w:w="34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Incorporated by Reference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erif" w:hAnsi="Times New Roman;serif"/>
                  <w:b w:val="false"/>
                  <w:color w:val="0000FF"/>
                  <w:sz w:val="20"/>
                  <w:u w:val="single"/>
                </w:rPr>
                <w:t>Certificate of Incorporation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001-39021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22, 2021</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1q126.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311q126.htm">
              <w:r>
                <w:rPr>
                  <w:rStyle w:val="InternetLink"/>
                  <w:rFonts w:ascii="Times New Roman;serif" w:hAnsi="Times New Roman;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2q126.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exhibit312q126.htm">
              <w:r>
                <w:rPr>
                  <w:rStyle w:val="InternetLink"/>
                  <w:rFonts w:ascii="Times New Roman;serif" w:hAnsi="Times New Roman;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1q126.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exhibit321q126.htm">
              <w:r>
                <w:rPr>
                  <w:rStyle w:val="InternetLink"/>
                  <w:rFonts w:ascii="Times New Roman;serif" w:hAnsi="Times New Roman;serif"/>
                  <w:b w:val="false"/>
                  <w:color w:val="0000FF"/>
                  <w:sz w:val="20"/>
                  <w:u w:val="single"/>
                </w:rPr>
                <w:t>Certifications of the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With Embedded Linkbase Documents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39f4a5a321c349a88cb320a342eb101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Securities Exchange Act of 1934, the registrant has duly caused this report to be signed on its behalf by the undersigned, thereunto duly authorized.</w:t>
      </w:r>
    </w:p>
    <w:tbl>
      <w:tblPr>
        <w:tblW w:w="9060"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67"/>
        <w:gridCol w:w="267"/>
        <w:gridCol w:w="267"/>
        <w:gridCol w:w="274"/>
        <w:gridCol w:w="274"/>
        <w:gridCol w:w="274"/>
        <w:gridCol w:w="1742"/>
        <w:gridCol w:w="1742"/>
        <w:gridCol w:w="178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Douglas Francis, certify that:</w:t>
      </w:r>
    </w:p>
    <w:p>
      <w:pPr>
        <w:pStyle w:val="TextBody"/>
        <w:bidi w:val="0"/>
        <w:spacing w:lineRule="auto" w:line="288" w:before="0" w:after="18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WM Technology, Inc.;</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57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8"/>
        <w:gridCol w:w="138"/>
        <w:gridCol w:w="138"/>
        <w:gridCol w:w="138"/>
        <w:gridCol w:w="138"/>
        <w:gridCol w:w="138"/>
        <w:gridCol w:w="138"/>
        <w:gridCol w:w="138"/>
        <w:gridCol w:w="138"/>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2"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May 11, 2026</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hanging="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288" w:before="0" w:after="0"/>
        <w:ind w:left="0" w:right="0" w:hanging="18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lineRule="auto" w:line="288" w:before="12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 Susan Echard, certify that:</w:t>
      </w:r>
    </w:p>
    <w:p>
      <w:pPr>
        <w:pStyle w:val="TextBody"/>
        <w:bidi w:val="0"/>
        <w:spacing w:lineRule="auto" w:line="288" w:before="180" w:after="180"/>
        <w:ind w:left="0" w:right="0" w:hanging="18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I have reviewed this Quarterly Report on Form 10-Q of WM Technology, Inc.;</w:t>
      </w:r>
    </w:p>
    <w:p>
      <w:pPr>
        <w:pStyle w:val="TextBody"/>
        <w:bidi w:val="0"/>
        <w:spacing w:lineRule="auto" w:line="288" w:before="180" w:after="180"/>
        <w:ind w:left="0" w:right="0" w:hanging="18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180"/>
        <w:ind w:left="0" w:right="0" w:hanging="180"/>
        <w:jc w:val="both"/>
        <w:rPr/>
      </w:pPr>
      <w:r>
        <w:rPr>
          <w:rFonts w:ascii="Times New Roman;serif" w:hAnsi="Times New Roman;serif"/>
          <w:b w:val="false"/>
          <w:color w:val="000000"/>
          <w:sz w:val="20"/>
        </w:rPr>
        <w:t>3.</w:t>
      </w:r>
      <w:r>
        <w:rPr>
          <w:rFonts w:ascii="Times New Roman;serif" w:hAnsi="Times New Roman;serif"/>
          <w:b w:val="false"/>
          <w:color w:val="000000"/>
          <w:sz w:val="20"/>
          <w:shd w:fill="FFFFFF" w:val="clea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180"/>
        <w:ind w:left="0" w:right="0" w:hanging="180"/>
        <w:jc w:val="both"/>
        <w:rPr/>
      </w:pPr>
      <w:r>
        <w:rPr>
          <w:rFonts w:ascii="Times New Roman;serif" w:hAnsi="Times New Roman;serif"/>
          <w:b w:val="false"/>
          <w:color w:val="000000"/>
          <w:sz w:val="20"/>
        </w:rPr>
        <w:t>4.</w:t>
      </w:r>
      <w:r>
        <w:rPr>
          <w:rFonts w:ascii="Times New Roman;serif" w:hAnsi="Times New Roman;serif"/>
          <w:b w:val="false"/>
          <w:color w:val="000000"/>
          <w:sz w:val="20"/>
          <w:shd w:fill="FFFFFF" w:val="clea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180"/>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20"/>
          <w:shd w:fill="FFFFFF" w:val="clea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180"/>
        <w:ind w:left="0" w:right="0" w:hanging="360"/>
        <w:jc w:val="both"/>
        <w:rPr/>
      </w:pPr>
      <w:r>
        <w:rPr>
          <w:rFonts w:ascii="Times New Roman;serif" w:hAnsi="Times New Roman;serif"/>
          <w:b w:val="false"/>
          <w:color w:val="000000"/>
          <w:sz w:val="20"/>
        </w:rPr>
        <w:t>(b)</w:t>
      </w:r>
      <w:r>
        <w:rPr>
          <w:rFonts w:ascii="Times New Roman;serif" w:hAnsi="Times New Roman;serif"/>
          <w:b w:val="false"/>
          <w:color w:val="000000"/>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180"/>
        <w:ind w:left="0" w:right="0" w:hanging="36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180"/>
        <w:ind w:left="0" w:right="0" w:hanging="360"/>
        <w:jc w:val="both"/>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180"/>
        <w:ind w:left="0" w:right="0" w:hanging="180"/>
        <w:jc w:val="both"/>
        <w:rPr/>
      </w:pPr>
      <w:r>
        <w:rPr>
          <w:rFonts w:ascii="Times New Roman;serif" w:hAnsi="Times New Roman;serif"/>
          <w:b w:val="false"/>
          <w:color w:val="000000"/>
          <w:sz w:val="20"/>
        </w:rPr>
        <w:t>5.</w:t>
      </w:r>
      <w:r>
        <w:rPr>
          <w:rFonts w:ascii="Times New Roman;serif" w:hAnsi="Times New Roman;serif"/>
          <w:b w:val="false"/>
          <w:color w:val="000000"/>
          <w:sz w:val="20"/>
          <w:shd w:fill="FFFFFF" w:val="clea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18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Any fraud, whether or not material, that involves management or other employees who have a significant role in the registrant's internal control over financial reporting.</w:t>
      </w:r>
    </w:p>
    <w:tbl>
      <w:tblPr>
        <w:tblW w:w="8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8"/>
        <w:gridCol w:w="138"/>
        <w:gridCol w:w="138"/>
        <w:gridCol w:w="138"/>
        <w:gridCol w:w="138"/>
        <w:gridCol w:w="138"/>
        <w:gridCol w:w="138"/>
        <w:gridCol w:w="138"/>
        <w:gridCol w:w="138"/>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2"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May 11, 2026</w:t>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lineRule="auto" w:line="30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160"/>
              <w:jc w:val="left"/>
              <w:rPr/>
            </w:pPr>
            <w:r>
              <w:rPr/>
            </w:r>
          </w:p>
          <w:p>
            <w:pPr>
              <w:pStyle w:val="TableContents"/>
              <w:bidi w:val="0"/>
              <w:spacing w:before="0" w:after="16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EXECUTIVE CHAIR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Douglas Francis, the Chief Executive Officer of WM Technology, Inc., certify, pursuant to 18 U.S.C. Section 1350, as adopted pursuant to Section 906 of the Sarbanes-Oxley Act of 2002, that the Quarterly Report on Form 10-Q of WM Technology, Inc. for the quarterly period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57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8"/>
        <w:gridCol w:w="138"/>
        <w:gridCol w:w="138"/>
        <w:gridCol w:w="138"/>
        <w:gridCol w:w="138"/>
        <w:gridCol w:w="138"/>
        <w:gridCol w:w="138"/>
        <w:gridCol w:w="138"/>
        <w:gridCol w:w="138"/>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Douglas Francis</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Susan Echard, the Chief Financial Officer of WM Technology, Inc., certify, pursuant to 18 U.S.C. Section 1350, as adopted pursuant to Section 906 of the Sarbanes-Oxley Act of 2002, that the Quarterly Report on Form 10-Q of WM Technology, Inc. for the quarterly period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WM Technology, Inc.</w:t>
      </w:r>
    </w:p>
    <w:p>
      <w:pPr>
        <w:pStyle w:val="TextBody"/>
        <w:bidi w:val="0"/>
        <w:spacing w:before="0" w:after="0"/>
        <w:jc w:val="both"/>
        <w:rPr/>
      </w:pPr>
      <w:r>
        <w:rPr/>
      </w:r>
    </w:p>
    <w:tbl>
      <w:tblPr>
        <w:tblW w:w="85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8"/>
        <w:gridCol w:w="138"/>
        <w:gridCol w:w="138"/>
        <w:gridCol w:w="138"/>
        <w:gridCol w:w="138"/>
        <w:gridCol w:w="138"/>
        <w:gridCol w:w="138"/>
        <w:gridCol w:w="138"/>
        <w:gridCol w:w="138"/>
        <w:gridCol w:w="109"/>
        <w:gridCol w:w="109"/>
        <w:gridCol w:w="109"/>
        <w:gridCol w:w="109"/>
        <w:gridCol w:w="109"/>
        <w:gridCol w:w="109"/>
        <w:gridCol w:w="109"/>
        <w:gridCol w:w="109"/>
        <w:gridCol w:w="109"/>
        <w:gridCol w:w="563"/>
        <w:gridCol w:w="563"/>
        <w:gridCol w:w="563"/>
        <w:gridCol w:w="563"/>
        <w:gridCol w:w="563"/>
        <w:gridCol w:w="563"/>
        <w:gridCol w:w="563"/>
        <w:gridCol w:w="563"/>
        <w:gridCol w:w="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2"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9474/000114036121021785/brhc10025756_ex3-1.htm" TargetMode="External"/><Relationship Id="rId3" Type="http://schemas.openxmlformats.org/officeDocument/2006/relationships/hyperlink" Target="https://www.sec.gov/Archives/edgar/data/1779474/000114036121021785/brhc10025756_ex3-1.htm" TargetMode="External"/><Relationship Id="rId4" Type="http://schemas.openxmlformats.org/officeDocument/2006/relationships/hyperlink" Target="https://www.sec.gov/Archives/edgar/data/1779474/000114036121021785/brhc10025756_ex3-2.htm" TargetMode="External"/><Relationship Id="rId5" Type="http://schemas.openxmlformats.org/officeDocument/2006/relationships/hyperlink" Target="https://www.sec.gov/Archives/edgar/data/1779474/000114036121021785/brhc1002575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30456</Words>
  <Characters>169849</Characters>
  <CharactersWithSpaces>198958</CharactersWithSpaces>
  <Paragraphs>2259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