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4" w:lineRule="exact"/>
        <w:rPr>
          <w:sz w:val="24"/>
          <w:szCs w:val="24"/>
          <w:color w:val="auto"/>
        </w:rPr>
      </w:pPr>
    </w:p>
    <w:p>
      <w:pPr>
        <w:ind w:left="2340"/>
        <w:spacing w:after="0"/>
        <w:rPr>
          <w:sz w:val="20"/>
          <w:szCs w:val="20"/>
          <w:color w:val="auto"/>
        </w:rPr>
      </w:pPr>
      <w:r>
        <w:rPr>
          <w:rFonts w:ascii="Arial" w:cs="Arial" w:eastAsia="Arial" w:hAnsi="Arial"/>
          <w:sz w:val="22"/>
          <w:szCs w:val="22"/>
          <w:b w:val="1"/>
          <w:bCs w:val="1"/>
          <w:color w:val="auto"/>
        </w:rPr>
        <w:t>As filed with the Securities and Exchange Commission on July 15, 2021</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333- 257774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line="230" w:lineRule="auto"/>
        <w:rPr>
          <w:sz w:val="20"/>
          <w:szCs w:val="20"/>
          <w:color w:val="auto"/>
        </w:rPr>
      </w:pPr>
      <w:r>
        <w:rPr>
          <w:rFonts w:ascii="Arial" w:cs="Arial" w:eastAsia="Arial" w:hAnsi="Arial"/>
          <w:sz w:val="22"/>
          <w:szCs w:val="22"/>
          <w:b w:val="1"/>
          <w:bCs w:val="1"/>
          <w:color w:val="auto"/>
        </w:rPr>
        <w:t>FORM S-1</w:t>
      </w:r>
    </w:p>
    <w:p>
      <w:pPr>
        <w:jc w:val="center"/>
        <w:spacing w:after="0" w:line="231" w:lineRule="auto"/>
        <w:rPr>
          <w:sz w:val="20"/>
          <w:szCs w:val="20"/>
          <w:color w:val="auto"/>
        </w:rPr>
      </w:pPr>
      <w:r>
        <w:rPr>
          <w:rFonts w:ascii="Arial" w:cs="Arial" w:eastAsia="Arial" w:hAnsi="Arial"/>
          <w:sz w:val="22"/>
          <w:szCs w:val="2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WM Technology,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3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120" w:type="dxa"/>
            <w:vAlign w:val="bottom"/>
          </w:tcPr>
          <w:p>
            <w:pPr>
              <w:spacing w:after="0"/>
              <w:rPr>
                <w:sz w:val="21"/>
                <w:szCs w:val="21"/>
                <w:color w:val="auto"/>
              </w:rPr>
            </w:pPr>
          </w:p>
        </w:tc>
        <w:tc>
          <w:tcPr>
            <w:tcW w:w="3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7374</w:t>
            </w:r>
          </w:p>
        </w:tc>
        <w:tc>
          <w:tcPr>
            <w:tcW w:w="120" w:type="dxa"/>
            <w:vAlign w:val="bottom"/>
          </w:tcPr>
          <w:p>
            <w:pPr>
              <w:spacing w:after="0"/>
              <w:rPr>
                <w:sz w:val="21"/>
                <w:szCs w:val="21"/>
                <w:color w:val="auto"/>
              </w:rPr>
            </w:pPr>
          </w:p>
        </w:tc>
        <w:tc>
          <w:tcPr>
            <w:tcW w:w="3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98-1605615</w:t>
            </w:r>
          </w:p>
        </w:tc>
      </w:tr>
      <w:tr>
        <w:trPr>
          <w:trHeight w:val="202"/>
        </w:trPr>
        <w:tc>
          <w:tcPr>
            <w:tcW w:w="3720" w:type="dxa"/>
            <w:vAlign w:val="bottom"/>
          </w:tcPr>
          <w:p>
            <w:pPr>
              <w:jc w:val="center"/>
              <w:spacing w:after="0" w:line="201" w:lineRule="exact"/>
              <w:rPr>
                <w:sz w:val="20"/>
                <w:szCs w:val="20"/>
                <w:color w:val="auto"/>
              </w:rPr>
            </w:pPr>
            <w:r>
              <w:rPr>
                <w:rFonts w:ascii="Arial" w:cs="Arial" w:eastAsia="Arial" w:hAnsi="Arial"/>
                <w:sz w:val="18"/>
                <w:szCs w:val="18"/>
                <w:color w:val="auto"/>
                <w:w w:val="91"/>
              </w:rPr>
              <w:t>(State or Other Jurisdiction of</w:t>
            </w:r>
          </w:p>
        </w:tc>
        <w:tc>
          <w:tcPr>
            <w:tcW w:w="120" w:type="dxa"/>
            <w:vAlign w:val="bottom"/>
          </w:tcPr>
          <w:p>
            <w:pPr>
              <w:spacing w:after="0"/>
              <w:rPr>
                <w:sz w:val="17"/>
                <w:szCs w:val="17"/>
                <w:color w:val="auto"/>
              </w:rPr>
            </w:pPr>
          </w:p>
        </w:tc>
        <w:tc>
          <w:tcPr>
            <w:tcW w:w="3620" w:type="dxa"/>
            <w:vAlign w:val="bottom"/>
          </w:tcPr>
          <w:p>
            <w:pPr>
              <w:jc w:val="center"/>
              <w:spacing w:after="0" w:line="201" w:lineRule="exact"/>
              <w:rPr>
                <w:sz w:val="20"/>
                <w:szCs w:val="20"/>
                <w:color w:val="auto"/>
              </w:rPr>
            </w:pPr>
            <w:r>
              <w:rPr>
                <w:rFonts w:ascii="Arial" w:cs="Arial" w:eastAsia="Arial" w:hAnsi="Arial"/>
                <w:sz w:val="18"/>
                <w:szCs w:val="18"/>
                <w:color w:val="auto"/>
                <w:w w:val="91"/>
              </w:rPr>
              <w:t>(Primary Standard Industrial</w:t>
            </w:r>
          </w:p>
        </w:tc>
        <w:tc>
          <w:tcPr>
            <w:tcW w:w="120" w:type="dxa"/>
            <w:vAlign w:val="bottom"/>
          </w:tcPr>
          <w:p>
            <w:pPr>
              <w:spacing w:after="0"/>
              <w:rPr>
                <w:sz w:val="17"/>
                <w:szCs w:val="17"/>
                <w:color w:val="auto"/>
              </w:rPr>
            </w:pPr>
          </w:p>
        </w:tc>
        <w:tc>
          <w:tcPr>
            <w:tcW w:w="3660" w:type="dxa"/>
            <w:vAlign w:val="bottom"/>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8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Incorporation or Organization)</w:t>
            </w:r>
          </w:p>
        </w:tc>
        <w:tc>
          <w:tcPr>
            <w:tcW w:w="37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Classification Code No.)</w:t>
            </w:r>
          </w:p>
        </w:tc>
        <w:tc>
          <w:tcPr>
            <w:tcW w:w="36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216" w:lineRule="exact"/>
        <w:rPr>
          <w:sz w:val="24"/>
          <w:szCs w:val="24"/>
          <w:color w:val="auto"/>
        </w:rPr>
      </w:pPr>
    </w:p>
    <w:p>
      <w:pPr>
        <w:ind w:left="5300" w:hanging="267"/>
        <w:spacing w:after="0"/>
        <w:tabs>
          <w:tab w:leader="none" w:pos="53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Discovery</w:t>
      </w:r>
    </w:p>
    <w:p>
      <w:pPr>
        <w:spacing w:after="0" w:line="14" w:lineRule="exact"/>
        <w:rPr>
          <w:rFonts w:ascii="Arial" w:cs="Arial" w:eastAsia="Arial" w:hAnsi="Arial"/>
          <w:sz w:val="22"/>
          <w:szCs w:val="22"/>
          <w:b w:val="1"/>
          <w:bCs w:val="1"/>
          <w:color w:val="auto"/>
        </w:rPr>
      </w:pPr>
    </w:p>
    <w:p>
      <w:pPr>
        <w:ind w:left="4520"/>
        <w:spacing w:after="0" w:line="230" w:lineRule="auto"/>
        <w:rPr>
          <w:rFonts w:ascii="Arial" w:cs="Arial" w:eastAsia="Arial" w:hAnsi="Arial"/>
          <w:sz w:val="22"/>
          <w:szCs w:val="22"/>
          <w:b w:val="1"/>
          <w:bCs w:val="1"/>
          <w:color w:val="auto"/>
        </w:rPr>
      </w:pPr>
      <w:r>
        <w:rPr>
          <w:rFonts w:ascii="Arial" w:cs="Arial" w:eastAsia="Arial" w:hAnsi="Arial"/>
          <w:sz w:val="22"/>
          <w:szCs w:val="22"/>
          <w:b w:val="1"/>
          <w:bCs w:val="1"/>
          <w:color w:val="auto"/>
        </w:rPr>
        <w:t>Irvine, California 92618</w:t>
      </w:r>
    </w:p>
    <w:p>
      <w:pPr>
        <w:ind w:left="4740"/>
        <w:spacing w:after="0" w:line="230" w:lineRule="auto"/>
        <w:rPr>
          <w:rFonts w:ascii="Arial" w:cs="Arial" w:eastAsia="Arial" w:hAnsi="Arial"/>
          <w:sz w:val="22"/>
          <w:szCs w:val="22"/>
          <w:b w:val="1"/>
          <w:bCs w:val="1"/>
          <w:color w:val="auto"/>
        </w:rPr>
      </w:pPr>
      <w:r>
        <w:rPr>
          <w:rFonts w:ascii="Arial" w:cs="Arial" w:eastAsia="Arial" w:hAnsi="Arial"/>
          <w:sz w:val="22"/>
          <w:szCs w:val="22"/>
          <w:b w:val="1"/>
          <w:bCs w:val="1"/>
          <w:color w:val="auto"/>
        </w:rPr>
        <w:t>Tel: (844) 933-3627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Brian Camire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General Counsel</w:t>
      </w:r>
    </w:p>
    <w:p>
      <w:pPr>
        <w:jc w:val="center"/>
        <w:spacing w:after="0" w:line="230" w:lineRule="auto"/>
        <w:rPr>
          <w:sz w:val="20"/>
          <w:szCs w:val="20"/>
          <w:color w:val="auto"/>
        </w:rPr>
      </w:pPr>
      <w:r>
        <w:rPr>
          <w:rFonts w:ascii="Arial" w:cs="Arial" w:eastAsia="Arial" w:hAnsi="Arial"/>
          <w:sz w:val="22"/>
          <w:szCs w:val="22"/>
          <w:b w:val="1"/>
          <w:bCs w:val="1"/>
          <w:color w:val="auto"/>
        </w:rPr>
        <w:t>WM Technology, Inc.</w:t>
      </w:r>
    </w:p>
    <w:p>
      <w:pPr>
        <w:ind w:left="5300" w:hanging="267"/>
        <w:spacing w:after="0" w:line="231" w:lineRule="auto"/>
        <w:tabs>
          <w:tab w:leader="none" w:pos="53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Discovery</w:t>
      </w:r>
    </w:p>
    <w:p>
      <w:pPr>
        <w:ind w:left="4520"/>
        <w:spacing w:after="0" w:line="230" w:lineRule="auto"/>
        <w:rPr>
          <w:rFonts w:ascii="Arial" w:cs="Arial" w:eastAsia="Arial" w:hAnsi="Arial"/>
          <w:sz w:val="22"/>
          <w:szCs w:val="22"/>
          <w:b w:val="1"/>
          <w:bCs w:val="1"/>
          <w:color w:val="auto"/>
        </w:rPr>
      </w:pPr>
      <w:r>
        <w:rPr>
          <w:rFonts w:ascii="Arial" w:cs="Arial" w:eastAsia="Arial" w:hAnsi="Arial"/>
          <w:sz w:val="22"/>
          <w:szCs w:val="22"/>
          <w:b w:val="1"/>
          <w:bCs w:val="1"/>
          <w:color w:val="auto"/>
        </w:rPr>
        <w:t>Irvine, California 92618</w:t>
      </w:r>
    </w:p>
    <w:p>
      <w:pPr>
        <w:ind w:left="4740"/>
        <w:spacing w:after="0" w:line="230" w:lineRule="auto"/>
        <w:rPr>
          <w:rFonts w:ascii="Arial" w:cs="Arial" w:eastAsia="Arial" w:hAnsi="Arial"/>
          <w:sz w:val="22"/>
          <w:szCs w:val="22"/>
          <w:b w:val="1"/>
          <w:bCs w:val="1"/>
          <w:color w:val="auto"/>
        </w:rPr>
      </w:pPr>
      <w:r>
        <w:rPr>
          <w:rFonts w:ascii="Arial" w:cs="Arial" w:eastAsia="Arial" w:hAnsi="Arial"/>
          <w:sz w:val="22"/>
          <w:szCs w:val="22"/>
          <w:b w:val="1"/>
          <w:bCs w:val="1"/>
          <w:color w:val="auto"/>
        </w:rPr>
        <w:t>Tel: (844) 933-3627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Copies 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Dave Peinsipp</w:t>
      </w:r>
    </w:p>
    <w:p>
      <w:pPr>
        <w:jc w:val="center"/>
        <w:spacing w:after="0" w:line="230" w:lineRule="auto"/>
        <w:rPr>
          <w:sz w:val="20"/>
          <w:szCs w:val="20"/>
          <w:color w:val="auto"/>
        </w:rPr>
      </w:pPr>
      <w:r>
        <w:rPr>
          <w:rFonts w:ascii="Arial" w:cs="Arial" w:eastAsia="Arial" w:hAnsi="Arial"/>
          <w:sz w:val="22"/>
          <w:szCs w:val="22"/>
          <w:b w:val="1"/>
          <w:bCs w:val="1"/>
          <w:color w:val="auto"/>
        </w:rPr>
        <w:t>Garth Osterman</w:t>
      </w:r>
    </w:p>
    <w:p>
      <w:pPr>
        <w:jc w:val="center"/>
        <w:spacing w:after="0" w:line="231" w:lineRule="auto"/>
        <w:rPr>
          <w:sz w:val="20"/>
          <w:szCs w:val="20"/>
          <w:color w:val="auto"/>
        </w:rPr>
      </w:pPr>
      <w:r>
        <w:rPr>
          <w:rFonts w:ascii="Arial" w:cs="Arial" w:eastAsia="Arial" w:hAnsi="Arial"/>
          <w:sz w:val="22"/>
          <w:szCs w:val="22"/>
          <w:b w:val="1"/>
          <w:bCs w:val="1"/>
          <w:color w:val="auto"/>
        </w:rPr>
        <w:t>Kristin VanderPas</w:t>
      </w:r>
    </w:p>
    <w:p>
      <w:pPr>
        <w:jc w:val="center"/>
        <w:spacing w:after="0" w:line="230" w:lineRule="auto"/>
        <w:rPr>
          <w:sz w:val="20"/>
          <w:szCs w:val="20"/>
          <w:color w:val="auto"/>
        </w:rPr>
      </w:pPr>
      <w:r>
        <w:rPr>
          <w:rFonts w:ascii="Arial" w:cs="Arial" w:eastAsia="Arial" w:hAnsi="Arial"/>
          <w:sz w:val="22"/>
          <w:szCs w:val="22"/>
          <w:b w:val="1"/>
          <w:bCs w:val="1"/>
          <w:color w:val="auto"/>
        </w:rPr>
        <w:t>Peter Byrne</w:t>
      </w:r>
    </w:p>
    <w:p>
      <w:pPr>
        <w:jc w:val="center"/>
        <w:spacing w:after="0" w:line="223" w:lineRule="auto"/>
        <w:rPr>
          <w:sz w:val="20"/>
          <w:szCs w:val="20"/>
          <w:color w:val="auto"/>
        </w:rPr>
      </w:pPr>
      <w:r>
        <w:rPr>
          <w:rFonts w:ascii="Arial" w:cs="Arial" w:eastAsia="Arial" w:hAnsi="Arial"/>
          <w:sz w:val="22"/>
          <w:szCs w:val="22"/>
          <w:b w:val="1"/>
          <w:bCs w:val="1"/>
          <w:color w:val="auto"/>
        </w:rPr>
        <w:t>Cooley LLP</w:t>
      </w:r>
    </w:p>
    <w:p>
      <w:pPr>
        <w:jc w:val="center"/>
        <w:spacing w:after="0" w:line="181" w:lineRule="auto"/>
        <w:rPr>
          <w:sz w:val="20"/>
          <w:szCs w:val="20"/>
          <w:color w:val="auto"/>
        </w:rPr>
      </w:pPr>
      <w:r>
        <w:rPr>
          <w:rFonts w:ascii="Arial" w:cs="Arial" w:eastAsia="Arial" w:hAnsi="Arial"/>
          <w:sz w:val="19"/>
          <w:szCs w:val="19"/>
          <w:b w:val="1"/>
          <w:bCs w:val="1"/>
          <w:color w:val="auto"/>
        </w:rPr>
        <w:t>101 California Street, 5</w:t>
      </w:r>
      <w:r>
        <w:rPr>
          <w:rFonts w:ascii="Arial" w:cs="Arial" w:eastAsia="Arial" w:hAnsi="Arial"/>
          <w:sz w:val="29"/>
          <w:szCs w:val="29"/>
          <w:b w:val="1"/>
          <w:bCs w:val="1"/>
          <w:color w:val="auto"/>
          <w:vertAlign w:val="superscript"/>
        </w:rPr>
        <w:t>th</w:t>
      </w:r>
      <w:r>
        <w:rPr>
          <w:rFonts w:ascii="Arial" w:cs="Arial" w:eastAsia="Arial" w:hAnsi="Arial"/>
          <w:sz w:val="19"/>
          <w:szCs w:val="19"/>
          <w:b w:val="1"/>
          <w:bCs w:val="1"/>
          <w:color w:val="auto"/>
        </w:rPr>
        <w:t xml:space="preserve"> Floor</w:t>
      </w:r>
    </w:p>
    <w:p>
      <w:pPr>
        <w:jc w:val="center"/>
        <w:spacing w:after="0" w:line="230" w:lineRule="auto"/>
        <w:rPr>
          <w:sz w:val="20"/>
          <w:szCs w:val="20"/>
          <w:color w:val="auto"/>
        </w:rPr>
      </w:pPr>
      <w:r>
        <w:rPr>
          <w:rFonts w:ascii="Arial" w:cs="Arial" w:eastAsia="Arial" w:hAnsi="Arial"/>
          <w:sz w:val="22"/>
          <w:szCs w:val="22"/>
          <w:b w:val="1"/>
          <w:bCs w:val="1"/>
          <w:color w:val="auto"/>
        </w:rPr>
        <w:t>San Francisco, California 94111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Tel: (415) 693-2177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89" w:lineRule="exact"/>
        <w:rPr>
          <w:sz w:val="24"/>
          <w:szCs w:val="24"/>
          <w:color w:val="auto"/>
        </w:rPr>
      </w:pPr>
    </w:p>
    <w:p>
      <w:pPr>
        <w:ind w:right="240" w:firstLine="324"/>
        <w:spacing w:after="0" w:line="256" w:lineRule="auto"/>
        <w:rPr>
          <w:sz w:val="20"/>
          <w:szCs w:val="20"/>
          <w:color w:val="auto"/>
        </w:rPr>
      </w:pPr>
      <w:r>
        <w:rPr>
          <w:rFonts w:ascii="Arial" w:cs="Arial" w:eastAsia="Arial" w:hAnsi="Arial"/>
          <w:sz w:val="22"/>
          <w:szCs w:val="22"/>
          <w:b w:val="1"/>
          <w:bCs w:val="1"/>
          <w:color w:val="auto"/>
        </w:rPr>
        <w:t>Approximate date of commencement of proposed sale to the public: From time to time after the effective date of this registration statement.</w:t>
      </w:r>
    </w:p>
    <w:p>
      <w:pPr>
        <w:spacing w:after="0" w:line="195" w:lineRule="exact"/>
        <w:rPr>
          <w:sz w:val="24"/>
          <w:szCs w:val="24"/>
          <w:color w:val="auto"/>
        </w:rPr>
      </w:pPr>
    </w:p>
    <w:p>
      <w:pPr>
        <w:ind w:right="180" w:firstLine="324"/>
        <w:spacing w:after="0" w:line="278" w:lineRule="exact"/>
        <w:rPr>
          <w:sz w:val="20"/>
          <w:szCs w:val="20"/>
          <w:color w:val="auto"/>
        </w:rPr>
      </w:pPr>
      <w:r>
        <w:rPr>
          <w:rFonts w:ascii="Arial" w:cs="Arial" w:eastAsia="Arial" w:hAnsi="Arial"/>
          <w:sz w:val="22"/>
          <w:szCs w:val="22"/>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22"/>
          <w:szCs w:val="22"/>
          <w:color w:val="auto"/>
        </w:rPr>
        <w:t>☒</w:t>
      </w:r>
    </w:p>
    <w:p>
      <w:pPr>
        <w:spacing w:after="0" w:line="188" w:lineRule="exact"/>
        <w:rPr>
          <w:sz w:val="24"/>
          <w:szCs w:val="24"/>
          <w:color w:val="auto"/>
        </w:rPr>
      </w:pPr>
    </w:p>
    <w:p>
      <w:pPr>
        <w:ind w:right="40" w:firstLine="324"/>
        <w:spacing w:after="0" w:line="266" w:lineRule="exact"/>
        <w:rPr>
          <w:sz w:val="20"/>
          <w:szCs w:val="20"/>
          <w:color w:val="auto"/>
        </w:rPr>
      </w:pPr>
      <w:r>
        <w:rPr>
          <w:rFonts w:ascii="Arial" w:cs="Arial" w:eastAsia="Arial" w:hAnsi="Arial"/>
          <w:sz w:val="22"/>
          <w:szCs w:val="2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22"/>
          <w:szCs w:val="22"/>
          <w:color w:val="auto"/>
        </w:rPr>
        <w:t>☐</w:t>
      </w:r>
    </w:p>
    <w:p>
      <w:pPr>
        <w:spacing w:after="0" w:line="189" w:lineRule="exact"/>
        <w:rPr>
          <w:sz w:val="24"/>
          <w:szCs w:val="24"/>
          <w:color w:val="auto"/>
        </w:rPr>
      </w:pPr>
    </w:p>
    <w:p>
      <w:pPr>
        <w:ind w:right="320" w:firstLine="324"/>
        <w:spacing w:after="0" w:line="277" w:lineRule="exact"/>
        <w:rPr>
          <w:sz w:val="20"/>
          <w:szCs w:val="20"/>
          <w:color w:val="auto"/>
        </w:rPr>
      </w:pPr>
      <w:r>
        <w:rPr>
          <w:rFonts w:ascii="Arial" w:cs="Arial" w:eastAsia="Arial" w:hAnsi="Arial"/>
          <w:sz w:val="19"/>
          <w:szCs w:val="19"/>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9"/>
          <w:szCs w:val="19"/>
          <w:color w:val="auto"/>
        </w:rPr>
        <w:t>☐</w:t>
      </w:r>
    </w:p>
    <w:p>
      <w:pPr>
        <w:spacing w:after="0" w:line="189" w:lineRule="exact"/>
        <w:rPr>
          <w:sz w:val="24"/>
          <w:szCs w:val="24"/>
          <w:color w:val="auto"/>
        </w:rPr>
      </w:pPr>
    </w:p>
    <w:p>
      <w:pPr>
        <w:ind w:right="320" w:firstLine="324"/>
        <w:spacing w:after="0" w:line="277" w:lineRule="exact"/>
        <w:rPr>
          <w:sz w:val="20"/>
          <w:szCs w:val="20"/>
          <w:color w:val="auto"/>
        </w:rPr>
      </w:pPr>
      <w:r>
        <w:rPr>
          <w:rFonts w:ascii="Arial" w:cs="Arial" w:eastAsia="Arial" w:hAnsi="Arial"/>
          <w:sz w:val="19"/>
          <w:szCs w:val="19"/>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9"/>
          <w:szCs w:val="19"/>
          <w:color w:val="auto"/>
        </w:rPr>
        <w:t>☐</w:t>
      </w:r>
    </w:p>
    <w:p>
      <w:pPr>
        <w:spacing w:after="0" w:line="189" w:lineRule="exact"/>
        <w:rPr>
          <w:sz w:val="24"/>
          <w:szCs w:val="24"/>
          <w:color w:val="auto"/>
        </w:rPr>
      </w:pPr>
    </w:p>
    <w:p>
      <w:pPr>
        <w:jc w:val="both"/>
        <w:ind w:right="20" w:firstLine="324"/>
        <w:spacing w:after="0" w:line="297"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Securities Exchange Act of 1934:</w:t>
      </w:r>
    </w:p>
    <w:p>
      <w:pPr>
        <w:sectPr>
          <w:pgSz w:w="11900" w:h="16942" w:orient="portrait"/>
          <w:cols w:equalWidth="0" w:num="1">
            <w:col w:w="11240"/>
          </w:cols>
          <w:pgMar w:left="320" w:top="220" w:right="339" w:bottom="0" w:gutter="0" w:footer="0" w:header="0"/>
        </w:sectPr>
      </w:pPr>
    </w:p>
    <w:p>
      <w:pPr>
        <w:spacing w:after="0" w:line="168" w:lineRule="exact"/>
        <w:rPr>
          <w:sz w:val="24"/>
          <w:szCs w:val="24"/>
          <w:color w:val="auto"/>
        </w:rPr>
      </w:pPr>
    </w:p>
    <w:p>
      <w:pPr>
        <w:ind w:left="440" w:right="18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942" w:orient="portrait"/>
          <w:cols w:equalWidth="0" w:num="4">
            <w:col w:w="2240" w:space="720"/>
            <w:col w:w="2860" w:space="720"/>
            <w:col w:w="3140" w:space="720"/>
            <w:col w:w="840"/>
          </w:cols>
          <w:pgMar w:left="320" w:top="220" w:right="339" w:bottom="0" w:gutter="0" w:footer="0" w:header="0"/>
          <w:type w:val="continuous"/>
        </w:sectPr>
      </w:pPr>
    </w:p>
    <w:bookmarkStart w:id="1" w:name="page2"/>
    <w:bookmarkEnd w:id="1"/>
    <w:p>
      <w:pPr>
        <w:ind w:left="6540"/>
        <w:spacing w:after="0" w:line="207" w:lineRule="exact"/>
        <w:tabs>
          <w:tab w:leader="none" w:pos="103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79" w:lineRule="exact"/>
        <w:rPr>
          <w:sz w:val="20"/>
          <w:szCs w:val="20"/>
          <w:color w:val="auto"/>
        </w:rPr>
      </w:pPr>
    </w:p>
    <w:p>
      <w:pPr>
        <w:ind w:right="120" w:firstLine="324"/>
        <w:spacing w:after="0" w:line="266" w:lineRule="exact"/>
        <w:rPr>
          <w:sz w:val="20"/>
          <w:szCs w:val="20"/>
          <w:color w:val="auto"/>
        </w:rPr>
      </w:pPr>
      <w:r>
        <w:rPr>
          <w:rFonts w:ascii="Arial" w:cs="Arial" w:eastAsia="Arial" w:hAnsi="Arial"/>
          <w:sz w:val="22"/>
          <w:szCs w:val="2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22"/>
          <w:szCs w:val="22"/>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40" w:type="dxa"/>
            <w:vAlign w:val="bottom"/>
            <w:tcBorders>
              <w:top w:val="single" w:sz="8" w:color="auto"/>
              <w:right w:val="single" w:sz="8" w:color="auto"/>
            </w:tcBorders>
          </w:tcPr>
          <w:p>
            <w:pPr>
              <w:spacing w:after="0"/>
              <w:rPr>
                <w:sz w:val="18"/>
                <w:szCs w:val="18"/>
                <w:color w:val="auto"/>
              </w:rPr>
            </w:pPr>
          </w:p>
        </w:tc>
        <w:tc>
          <w:tcPr>
            <w:tcW w:w="1680" w:type="dxa"/>
            <w:vAlign w:val="bottom"/>
            <w:tcBorders>
              <w:top w:val="single" w:sz="8" w:color="auto"/>
              <w:right w:val="single" w:sz="8" w:color="auto"/>
            </w:tcBorders>
          </w:tcPr>
          <w:p>
            <w:pPr>
              <w:spacing w:after="0"/>
              <w:rPr>
                <w:sz w:val="18"/>
                <w:szCs w:val="18"/>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Proposed</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Proposed</w:t>
            </w:r>
          </w:p>
        </w:tc>
        <w:tc>
          <w:tcPr>
            <w:tcW w:w="1660" w:type="dxa"/>
            <w:vAlign w:val="bottom"/>
            <w:tcBorders>
              <w:top w:val="single" w:sz="8" w:color="auto"/>
            </w:tcBorders>
          </w:tcPr>
          <w:p>
            <w:pPr>
              <w:spacing w:after="0"/>
              <w:rPr>
                <w:sz w:val="18"/>
                <w:szCs w:val="18"/>
                <w:color w:val="auto"/>
              </w:rPr>
            </w:pPr>
          </w:p>
        </w:tc>
      </w:tr>
      <w:tr>
        <w:trPr>
          <w:trHeight w:val="216"/>
        </w:trPr>
        <w:tc>
          <w:tcPr>
            <w:tcW w:w="454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660" w:type="dxa"/>
            <w:vAlign w:val="bottom"/>
          </w:tcPr>
          <w:p>
            <w:pPr>
              <w:spacing w:after="0"/>
              <w:rPr>
                <w:sz w:val="18"/>
                <w:szCs w:val="18"/>
                <w:color w:val="auto"/>
              </w:rPr>
            </w:pPr>
          </w:p>
        </w:tc>
      </w:tr>
      <w:tr>
        <w:trPr>
          <w:trHeight w:val="216"/>
        </w:trPr>
        <w:tc>
          <w:tcPr>
            <w:tcW w:w="454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660" w:type="dxa"/>
            <w:vAlign w:val="bottom"/>
          </w:tcPr>
          <w:p>
            <w:pPr>
              <w:spacing w:after="0"/>
              <w:rPr>
                <w:sz w:val="18"/>
                <w:szCs w:val="18"/>
                <w:color w:val="auto"/>
              </w:rPr>
            </w:pPr>
          </w:p>
        </w:tc>
      </w:tr>
      <w:tr>
        <w:trPr>
          <w:trHeight w:val="206"/>
        </w:trPr>
        <w:tc>
          <w:tcPr>
            <w:tcW w:w="454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Price Per</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51"/>
        </w:trPr>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Title of Each Class of Securities to be Registered</w:t>
            </w:r>
          </w:p>
        </w:tc>
        <w:tc>
          <w:tcPr>
            <w:tcW w:w="1680" w:type="dxa"/>
            <w:vAlign w:val="bottom"/>
            <w:tcBorders>
              <w:bottom w:val="single" w:sz="8" w:color="auto"/>
              <w:right w:val="single" w:sz="8" w:color="auto"/>
            </w:tcBorders>
          </w:tcPr>
          <w:p>
            <w:pPr>
              <w:jc w:val="center"/>
              <w:spacing w:after="0" w:line="243" w:lineRule="exact"/>
              <w:rPr>
                <w:sz w:val="20"/>
                <w:szCs w:val="20"/>
                <w:color w:val="auto"/>
              </w:rPr>
            </w:pPr>
            <w:r>
              <w:rPr>
                <w:rFonts w:ascii="Arial" w:cs="Arial" w:eastAsia="Arial" w:hAnsi="Arial"/>
                <w:sz w:val="17"/>
                <w:szCs w:val="17"/>
                <w:b w:val="1"/>
                <w:bCs w:val="1"/>
                <w:color w:val="auto"/>
                <w:w w:val="89"/>
              </w:rPr>
              <w:t>to be Registered</w:t>
            </w:r>
            <w:r>
              <w:rPr>
                <w:rFonts w:ascii="Arial" w:cs="Arial" w:eastAsia="Arial" w:hAnsi="Arial"/>
                <w:sz w:val="28"/>
                <w:szCs w:val="28"/>
                <w:b w:val="1"/>
                <w:bCs w:val="1"/>
                <w:color w:val="auto"/>
                <w:w w:val="89"/>
                <w:vertAlign w:val="superscript"/>
              </w:rPr>
              <w:t>(1)</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Share</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 Fee</w:t>
            </w:r>
          </w:p>
        </w:tc>
      </w:tr>
      <w:tr>
        <w:trPr>
          <w:trHeight w:val="223"/>
        </w:trPr>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Primary Offering</w:t>
            </w:r>
          </w:p>
        </w:tc>
        <w:tc>
          <w:tcPr>
            <w:tcW w:w="168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r>
      <w:tr>
        <w:trPr>
          <w:trHeight w:val="223"/>
        </w:trPr>
        <w:tc>
          <w:tcPr>
            <w:tcW w:w="45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Class A Common Stock, $0.0001 par value per share</w:t>
            </w:r>
          </w:p>
        </w:tc>
        <w:tc>
          <w:tcPr>
            <w:tcW w:w="1680" w:type="dxa"/>
            <w:vAlign w:val="bottom"/>
            <w:tcBorders>
              <w:bottom w:val="single" w:sz="8" w:color="auto"/>
              <w:right w:val="single" w:sz="8" w:color="auto"/>
            </w:tcBorders>
          </w:tcPr>
          <w:p>
            <w:pPr>
              <w:jc w:val="center"/>
              <w:spacing w:after="0" w:line="216" w:lineRule="exact"/>
              <w:rPr>
                <w:sz w:val="20"/>
                <w:szCs w:val="20"/>
                <w:color w:val="auto"/>
              </w:rPr>
            </w:pPr>
            <w:r>
              <w:rPr>
                <w:rFonts w:ascii="Arial" w:cs="Arial" w:eastAsia="Arial" w:hAnsi="Arial"/>
                <w:sz w:val="16"/>
                <w:szCs w:val="16"/>
                <w:color w:val="auto"/>
                <w:w w:val="98"/>
              </w:rPr>
              <w:t>110,898,382</w:t>
            </w:r>
            <w:r>
              <w:rPr>
                <w:rFonts w:ascii="Arial" w:cs="Arial" w:eastAsia="Arial" w:hAnsi="Arial"/>
                <w:sz w:val="25"/>
                <w:szCs w:val="25"/>
                <w:color w:val="auto"/>
                <w:w w:val="98"/>
                <w:vertAlign w:val="superscript"/>
              </w:rPr>
              <w:t>(2)</w:t>
            </w:r>
          </w:p>
        </w:tc>
        <w:tc>
          <w:tcPr>
            <w:tcW w:w="1680" w:type="dxa"/>
            <w:vAlign w:val="bottom"/>
            <w:tcBorders>
              <w:bottom w:val="single" w:sz="8" w:color="auto"/>
              <w:right w:val="single" w:sz="8" w:color="auto"/>
            </w:tcBorders>
          </w:tcPr>
          <w:p>
            <w:pPr>
              <w:jc w:val="center"/>
              <w:spacing w:after="0" w:line="216" w:lineRule="exact"/>
              <w:rPr>
                <w:sz w:val="20"/>
                <w:szCs w:val="20"/>
                <w:color w:val="auto"/>
              </w:rPr>
            </w:pPr>
            <w:r>
              <w:rPr>
                <w:rFonts w:ascii="Arial" w:cs="Arial" w:eastAsia="Arial" w:hAnsi="Arial"/>
                <w:sz w:val="16"/>
                <w:szCs w:val="16"/>
                <w:color w:val="auto"/>
                <w:w w:val="95"/>
              </w:rPr>
              <w:t>$17.04</w:t>
            </w:r>
            <w:r>
              <w:rPr>
                <w:rFonts w:ascii="Arial" w:cs="Arial" w:eastAsia="Arial" w:hAnsi="Arial"/>
                <w:sz w:val="25"/>
                <w:szCs w:val="25"/>
                <w:color w:val="auto"/>
                <w:w w:val="95"/>
                <w:vertAlign w:val="superscript"/>
              </w:rPr>
              <w:t>(3)</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$ 1,889,708,438</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$ 206,168</w:t>
            </w:r>
          </w:p>
        </w:tc>
      </w:tr>
      <w:tr>
        <w:trPr>
          <w:trHeight w:val="223"/>
        </w:trPr>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Secondary Offering</w:t>
            </w:r>
          </w:p>
        </w:tc>
        <w:tc>
          <w:tcPr>
            <w:tcW w:w="168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r>
      <w:tr>
        <w:trPr>
          <w:trHeight w:val="223"/>
        </w:trPr>
        <w:tc>
          <w:tcPr>
            <w:tcW w:w="45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Class A Common Stock, $0.0001 par value per share</w:t>
            </w:r>
          </w:p>
        </w:tc>
        <w:tc>
          <w:tcPr>
            <w:tcW w:w="1680" w:type="dxa"/>
            <w:vAlign w:val="bottom"/>
            <w:tcBorders>
              <w:bottom w:val="single" w:sz="8" w:color="auto"/>
              <w:right w:val="single" w:sz="8" w:color="auto"/>
            </w:tcBorders>
          </w:tcPr>
          <w:p>
            <w:pPr>
              <w:jc w:val="center"/>
              <w:spacing w:after="0" w:line="216" w:lineRule="exact"/>
              <w:rPr>
                <w:sz w:val="20"/>
                <w:szCs w:val="20"/>
                <w:color w:val="auto"/>
              </w:rPr>
            </w:pPr>
            <w:r>
              <w:rPr>
                <w:rFonts w:ascii="Arial" w:cs="Arial" w:eastAsia="Arial" w:hAnsi="Arial"/>
                <w:sz w:val="16"/>
                <w:szCs w:val="16"/>
                <w:color w:val="auto"/>
                <w:w w:val="98"/>
              </w:rPr>
              <w:t>105,230,932</w:t>
            </w:r>
            <w:r>
              <w:rPr>
                <w:rFonts w:ascii="Arial" w:cs="Arial" w:eastAsia="Arial" w:hAnsi="Arial"/>
                <w:sz w:val="25"/>
                <w:szCs w:val="25"/>
                <w:color w:val="auto"/>
                <w:w w:val="98"/>
                <w:vertAlign w:val="superscript"/>
              </w:rPr>
              <w:t>(4)</w:t>
            </w:r>
          </w:p>
        </w:tc>
        <w:tc>
          <w:tcPr>
            <w:tcW w:w="1680" w:type="dxa"/>
            <w:vAlign w:val="bottom"/>
            <w:tcBorders>
              <w:bottom w:val="single" w:sz="8" w:color="auto"/>
              <w:right w:val="single" w:sz="8" w:color="auto"/>
            </w:tcBorders>
          </w:tcPr>
          <w:p>
            <w:pPr>
              <w:jc w:val="center"/>
              <w:spacing w:after="0" w:line="216" w:lineRule="exact"/>
              <w:rPr>
                <w:sz w:val="20"/>
                <w:szCs w:val="20"/>
                <w:color w:val="auto"/>
              </w:rPr>
            </w:pPr>
            <w:r>
              <w:rPr>
                <w:rFonts w:ascii="Arial" w:cs="Arial" w:eastAsia="Arial" w:hAnsi="Arial"/>
                <w:sz w:val="16"/>
                <w:szCs w:val="16"/>
                <w:color w:val="auto"/>
                <w:w w:val="95"/>
              </w:rPr>
              <w:t>$17.04</w:t>
            </w:r>
            <w:r>
              <w:rPr>
                <w:rFonts w:ascii="Arial" w:cs="Arial" w:eastAsia="Arial" w:hAnsi="Arial"/>
                <w:sz w:val="25"/>
                <w:szCs w:val="25"/>
                <w:color w:val="auto"/>
                <w:w w:val="95"/>
                <w:vertAlign w:val="superscript"/>
              </w:rPr>
              <w:t>(3)</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$ 1,793,135,086</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$ 195,632</w:t>
            </w:r>
          </w:p>
        </w:tc>
      </w:tr>
      <w:tr>
        <w:trPr>
          <w:trHeight w:val="223"/>
        </w:trPr>
        <w:tc>
          <w:tcPr>
            <w:tcW w:w="45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Warrants to purchase Class A Common Stock</w:t>
            </w:r>
          </w:p>
        </w:tc>
        <w:tc>
          <w:tcPr>
            <w:tcW w:w="1680" w:type="dxa"/>
            <w:vAlign w:val="bottom"/>
            <w:tcBorders>
              <w:bottom w:val="single" w:sz="8" w:color="auto"/>
              <w:right w:val="single" w:sz="8" w:color="auto"/>
            </w:tcBorders>
          </w:tcPr>
          <w:p>
            <w:pPr>
              <w:jc w:val="center"/>
              <w:spacing w:after="0" w:line="216" w:lineRule="exact"/>
              <w:rPr>
                <w:sz w:val="20"/>
                <w:szCs w:val="20"/>
                <w:color w:val="auto"/>
              </w:rPr>
            </w:pPr>
            <w:r>
              <w:rPr>
                <w:rFonts w:ascii="Arial" w:cs="Arial" w:eastAsia="Arial" w:hAnsi="Arial"/>
                <w:sz w:val="16"/>
                <w:szCs w:val="16"/>
                <w:color w:val="auto"/>
                <w:w w:val="96"/>
              </w:rPr>
              <w:t>7,000,000</w:t>
            </w:r>
            <w:r>
              <w:rPr>
                <w:rFonts w:ascii="Arial" w:cs="Arial" w:eastAsia="Arial" w:hAnsi="Arial"/>
                <w:sz w:val="25"/>
                <w:szCs w:val="25"/>
                <w:color w:val="auto"/>
                <w:w w:val="96"/>
                <w:vertAlign w:val="superscript"/>
              </w:rPr>
              <w:t>(5)</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2"/>
                <w:szCs w:val="12"/>
                <w:color w:val="auto"/>
              </w:rPr>
              <w:t>(6)</w:t>
            </w:r>
          </w:p>
        </w:tc>
      </w:tr>
      <w:tr>
        <w:trPr>
          <w:trHeight w:val="216"/>
        </w:trPr>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$ 3,682,843,524</w:t>
            </w:r>
          </w:p>
        </w:tc>
        <w:tc>
          <w:tcPr>
            <w:tcW w:w="16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color w:val="auto"/>
                <w:w w:val="98"/>
              </w:rPr>
              <w:t>$ 401,800</w:t>
            </w:r>
            <w:r>
              <w:rPr>
                <w:rFonts w:ascii="Arial" w:cs="Arial" w:eastAsia="Arial" w:hAnsi="Arial"/>
                <w:sz w:val="25"/>
                <w:szCs w:val="25"/>
                <w:color w:val="auto"/>
                <w:w w:val="98"/>
                <w:vertAlign w:val="superscript"/>
              </w:rPr>
              <w:t>(7)</w:t>
            </w:r>
          </w:p>
        </w:tc>
      </w:tr>
      <w:tr>
        <w:trPr>
          <w:trHeight w:val="21"/>
        </w:trPr>
        <w:tc>
          <w:tcPr>
            <w:tcW w:w="45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right="2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Rule 416(a), there are also being registered an indeterminable number of additional securities as may be issued to prevent dilution resulting from share splits, share dividends or similar transactions.</w:t>
      </w:r>
    </w:p>
    <w:p>
      <w:pPr>
        <w:spacing w:after="0" w:line="197" w:lineRule="exact"/>
        <w:rPr>
          <w:rFonts w:ascii="Arial" w:cs="Arial" w:eastAsia="Arial" w:hAnsi="Arial"/>
          <w:sz w:val="18"/>
          <w:szCs w:val="18"/>
          <w:color w:val="auto"/>
        </w:rPr>
      </w:pPr>
    </w:p>
    <w:p>
      <w:pPr>
        <w:ind w:left="340" w:right="140" w:hanging="332"/>
        <w:spacing w:after="0" w:line="270"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Consists of the primary issuance of 110,898,382 shares of Class A Common Stock, consisting of (i) 7,000,000 shares of Class A Common Stock issuable upon exercise of warrants originally issued in a private placement (the “Private Placement Warrants”) in connection with the initial public offering of Silver Spike Acquisition Corp. (“Silver Spike”) by the holders thereof, (ii) 12,499,933 shares of Class A Common Stock issuable upon exercise of the public warrants originally issued in the initial public offering of Silver Spike (the “Public Warrants” and together with the Private Placement Warrants, the “Warrants”) by the holders thereof, (iii) 65,502,347 shares of Class A Common Stock issuable upon exchange of Class A units representing limited liability company interests of WM Holding Company, LLC (“WMH LLC” and such units, the “Class A Units”)) combined with an equivalent number of shares of Class V Common Stock (together with the Class A Common Stock, the “Common Stock”), par value $0.0001 per share (together with the Class A Units, the “Paired Interests”) and (iv) 25,896,042 shares of Class A Common Stock issuable upon exchange of Class P units representing limited liability company interests of WMH LLC (“Class P Units”).</w:t>
      </w:r>
    </w:p>
    <w:p>
      <w:pPr>
        <w:spacing w:after="0" w:line="207" w:lineRule="exact"/>
        <w:rPr>
          <w:rFonts w:ascii="Arial" w:cs="Arial" w:eastAsia="Arial" w:hAnsi="Arial"/>
          <w:sz w:val="17"/>
          <w:szCs w:val="17"/>
          <w:color w:val="auto"/>
        </w:rPr>
      </w:pPr>
    </w:p>
    <w:p>
      <w:pPr>
        <w:ind w:left="340" w:right="220" w:hanging="332"/>
        <w:spacing w:after="0" w:line="26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Rule 457(c) under the Securities Act, and solely for the purpose of calculating the registration fee, the proposed maximum offering price per share is $17.04, which is the average of the high and low prices of the Class A Common Stock on July 6, 2021 on The Nasdaq Global Select Market.</w:t>
      </w:r>
    </w:p>
    <w:p>
      <w:pPr>
        <w:spacing w:after="0" w:line="210" w:lineRule="exact"/>
        <w:rPr>
          <w:rFonts w:ascii="Arial" w:cs="Arial" w:eastAsia="Arial" w:hAnsi="Arial"/>
          <w:sz w:val="18"/>
          <w:szCs w:val="18"/>
          <w:color w:val="auto"/>
        </w:rPr>
      </w:pPr>
    </w:p>
    <w:p>
      <w:pPr>
        <w:ind w:left="340" w:right="4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Consists of 105,014,011 shares of Class A Common Stock registered for resale by the selling securityholders named in this registration statement, consisting of (i) 38,750,000 issued and outstanding shares of Class A Common Stock, (ii) 59,264,011 shares of Class A Common Stock issuable upon exchange of such selling securityholder’s Paired Interests or Class P Units and (iii) 7,000,000 shares of Class A Common Stock issuable upon exercise of the Private Placement Warrants.</w:t>
      </w:r>
    </w:p>
    <w:p>
      <w:pPr>
        <w:spacing w:after="0" w:line="21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the resale of 7,000,000 Private Placement Warrants, which were issued on August 12, 2019 and will become exercisable on July 16, 2021.</w:t>
      </w:r>
    </w:p>
    <w:p>
      <w:pPr>
        <w:spacing w:after="0" w:line="275" w:lineRule="exact"/>
        <w:rPr>
          <w:rFonts w:ascii="Arial" w:cs="Arial" w:eastAsia="Arial" w:hAnsi="Arial"/>
          <w:sz w:val="16"/>
          <w:szCs w:val="16"/>
          <w:color w:val="auto"/>
        </w:rPr>
      </w:pPr>
    </w:p>
    <w:p>
      <w:pPr>
        <w:ind w:left="340" w:right="40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accordance with Rule 457(i), the entire registration fee for the Warrants (as defined below) is allocated to the shares of Class A Common Stock underlying the Warrants, and no separate fee is payable for the Warrants.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45" w:lineRule="exact"/>
        <w:rPr>
          <w:sz w:val="20"/>
          <w:szCs w:val="20"/>
          <w:color w:val="auto"/>
        </w:rPr>
      </w:pPr>
    </w:p>
    <w:p>
      <w:pPr>
        <w:ind w:right="160" w:firstLine="324"/>
        <w:spacing w:after="0" w:line="287" w:lineRule="auto"/>
        <w:rPr>
          <w:sz w:val="20"/>
          <w:szCs w:val="20"/>
          <w:color w:val="auto"/>
        </w:rPr>
      </w:pPr>
      <w:r>
        <w:rPr>
          <w:rFonts w:ascii="Arial" w:cs="Arial" w:eastAsia="Arial" w:hAnsi="Arial"/>
          <w:sz w:val="19"/>
          <w:szCs w:val="19"/>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22"/>
          <w:szCs w:val="22"/>
          <w:b w:val="1"/>
          <w:bCs w:val="1"/>
          <w:color w:val="auto"/>
        </w:rPr>
        <w:t>EXPLANATORY NOTE</w:t>
      </w:r>
    </w:p>
    <w:p>
      <w:pPr>
        <w:spacing w:after="0" w:line="240" w:lineRule="exact"/>
        <w:rPr>
          <w:sz w:val="20"/>
          <w:szCs w:val="20"/>
          <w:color w:val="auto"/>
        </w:rPr>
      </w:pPr>
    </w:p>
    <w:p>
      <w:pPr>
        <w:ind w:firstLine="360"/>
        <w:spacing w:after="0" w:line="238" w:lineRule="auto"/>
        <w:rPr>
          <w:sz w:val="20"/>
          <w:szCs w:val="20"/>
          <w:color w:val="auto"/>
        </w:rPr>
      </w:pPr>
      <w:r>
        <w:rPr>
          <w:rFonts w:ascii="Arial" w:cs="Arial" w:eastAsia="Arial" w:hAnsi="Arial"/>
          <w:sz w:val="22"/>
          <w:szCs w:val="22"/>
          <w:color w:val="auto"/>
        </w:rPr>
        <w:t>WM Technology, Inc. is filing this Amendment No. 1 to its Registration Statement on Form S-1 (File No. 333-257774) as an exhibits-only filing. Accordingly, this Amendment consists only of the facing page, this explanatory note, Item 16(a) of the Registration Statement, the signature page to the Registration Statement and filed exhibits. The remainder of the Registration Statement is unchanged and has therefore been omitted.</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tcPr>
          <w:p>
            <w:pPr>
              <w:ind w:left="3760"/>
              <w:spacing w:after="0"/>
              <w:rPr>
                <w:sz w:val="20"/>
                <w:szCs w:val="20"/>
                <w:color w:val="auto"/>
              </w:rPr>
            </w:pPr>
            <w:r>
              <w:rPr>
                <w:rFonts w:ascii="Arial" w:cs="Arial" w:eastAsia="Arial" w:hAnsi="Arial"/>
                <w:sz w:val="22"/>
                <w:szCs w:val="22"/>
                <w:b w:val="1"/>
                <w:bCs w:val="1"/>
                <w:color w:val="auto"/>
              </w:rPr>
              <w:t>PART II</w:t>
            </w:r>
          </w:p>
        </w:tc>
      </w:tr>
      <w:tr>
        <w:trPr>
          <w:trHeight w:val="486"/>
        </w:trPr>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tcPr>
          <w:p>
            <w:pPr>
              <w:ind w:left="2280"/>
              <w:spacing w:after="0"/>
              <w:rPr>
                <w:sz w:val="20"/>
                <w:szCs w:val="20"/>
                <w:color w:val="auto"/>
              </w:rPr>
            </w:pPr>
            <w:r>
              <w:rPr>
                <w:rFonts w:ascii="Arial" w:cs="Arial" w:eastAsia="Arial" w:hAnsi="Arial"/>
                <w:sz w:val="22"/>
                <w:szCs w:val="22"/>
                <w:b w:val="1"/>
                <w:bCs w:val="1"/>
                <w:color w:val="auto"/>
              </w:rPr>
              <w:t>Information Not Required in Prospectus</w:t>
            </w:r>
          </w:p>
        </w:tc>
      </w:tr>
      <w:tr>
        <w:trPr>
          <w:trHeight w:val="486"/>
        </w:trPr>
        <w:tc>
          <w:tcPr>
            <w:tcW w:w="11240" w:type="dxa"/>
            <w:vAlign w:val="bottom"/>
            <w:gridSpan w:val="15"/>
          </w:tcPr>
          <w:p>
            <w:pPr>
              <w:spacing w:after="0"/>
              <w:rPr>
                <w:sz w:val="20"/>
                <w:szCs w:val="20"/>
                <w:color w:val="auto"/>
              </w:rPr>
            </w:pPr>
            <w:r>
              <w:rPr>
                <w:rFonts w:ascii="Arial" w:cs="Arial" w:eastAsia="Arial" w:hAnsi="Arial"/>
                <w:sz w:val="22"/>
                <w:szCs w:val="22"/>
                <w:b w:val="1"/>
                <w:bCs w:val="1"/>
                <w:color w:val="auto"/>
              </w:rPr>
              <w:t>Item 16. Exhibits.</w:t>
            </w:r>
          </w:p>
        </w:tc>
      </w:tr>
      <w:tr>
        <w:trPr>
          <w:trHeight w:val="470"/>
        </w:trPr>
        <w:tc>
          <w:tcPr>
            <w:tcW w:w="1480" w:type="dxa"/>
            <w:vAlign w:val="bottom"/>
            <w:gridSpan w:val="14"/>
          </w:tcPr>
          <w:p>
            <w:pPr>
              <w:ind w:left="180"/>
              <w:spacing w:after="0"/>
              <w:rPr>
                <w:sz w:val="20"/>
                <w:szCs w:val="20"/>
                <w:color w:val="auto"/>
              </w:rPr>
            </w:pPr>
            <w:r>
              <w:rPr>
                <w:rFonts w:ascii="Arial" w:cs="Arial" w:eastAsia="Arial" w:hAnsi="Arial"/>
                <w:sz w:val="18"/>
                <w:szCs w:val="18"/>
                <w:b w:val="1"/>
                <w:bCs w:val="1"/>
                <w:color w:val="auto"/>
              </w:rPr>
              <w:t>Exhibit No.</w:t>
            </w:r>
          </w:p>
        </w:tc>
        <w:tc>
          <w:tcPr>
            <w:tcW w:w="976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840" w:type="dxa"/>
            <w:vAlign w:val="bottom"/>
            <w:tcBorders>
              <w:top w:val="single" w:sz="8" w:color="auto"/>
            </w:tcBorders>
            <w:gridSpan w:val="10"/>
          </w:tcPr>
          <w:p>
            <w:pPr>
              <w:jc w:val="center"/>
              <w:ind w:left="329"/>
              <w:spacing w:after="0" w:line="176" w:lineRule="exact"/>
              <w:rPr>
                <w:rFonts w:ascii="Arial" w:cs="Arial" w:eastAsia="Arial" w:hAnsi="Arial"/>
                <w:sz w:val="18"/>
                <w:szCs w:val="18"/>
                <w:color w:val="0000EE"/>
                <w:w w:val="95"/>
              </w:rPr>
            </w:pPr>
            <w:hyperlink r:id="rId20">
              <w:r>
                <w:rPr>
                  <w:rFonts w:ascii="Arial" w:cs="Arial" w:eastAsia="Arial" w:hAnsi="Arial"/>
                  <w:sz w:val="18"/>
                  <w:szCs w:val="18"/>
                  <w:color w:val="0000EE"/>
                  <w:w w:val="95"/>
                </w:rPr>
                <w:t>2.</w:t>
              </w:r>
              <w:r>
                <w:rPr>
                  <w:rFonts w:ascii="Arial" w:cs="Arial" w:eastAsia="Arial" w:hAnsi="Arial"/>
                  <w:sz w:val="18"/>
                  <w:szCs w:val="18"/>
                  <w:u w:val="single" w:color="auto"/>
                  <w:color w:val="0000EE"/>
                  <w:w w:val="95"/>
                </w:rPr>
                <w:t>1+</w:t>
              </w:r>
            </w:hyperlink>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7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99"/>
              </w:rPr>
              <w:t>Agreement and Plan of Merger, dated December 10, 2020, by and among Silver Spike, Merger Sub, WMH, and the Holder</w:t>
            </w:r>
          </w:p>
        </w:tc>
      </w:tr>
      <w:tr>
        <w:trPr>
          <w:trHeight w:val="222"/>
        </w:trPr>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4"/>
              </w:rPr>
              <w:t>Representative named therein (incorporated by reference to Exhibit 2.1 to the Current Report on Form 8-K filed on December 10,</w:t>
            </w:r>
          </w:p>
        </w:tc>
      </w:tr>
      <w:tr>
        <w:trPr>
          <w:trHeight w:val="216"/>
        </w:trPr>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2020).</w:t>
            </w:r>
          </w:p>
        </w:tc>
      </w:tr>
      <w:tr>
        <w:trPr>
          <w:trHeight w:val="190"/>
        </w:trPr>
        <w:tc>
          <w:tcPr>
            <w:tcW w:w="740" w:type="dxa"/>
            <w:vAlign w:val="bottom"/>
            <w:gridSpan w:val="7"/>
          </w:tcPr>
          <w:p>
            <w:pPr>
              <w:jc w:val="center"/>
              <w:ind w:left="429"/>
              <w:spacing w:after="0" w:line="190" w:lineRule="exact"/>
              <w:rPr>
                <w:rFonts w:ascii="Arial" w:cs="Arial" w:eastAsia="Arial" w:hAnsi="Arial"/>
                <w:sz w:val="18"/>
                <w:szCs w:val="18"/>
                <w:color w:val="0000EE"/>
                <w:w w:val="87"/>
              </w:rPr>
            </w:pPr>
            <w:hyperlink r:id="rId2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60" w:type="dxa"/>
            <w:vAlign w:val="bottom"/>
          </w:tcPr>
          <w:p>
            <w:pPr>
              <w:spacing w:after="0" w:line="190" w:lineRule="exact"/>
              <w:rPr>
                <w:sz w:val="20"/>
                <w:szCs w:val="20"/>
                <w:color w:val="auto"/>
              </w:rPr>
            </w:pPr>
            <w:r>
              <w:rPr>
                <w:rFonts w:ascii="Arial" w:cs="Arial" w:eastAsia="Arial" w:hAnsi="Arial"/>
                <w:sz w:val="18"/>
                <w:szCs w:val="18"/>
                <w:color w:val="auto"/>
                <w:w w:val="93"/>
              </w:rPr>
              <w:t>Certificate of Incorporation of the Company, dated June 15, 2021 (incorporated by reference to Exhibit 3.1 to the Current Report on</w:t>
            </w:r>
          </w:p>
        </w:tc>
      </w:tr>
      <w:tr>
        <w:trPr>
          <w:trHeight w:val="222"/>
        </w:trPr>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Form 8-K filed on June 21, 2021).</w:t>
            </w:r>
          </w:p>
        </w:tc>
      </w:tr>
      <w:tr>
        <w:trPr>
          <w:trHeight w:val="190"/>
        </w:trPr>
        <w:tc>
          <w:tcPr>
            <w:tcW w:w="740" w:type="dxa"/>
            <w:vAlign w:val="bottom"/>
            <w:gridSpan w:val="7"/>
          </w:tcPr>
          <w:p>
            <w:pPr>
              <w:jc w:val="center"/>
              <w:ind w:left="429"/>
              <w:spacing w:after="0" w:line="190" w:lineRule="exact"/>
              <w:rPr>
                <w:rFonts w:ascii="Arial" w:cs="Arial" w:eastAsia="Arial" w:hAnsi="Arial"/>
                <w:sz w:val="18"/>
                <w:szCs w:val="18"/>
                <w:color w:val="0000EE"/>
                <w:w w:val="87"/>
              </w:rPr>
            </w:pPr>
            <w:hyperlink r:id="rId22">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60" w:type="dxa"/>
            <w:vAlign w:val="bottom"/>
          </w:tcPr>
          <w:p>
            <w:pPr>
              <w:spacing w:after="0" w:line="190" w:lineRule="exact"/>
              <w:rPr>
                <w:sz w:val="20"/>
                <w:szCs w:val="20"/>
                <w:color w:val="auto"/>
              </w:rPr>
            </w:pPr>
            <w:r>
              <w:rPr>
                <w:rFonts w:ascii="Arial" w:cs="Arial" w:eastAsia="Arial" w:hAnsi="Arial"/>
                <w:sz w:val="18"/>
                <w:szCs w:val="18"/>
                <w:color w:val="auto"/>
                <w:w w:val="92"/>
              </w:rPr>
              <w:t>Amended and Restated Bylaws of the Company, dated June 16, 2021 (incorporated by reference to Exhibit 3.2 to the Current Report</w:t>
            </w:r>
          </w:p>
        </w:tc>
      </w:tr>
      <w:tr>
        <w:trPr>
          <w:trHeight w:val="222"/>
        </w:trPr>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on Form 8-K filed on June 21, 2021).</w:t>
            </w:r>
          </w:p>
        </w:tc>
      </w:tr>
      <w:tr>
        <w:trPr>
          <w:trHeight w:val="190"/>
        </w:trPr>
        <w:tc>
          <w:tcPr>
            <w:tcW w:w="740" w:type="dxa"/>
            <w:vAlign w:val="bottom"/>
            <w:gridSpan w:val="7"/>
          </w:tcPr>
          <w:p>
            <w:pPr>
              <w:jc w:val="center"/>
              <w:ind w:left="429"/>
              <w:spacing w:after="0" w:line="190" w:lineRule="exact"/>
              <w:rPr>
                <w:rFonts w:ascii="Arial" w:cs="Arial" w:eastAsia="Arial" w:hAnsi="Arial"/>
                <w:sz w:val="18"/>
                <w:szCs w:val="18"/>
                <w:color w:val="0000EE"/>
                <w:w w:val="87"/>
              </w:rPr>
            </w:pPr>
            <w:hyperlink r:id="rId2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60" w:type="dxa"/>
            <w:vAlign w:val="bottom"/>
          </w:tcPr>
          <w:p>
            <w:pPr>
              <w:spacing w:after="0" w:line="190" w:lineRule="exact"/>
              <w:rPr>
                <w:sz w:val="20"/>
                <w:szCs w:val="20"/>
                <w:color w:val="auto"/>
              </w:rPr>
            </w:pPr>
            <w:r>
              <w:rPr>
                <w:rFonts w:ascii="Arial" w:cs="Arial" w:eastAsia="Arial" w:hAnsi="Arial"/>
                <w:sz w:val="18"/>
                <w:szCs w:val="18"/>
                <w:color w:val="auto"/>
                <w:w w:val="92"/>
              </w:rPr>
              <w:t>Form of Common Stock Certificate of the Company (incorporated by reference to Exhibit 4.1 to the Current Report on Form 8-K filed</w:t>
            </w:r>
          </w:p>
        </w:tc>
      </w:tr>
      <w:tr>
        <w:trPr>
          <w:trHeight w:val="222"/>
        </w:trPr>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on June 21, 2021).</w:t>
            </w:r>
          </w:p>
        </w:tc>
      </w:tr>
      <w:tr>
        <w:trPr>
          <w:trHeight w:val="190"/>
        </w:trPr>
        <w:tc>
          <w:tcPr>
            <w:tcW w:w="740" w:type="dxa"/>
            <w:vAlign w:val="bottom"/>
            <w:gridSpan w:val="7"/>
          </w:tcPr>
          <w:p>
            <w:pPr>
              <w:jc w:val="center"/>
              <w:ind w:left="429"/>
              <w:spacing w:after="0" w:line="190" w:lineRule="exact"/>
              <w:rPr>
                <w:rFonts w:ascii="Arial" w:cs="Arial" w:eastAsia="Arial" w:hAnsi="Arial"/>
                <w:sz w:val="18"/>
                <w:szCs w:val="18"/>
                <w:color w:val="0000EE"/>
                <w:w w:val="87"/>
              </w:rPr>
            </w:pPr>
            <w:hyperlink r:id="rId2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60" w:type="dxa"/>
            <w:vAlign w:val="bottom"/>
          </w:tcPr>
          <w:p>
            <w:pPr>
              <w:spacing w:after="0" w:line="190" w:lineRule="exact"/>
              <w:rPr>
                <w:sz w:val="20"/>
                <w:szCs w:val="20"/>
                <w:color w:val="auto"/>
              </w:rPr>
            </w:pPr>
            <w:r>
              <w:rPr>
                <w:rFonts w:ascii="Arial" w:cs="Arial" w:eastAsia="Arial" w:hAnsi="Arial"/>
                <w:sz w:val="18"/>
                <w:szCs w:val="18"/>
                <w:color w:val="auto"/>
                <w:w w:val="91"/>
              </w:rPr>
              <w:t>Form of Warrant Certificate of the Company (incorporated by reference to Exhibit 4.2 to the Current Report on Form 8-K filed on June</w:t>
            </w:r>
          </w:p>
        </w:tc>
      </w:tr>
      <w:tr>
        <w:trPr>
          <w:trHeight w:val="222"/>
        </w:trPr>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21, 2021).</w:t>
            </w:r>
          </w:p>
        </w:tc>
      </w:tr>
      <w:tr>
        <w:trPr>
          <w:trHeight w:val="190"/>
        </w:trPr>
        <w:tc>
          <w:tcPr>
            <w:tcW w:w="740" w:type="dxa"/>
            <w:vAlign w:val="bottom"/>
            <w:gridSpan w:val="7"/>
          </w:tcPr>
          <w:p>
            <w:pPr>
              <w:jc w:val="center"/>
              <w:ind w:left="429"/>
              <w:spacing w:after="0" w:line="190" w:lineRule="exact"/>
              <w:rPr>
                <w:rFonts w:ascii="Arial" w:cs="Arial" w:eastAsia="Arial" w:hAnsi="Arial"/>
                <w:sz w:val="18"/>
                <w:szCs w:val="18"/>
                <w:color w:val="0000EE"/>
                <w:w w:val="87"/>
              </w:rPr>
            </w:pPr>
            <w:hyperlink r:id="rId2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60" w:type="dxa"/>
            <w:vAlign w:val="bottom"/>
          </w:tcPr>
          <w:p>
            <w:pPr>
              <w:spacing w:after="0" w:line="190" w:lineRule="exact"/>
              <w:rPr>
                <w:sz w:val="20"/>
                <w:szCs w:val="20"/>
                <w:color w:val="auto"/>
              </w:rPr>
            </w:pPr>
            <w:r>
              <w:rPr>
                <w:rFonts w:ascii="Arial" w:cs="Arial" w:eastAsia="Arial" w:hAnsi="Arial"/>
                <w:sz w:val="18"/>
                <w:szCs w:val="18"/>
                <w:color w:val="auto"/>
                <w:w w:val="90"/>
              </w:rPr>
              <w:t>Warrant Agreement, dated August 7, 2019, between the Company and Continental Stock Transfer &amp; Trust Company, as warrant agent</w:t>
            </w:r>
          </w:p>
        </w:tc>
      </w:tr>
      <w:tr>
        <w:trPr>
          <w:trHeight w:val="222"/>
        </w:trPr>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5"/>
              </w:rPr>
              <w:t>(incorporated by reference to Exhibit 4.1 filed on Silver Spike’s Current Report on Form 8-K, filed by the Company on August 12,</w:t>
            </w:r>
          </w:p>
        </w:tc>
      </w:tr>
      <w:tr>
        <w:trPr>
          <w:trHeight w:val="216"/>
        </w:trPr>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2019).</w:t>
            </w:r>
          </w:p>
        </w:tc>
      </w:tr>
      <w:tr>
        <w:trPr>
          <w:trHeight w:val="190"/>
        </w:trPr>
        <w:tc>
          <w:tcPr>
            <w:tcW w:w="740" w:type="dxa"/>
            <w:vAlign w:val="bottom"/>
            <w:gridSpan w:val="7"/>
          </w:tcPr>
          <w:p>
            <w:pPr>
              <w:jc w:val="center"/>
              <w:ind w:left="429"/>
              <w:spacing w:after="0" w:line="190"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60" w:type="dxa"/>
            <w:vAlign w:val="bottom"/>
          </w:tcPr>
          <w:p>
            <w:pPr>
              <w:spacing w:after="0" w:line="190" w:lineRule="exact"/>
              <w:rPr>
                <w:sz w:val="20"/>
                <w:szCs w:val="20"/>
                <w:color w:val="auto"/>
              </w:rPr>
            </w:pPr>
            <w:r>
              <w:rPr>
                <w:rFonts w:ascii="Arial" w:cs="Arial" w:eastAsia="Arial" w:hAnsi="Arial"/>
                <w:sz w:val="18"/>
                <w:szCs w:val="18"/>
                <w:color w:val="auto"/>
              </w:rPr>
              <w:t>Opinion of Cooley LLP</w:t>
            </w:r>
          </w:p>
        </w:tc>
      </w:tr>
      <w:tr>
        <w:trPr>
          <w:trHeight w:val="20"/>
        </w:trPr>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r>
      <w:tr>
        <w:trPr>
          <w:trHeight w:val="196"/>
        </w:trPr>
        <w:tc>
          <w:tcPr>
            <w:tcW w:w="800" w:type="dxa"/>
            <w:vAlign w:val="bottom"/>
            <w:gridSpan w:val="9"/>
          </w:tcPr>
          <w:p>
            <w:pPr>
              <w:jc w:val="center"/>
              <w:ind w:left="369"/>
              <w:spacing w:after="0" w:line="196" w:lineRule="exact"/>
              <w:rPr>
                <w:rFonts w:ascii="Arial" w:cs="Arial" w:eastAsia="Arial" w:hAnsi="Arial"/>
                <w:sz w:val="18"/>
                <w:szCs w:val="18"/>
                <w:color w:val="0000EE"/>
                <w:w w:val="85"/>
              </w:rPr>
            </w:pPr>
            <w:hyperlink r:id="rId2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tcPr>
          <w:p>
            <w:pPr>
              <w:spacing w:after="0" w:line="196" w:lineRule="exact"/>
              <w:rPr>
                <w:sz w:val="20"/>
                <w:szCs w:val="20"/>
                <w:color w:val="auto"/>
              </w:rPr>
            </w:pPr>
            <w:r>
              <w:rPr>
                <w:rFonts w:ascii="Arial" w:cs="Arial" w:eastAsia="Arial" w:hAnsi="Arial"/>
                <w:sz w:val="18"/>
                <w:szCs w:val="18"/>
                <w:color w:val="auto"/>
                <w:w w:val="94"/>
              </w:rPr>
              <w:t>Exchange Agreement, dated as of June 16, 2021, by and among the Company, Silver Spike Sponsor and the other parties thereto</w:t>
            </w:r>
          </w:p>
        </w:tc>
      </w:tr>
      <w:tr>
        <w:trPr>
          <w:trHeight w:val="222"/>
        </w:trPr>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(incorporated by reference to Exhibit 10.1 to the Current Report on Form 8-K filed on June 21, 2021).</w:t>
            </w:r>
          </w:p>
        </w:tc>
      </w:tr>
      <w:tr>
        <w:trPr>
          <w:trHeight w:val="190"/>
        </w:trPr>
        <w:tc>
          <w:tcPr>
            <w:tcW w:w="800" w:type="dxa"/>
            <w:vAlign w:val="bottom"/>
            <w:gridSpan w:val="9"/>
          </w:tcPr>
          <w:p>
            <w:pPr>
              <w:jc w:val="center"/>
              <w:ind w:left="369"/>
              <w:spacing w:after="0" w:line="190" w:lineRule="exact"/>
              <w:rPr>
                <w:rFonts w:ascii="Arial" w:cs="Arial" w:eastAsia="Arial" w:hAnsi="Arial"/>
                <w:sz w:val="18"/>
                <w:szCs w:val="18"/>
                <w:color w:val="0000EE"/>
                <w:w w:val="85"/>
              </w:rPr>
            </w:pPr>
            <w:hyperlink r:id="rId2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60" w:type="dxa"/>
            <w:vAlign w:val="bottom"/>
          </w:tcPr>
          <w:p>
            <w:pPr>
              <w:spacing w:after="0" w:line="190" w:lineRule="exact"/>
              <w:rPr>
                <w:sz w:val="20"/>
                <w:szCs w:val="20"/>
                <w:color w:val="auto"/>
              </w:rPr>
            </w:pPr>
            <w:r>
              <w:rPr>
                <w:rFonts w:ascii="Arial" w:cs="Arial" w:eastAsia="Arial" w:hAnsi="Arial"/>
                <w:sz w:val="18"/>
                <w:szCs w:val="18"/>
                <w:color w:val="auto"/>
                <w:w w:val="93"/>
              </w:rPr>
              <w:t>Tax Receivable Agreement, dated as of June 16, 2021, by and among the Company and the other parties thereto (incorporated by</w:t>
            </w:r>
          </w:p>
        </w:tc>
      </w:tr>
      <w:tr>
        <w:trPr>
          <w:trHeight w:val="222"/>
        </w:trPr>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reference to Exhibit 10.2 to the Current Report on Form 8-K filed on June 21, 2021).</w:t>
            </w:r>
          </w:p>
        </w:tc>
      </w:tr>
      <w:tr>
        <w:trPr>
          <w:trHeight w:val="190"/>
        </w:trPr>
        <w:tc>
          <w:tcPr>
            <w:tcW w:w="800" w:type="dxa"/>
            <w:vAlign w:val="bottom"/>
            <w:gridSpan w:val="9"/>
          </w:tcPr>
          <w:p>
            <w:pPr>
              <w:jc w:val="center"/>
              <w:ind w:left="369"/>
              <w:spacing w:after="0" w:line="190" w:lineRule="exact"/>
              <w:rPr>
                <w:rFonts w:ascii="Arial" w:cs="Arial" w:eastAsia="Arial" w:hAnsi="Arial"/>
                <w:sz w:val="18"/>
                <w:szCs w:val="18"/>
                <w:color w:val="0000EE"/>
                <w:w w:val="85"/>
              </w:rPr>
            </w:pPr>
            <w:hyperlink r:id="rId2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60" w:type="dxa"/>
            <w:vAlign w:val="bottom"/>
          </w:tcPr>
          <w:p>
            <w:pPr>
              <w:spacing w:after="0" w:line="190" w:lineRule="exact"/>
              <w:rPr>
                <w:sz w:val="20"/>
                <w:szCs w:val="20"/>
                <w:color w:val="auto"/>
              </w:rPr>
            </w:pPr>
            <w:r>
              <w:rPr>
                <w:rFonts w:ascii="Arial" w:cs="Arial" w:eastAsia="Arial" w:hAnsi="Arial"/>
                <w:sz w:val="18"/>
                <w:szCs w:val="18"/>
                <w:color w:val="auto"/>
                <w:w w:val="93"/>
              </w:rPr>
              <w:t>Fourth Amended and Restated Operating Agreement of WMH LLC (incorporated by reference to Exhibit 10.3 to the Current Report</w:t>
            </w:r>
          </w:p>
        </w:tc>
      </w:tr>
      <w:tr>
        <w:trPr>
          <w:trHeight w:val="222"/>
        </w:trPr>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on Form 8-K filed on June 21, 2021).</w:t>
            </w:r>
          </w:p>
        </w:tc>
      </w:tr>
      <w:tr>
        <w:trPr>
          <w:trHeight w:val="190"/>
        </w:trPr>
        <w:tc>
          <w:tcPr>
            <w:tcW w:w="800" w:type="dxa"/>
            <w:vAlign w:val="bottom"/>
            <w:gridSpan w:val="9"/>
          </w:tcPr>
          <w:p>
            <w:pPr>
              <w:jc w:val="center"/>
              <w:ind w:left="369"/>
              <w:spacing w:after="0" w:line="190" w:lineRule="exact"/>
              <w:rPr>
                <w:rFonts w:ascii="Arial" w:cs="Arial" w:eastAsia="Arial" w:hAnsi="Arial"/>
                <w:sz w:val="18"/>
                <w:szCs w:val="18"/>
                <w:color w:val="0000EE"/>
                <w:w w:val="85"/>
              </w:rPr>
            </w:pPr>
            <w:hyperlink r:id="rId2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60" w:type="dxa"/>
            <w:vAlign w:val="bottom"/>
          </w:tcPr>
          <w:p>
            <w:pPr>
              <w:spacing w:after="0" w:line="190" w:lineRule="exact"/>
              <w:rPr>
                <w:sz w:val="20"/>
                <w:szCs w:val="20"/>
                <w:color w:val="auto"/>
              </w:rPr>
            </w:pPr>
            <w:r>
              <w:rPr>
                <w:rFonts w:ascii="Arial" w:cs="Arial" w:eastAsia="Arial" w:hAnsi="Arial"/>
                <w:sz w:val="18"/>
                <w:szCs w:val="18"/>
                <w:color w:val="auto"/>
                <w:w w:val="92"/>
              </w:rPr>
              <w:t>Form of Subscription Agreement (incorporated by reference to Exhibit 10.1 to the Current Report on Form 8-K filed on December 10,</w:t>
            </w:r>
          </w:p>
        </w:tc>
      </w:tr>
      <w:tr>
        <w:trPr>
          <w:trHeight w:val="222"/>
        </w:trPr>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2020).</w:t>
            </w:r>
          </w:p>
        </w:tc>
      </w:tr>
      <w:tr>
        <w:trPr>
          <w:trHeight w:val="190"/>
        </w:trPr>
        <w:tc>
          <w:tcPr>
            <w:tcW w:w="800" w:type="dxa"/>
            <w:vAlign w:val="bottom"/>
            <w:gridSpan w:val="9"/>
          </w:tcPr>
          <w:p>
            <w:pPr>
              <w:jc w:val="center"/>
              <w:ind w:left="369"/>
              <w:spacing w:after="0" w:line="190" w:lineRule="exact"/>
              <w:rPr>
                <w:rFonts w:ascii="Arial" w:cs="Arial" w:eastAsia="Arial" w:hAnsi="Arial"/>
                <w:sz w:val="18"/>
                <w:szCs w:val="18"/>
                <w:color w:val="0000EE"/>
                <w:w w:val="85"/>
              </w:rPr>
            </w:pPr>
            <w:hyperlink r:id="rId3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60" w:type="dxa"/>
            <w:vAlign w:val="bottom"/>
          </w:tcPr>
          <w:p>
            <w:pPr>
              <w:spacing w:after="0" w:line="190" w:lineRule="exact"/>
              <w:rPr>
                <w:sz w:val="20"/>
                <w:szCs w:val="20"/>
                <w:color w:val="auto"/>
              </w:rPr>
            </w:pPr>
            <w:r>
              <w:rPr>
                <w:rFonts w:ascii="Arial" w:cs="Arial" w:eastAsia="Arial" w:hAnsi="Arial"/>
                <w:sz w:val="18"/>
                <w:szCs w:val="18"/>
                <w:color w:val="auto"/>
                <w:w w:val="90"/>
              </w:rPr>
              <w:t>Amended and Restated Registration Rights Agreement, dated as of June 16, 2021, by and among the Company, Silver Spike Sponsor</w:t>
            </w:r>
          </w:p>
        </w:tc>
      </w:tr>
      <w:tr>
        <w:trPr>
          <w:trHeight w:val="222"/>
        </w:trPr>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4"/>
              </w:rPr>
              <w:t>and the other parties thereto (incorporated by reference to Exhibit 10.5 to the Current Report on Form 8-K filed on June 21, 2021).</w:t>
            </w:r>
          </w:p>
        </w:tc>
      </w:tr>
      <w:tr>
        <w:trPr>
          <w:trHeight w:val="190"/>
        </w:trPr>
        <w:tc>
          <w:tcPr>
            <w:tcW w:w="880" w:type="dxa"/>
            <w:vAlign w:val="bottom"/>
            <w:gridSpan w:val="11"/>
          </w:tcPr>
          <w:p>
            <w:pPr>
              <w:jc w:val="center"/>
              <w:ind w:left="289"/>
              <w:spacing w:after="0" w:line="190" w:lineRule="exact"/>
              <w:rPr>
                <w:rFonts w:ascii="Arial" w:cs="Arial" w:eastAsia="Arial" w:hAnsi="Arial"/>
                <w:sz w:val="18"/>
                <w:szCs w:val="18"/>
                <w:color w:val="0000EE"/>
                <w:w w:val="93"/>
              </w:rPr>
            </w:pPr>
            <w:hyperlink r:id="rId31">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6#</w:t>
              </w:r>
            </w:hyperlink>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60" w:type="dxa"/>
            <w:vAlign w:val="bottom"/>
          </w:tcPr>
          <w:p>
            <w:pPr>
              <w:spacing w:after="0" w:line="190" w:lineRule="exact"/>
              <w:rPr>
                <w:sz w:val="20"/>
                <w:szCs w:val="20"/>
                <w:color w:val="auto"/>
              </w:rPr>
            </w:pPr>
            <w:r>
              <w:rPr>
                <w:rFonts w:ascii="Arial" w:cs="Arial" w:eastAsia="Arial" w:hAnsi="Arial"/>
                <w:sz w:val="18"/>
                <w:szCs w:val="18"/>
                <w:color w:val="auto"/>
                <w:w w:val="92"/>
              </w:rPr>
              <w:t>Form of Indemnification Agreement by and between the Company and its directors and officers (incorporated by reference to Exhibit</w:t>
            </w:r>
          </w:p>
        </w:tc>
      </w:tr>
      <w:tr>
        <w:trPr>
          <w:trHeight w:val="222"/>
        </w:trPr>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10.6 to the Current Report on Form 8-K filed on June 21, 2021).</w:t>
            </w:r>
          </w:p>
        </w:tc>
      </w:tr>
      <w:tr>
        <w:trPr>
          <w:trHeight w:val="190"/>
        </w:trPr>
        <w:tc>
          <w:tcPr>
            <w:tcW w:w="880" w:type="dxa"/>
            <w:vAlign w:val="bottom"/>
            <w:gridSpan w:val="11"/>
          </w:tcPr>
          <w:p>
            <w:pPr>
              <w:jc w:val="center"/>
              <w:ind w:left="289"/>
              <w:spacing w:after="0" w:line="190" w:lineRule="exact"/>
              <w:rPr>
                <w:rFonts w:ascii="Arial" w:cs="Arial" w:eastAsia="Arial" w:hAnsi="Arial"/>
                <w:sz w:val="18"/>
                <w:szCs w:val="18"/>
                <w:color w:val="0000EE"/>
                <w:w w:val="93"/>
              </w:rPr>
            </w:pPr>
            <w:hyperlink r:id="rId32">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7#</w:t>
              </w:r>
            </w:hyperlink>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60" w:type="dxa"/>
            <w:vAlign w:val="bottom"/>
          </w:tcPr>
          <w:p>
            <w:pPr>
              <w:spacing w:after="0" w:line="190" w:lineRule="exact"/>
              <w:rPr>
                <w:sz w:val="20"/>
                <w:szCs w:val="20"/>
                <w:color w:val="auto"/>
              </w:rPr>
            </w:pPr>
            <w:r>
              <w:rPr>
                <w:rFonts w:ascii="Arial" w:cs="Arial" w:eastAsia="Arial" w:hAnsi="Arial"/>
                <w:sz w:val="18"/>
                <w:szCs w:val="18"/>
                <w:color w:val="auto"/>
                <w:w w:val="93"/>
              </w:rPr>
              <w:t>WM Technology, Inc. 2021 Equity Incentive Plan (incorporated by reference to Exhibit 10.7 to the Current Report on Form 8-K filed</w:t>
            </w:r>
          </w:p>
        </w:tc>
      </w:tr>
      <w:tr>
        <w:trPr>
          <w:trHeight w:val="222"/>
        </w:trPr>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on June 21, 2021).</w:t>
            </w:r>
          </w:p>
        </w:tc>
      </w:tr>
      <w:tr>
        <w:trPr>
          <w:trHeight w:val="190"/>
        </w:trPr>
        <w:tc>
          <w:tcPr>
            <w:tcW w:w="320" w:type="dxa"/>
            <w:vAlign w:val="bottom"/>
          </w:tcPr>
          <w:p>
            <w:pPr>
              <w:spacing w:after="0"/>
              <w:rPr>
                <w:sz w:val="16"/>
                <w:szCs w:val="16"/>
                <w:color w:val="auto"/>
              </w:rPr>
            </w:pPr>
          </w:p>
        </w:tc>
        <w:tc>
          <w:tcPr>
            <w:tcW w:w="1160" w:type="dxa"/>
            <w:vAlign w:val="bottom"/>
            <w:gridSpan w:val="13"/>
          </w:tcPr>
          <w:p>
            <w:pPr>
              <w:jc w:val="center"/>
              <w:ind w:right="540"/>
              <w:spacing w:after="0" w:line="190" w:lineRule="exact"/>
              <w:rPr>
                <w:rFonts w:ascii="Arial" w:cs="Arial" w:eastAsia="Arial" w:hAnsi="Arial"/>
                <w:sz w:val="18"/>
                <w:szCs w:val="18"/>
                <w:color w:val="0000EE"/>
                <w:w w:val="92"/>
              </w:rPr>
            </w:pPr>
            <w:hyperlink r:id="rId33">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7(a)#</w:t>
              </w:r>
            </w:hyperlink>
          </w:p>
        </w:tc>
        <w:tc>
          <w:tcPr>
            <w:tcW w:w="9760" w:type="dxa"/>
            <w:vAlign w:val="bottom"/>
          </w:tcPr>
          <w:p>
            <w:pPr>
              <w:spacing w:after="0" w:line="190" w:lineRule="exact"/>
              <w:rPr>
                <w:sz w:val="20"/>
                <w:szCs w:val="20"/>
                <w:color w:val="auto"/>
              </w:rPr>
            </w:pPr>
            <w:r>
              <w:rPr>
                <w:rFonts w:ascii="Arial" w:cs="Arial" w:eastAsia="Arial" w:hAnsi="Arial"/>
                <w:sz w:val="18"/>
                <w:szCs w:val="18"/>
                <w:color w:val="auto"/>
                <w:w w:val="92"/>
              </w:rPr>
              <w:t>Form of Stock Option Grant Notice (incorporated by reference to Exhibit 10.7(a) to the Current Report on Form 8-K filed on June 21,</w:t>
            </w:r>
          </w:p>
        </w:tc>
      </w:tr>
      <w:tr>
        <w:trPr>
          <w:trHeight w:val="222"/>
        </w:trPr>
        <w:tc>
          <w:tcPr>
            <w:tcW w:w="32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2021).</w:t>
            </w:r>
          </w:p>
        </w:tc>
      </w:tr>
      <w:tr>
        <w:trPr>
          <w:trHeight w:val="190"/>
        </w:trPr>
        <w:tc>
          <w:tcPr>
            <w:tcW w:w="1480" w:type="dxa"/>
            <w:vAlign w:val="bottom"/>
            <w:gridSpan w:val="14"/>
          </w:tcPr>
          <w:p>
            <w:pPr>
              <w:jc w:val="center"/>
              <w:ind w:right="220"/>
              <w:spacing w:after="0" w:line="190" w:lineRule="exact"/>
              <w:rPr>
                <w:rFonts w:ascii="Arial" w:cs="Arial" w:eastAsia="Arial" w:hAnsi="Arial"/>
                <w:sz w:val="18"/>
                <w:szCs w:val="18"/>
                <w:color w:val="0000EE"/>
                <w:w w:val="92"/>
              </w:rPr>
            </w:pPr>
            <w:hyperlink r:id="rId34">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7(b)#</w:t>
              </w:r>
            </w:hyperlink>
          </w:p>
        </w:tc>
        <w:tc>
          <w:tcPr>
            <w:tcW w:w="9760" w:type="dxa"/>
            <w:vAlign w:val="bottom"/>
          </w:tcPr>
          <w:p>
            <w:pPr>
              <w:spacing w:after="0" w:line="190" w:lineRule="exact"/>
              <w:rPr>
                <w:sz w:val="20"/>
                <w:szCs w:val="20"/>
                <w:color w:val="auto"/>
              </w:rPr>
            </w:pPr>
            <w:r>
              <w:rPr>
                <w:rFonts w:ascii="Arial" w:cs="Arial" w:eastAsia="Arial" w:hAnsi="Arial"/>
                <w:sz w:val="18"/>
                <w:szCs w:val="18"/>
                <w:color w:val="auto"/>
                <w:w w:val="93"/>
              </w:rPr>
              <w:t>Form of RSU Award Grant Notice (incorporated by reference to Exhibit 10.7(b) to the Current Report on Form 8-K filed on June 21,</w:t>
            </w:r>
          </w:p>
        </w:tc>
      </w:tr>
      <w:tr>
        <w:trPr>
          <w:trHeight w:val="222"/>
        </w:trPr>
        <w:tc>
          <w:tcPr>
            <w:tcW w:w="32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2021).</w:t>
            </w:r>
          </w:p>
        </w:tc>
      </w:tr>
      <w:tr>
        <w:trPr>
          <w:trHeight w:val="190"/>
        </w:trPr>
        <w:tc>
          <w:tcPr>
            <w:tcW w:w="880" w:type="dxa"/>
            <w:vAlign w:val="bottom"/>
            <w:gridSpan w:val="11"/>
          </w:tcPr>
          <w:p>
            <w:pPr>
              <w:jc w:val="center"/>
              <w:ind w:left="289"/>
              <w:spacing w:after="0" w:line="190" w:lineRule="exact"/>
              <w:rPr>
                <w:rFonts w:ascii="Arial" w:cs="Arial" w:eastAsia="Arial" w:hAnsi="Arial"/>
                <w:sz w:val="18"/>
                <w:szCs w:val="18"/>
                <w:color w:val="0000EE"/>
                <w:w w:val="93"/>
              </w:rPr>
            </w:pPr>
            <w:hyperlink r:id="rId35">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8#</w:t>
              </w:r>
            </w:hyperlink>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60" w:type="dxa"/>
            <w:vAlign w:val="bottom"/>
          </w:tcPr>
          <w:p>
            <w:pPr>
              <w:spacing w:after="0" w:line="190" w:lineRule="exact"/>
              <w:rPr>
                <w:sz w:val="20"/>
                <w:szCs w:val="20"/>
                <w:color w:val="auto"/>
              </w:rPr>
            </w:pPr>
            <w:r>
              <w:rPr>
                <w:rFonts w:ascii="Arial" w:cs="Arial" w:eastAsia="Arial" w:hAnsi="Arial"/>
                <w:sz w:val="18"/>
                <w:szCs w:val="18"/>
                <w:color w:val="auto"/>
                <w:w w:val="92"/>
              </w:rPr>
              <w:t>WM Technology, Inc. 2021 Employee Stock Purchase Plan (incorporated by reference to Exhibit 10.8 to the Current Report on Form</w:t>
            </w:r>
          </w:p>
        </w:tc>
      </w:tr>
      <w:tr>
        <w:trPr>
          <w:trHeight w:val="222"/>
        </w:trPr>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8-K filed on June 21, 2021).</w:t>
            </w:r>
          </w:p>
        </w:tc>
      </w:tr>
      <w:tr>
        <w:trPr>
          <w:trHeight w:val="190"/>
        </w:trPr>
        <w:tc>
          <w:tcPr>
            <w:tcW w:w="880" w:type="dxa"/>
            <w:vAlign w:val="bottom"/>
            <w:gridSpan w:val="11"/>
          </w:tcPr>
          <w:p>
            <w:pPr>
              <w:jc w:val="center"/>
              <w:ind w:left="289"/>
              <w:spacing w:after="0" w:line="190" w:lineRule="exact"/>
              <w:rPr>
                <w:rFonts w:ascii="Arial" w:cs="Arial" w:eastAsia="Arial" w:hAnsi="Arial"/>
                <w:sz w:val="18"/>
                <w:szCs w:val="18"/>
                <w:color w:val="0000EE"/>
                <w:w w:val="93"/>
              </w:rPr>
            </w:pPr>
            <w:hyperlink r:id="rId36">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9#</w:t>
              </w:r>
            </w:hyperlink>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60" w:type="dxa"/>
            <w:vAlign w:val="bottom"/>
          </w:tcPr>
          <w:p>
            <w:pPr>
              <w:spacing w:after="0" w:line="190" w:lineRule="exact"/>
              <w:rPr>
                <w:sz w:val="20"/>
                <w:szCs w:val="20"/>
                <w:color w:val="auto"/>
              </w:rPr>
            </w:pPr>
            <w:r>
              <w:rPr>
                <w:rFonts w:ascii="Arial" w:cs="Arial" w:eastAsia="Arial" w:hAnsi="Arial"/>
                <w:sz w:val="18"/>
                <w:szCs w:val="18"/>
                <w:color w:val="auto"/>
                <w:w w:val="91"/>
              </w:rPr>
              <w:t>Offer letter by and between Ghost Management Group, LLC and Christopher Beals, dated July 31, 2015 (incorporated by reference to</w:t>
            </w:r>
          </w:p>
        </w:tc>
      </w:tr>
      <w:tr>
        <w:trPr>
          <w:trHeight w:val="222"/>
        </w:trPr>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Exhibit 10.9 to the Current Report on Form 8-K filed on June 21, 2021).</w:t>
            </w:r>
          </w:p>
        </w:tc>
      </w:tr>
      <w:tr>
        <w:trPr>
          <w:trHeight w:val="190"/>
        </w:trPr>
        <w:tc>
          <w:tcPr>
            <w:tcW w:w="940" w:type="dxa"/>
            <w:vAlign w:val="bottom"/>
            <w:gridSpan w:val="12"/>
          </w:tcPr>
          <w:p>
            <w:pPr>
              <w:jc w:val="center"/>
              <w:ind w:left="229"/>
              <w:spacing w:after="0" w:line="190" w:lineRule="exact"/>
              <w:rPr>
                <w:rFonts w:ascii="Arial" w:cs="Arial" w:eastAsia="Arial" w:hAnsi="Arial"/>
                <w:sz w:val="18"/>
                <w:szCs w:val="18"/>
                <w:color w:val="0000EE"/>
                <w:w w:val="90"/>
              </w:rPr>
            </w:pPr>
            <w:hyperlink r:id="rId37">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10#</w:t>
              </w:r>
            </w:hyperlink>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60" w:type="dxa"/>
            <w:vAlign w:val="bottom"/>
          </w:tcPr>
          <w:p>
            <w:pPr>
              <w:spacing w:after="0" w:line="190" w:lineRule="exact"/>
              <w:rPr>
                <w:sz w:val="20"/>
                <w:szCs w:val="20"/>
                <w:color w:val="auto"/>
              </w:rPr>
            </w:pPr>
            <w:r>
              <w:rPr>
                <w:rFonts w:ascii="Arial" w:cs="Arial" w:eastAsia="Arial" w:hAnsi="Arial"/>
                <w:sz w:val="18"/>
                <w:szCs w:val="18"/>
                <w:color w:val="auto"/>
                <w:w w:val="93"/>
              </w:rPr>
              <w:t>Offer letter by and between Ghost Management Group, LLC and Justin Dean, dated October 3, 2018 (incorporated by reference to</w:t>
            </w:r>
          </w:p>
        </w:tc>
      </w:tr>
      <w:tr>
        <w:trPr>
          <w:trHeight w:val="222"/>
        </w:trPr>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Exhibit 10.10 to the Current Report on Form 8-K filed on June 21, 2021).</w:t>
            </w:r>
          </w:p>
        </w:tc>
      </w:tr>
      <w:tr>
        <w:trPr>
          <w:trHeight w:val="190"/>
        </w:trPr>
        <w:tc>
          <w:tcPr>
            <w:tcW w:w="880" w:type="dxa"/>
            <w:vAlign w:val="bottom"/>
            <w:gridSpan w:val="11"/>
          </w:tcPr>
          <w:p>
            <w:pPr>
              <w:jc w:val="center"/>
              <w:ind w:left="289"/>
              <w:spacing w:after="0" w:line="190" w:lineRule="exact"/>
              <w:rPr>
                <w:rFonts w:ascii="Arial" w:cs="Arial" w:eastAsia="Arial" w:hAnsi="Arial"/>
                <w:sz w:val="18"/>
                <w:szCs w:val="18"/>
                <w:color w:val="0000EE"/>
                <w:w w:val="90"/>
              </w:rPr>
            </w:pPr>
            <w:hyperlink r:id="rId38">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11#</w:t>
              </w:r>
            </w:hyperlink>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60" w:type="dxa"/>
            <w:vAlign w:val="bottom"/>
          </w:tcPr>
          <w:p>
            <w:pPr>
              <w:spacing w:after="0" w:line="190" w:lineRule="exact"/>
              <w:rPr>
                <w:sz w:val="20"/>
                <w:szCs w:val="20"/>
                <w:color w:val="auto"/>
              </w:rPr>
            </w:pPr>
            <w:r>
              <w:rPr>
                <w:rFonts w:ascii="Arial" w:cs="Arial" w:eastAsia="Arial" w:hAnsi="Arial"/>
                <w:sz w:val="18"/>
                <w:szCs w:val="18"/>
                <w:color w:val="auto"/>
                <w:w w:val="95"/>
              </w:rPr>
              <w:t>Offer letter by and between Ghost Management Group, LLC and Steven Jung, dated May 17, 2017 (incorporated by reference to</w:t>
            </w:r>
          </w:p>
        </w:tc>
      </w:tr>
      <w:tr>
        <w:trPr>
          <w:trHeight w:val="237"/>
        </w:trPr>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Exhibit 10.11 to the Current Report on Form 8-K filed on June 21, 2021).</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tbl>
      <w:tblPr>
        <w:tblLayout w:type="fixed"/>
        <w:tblInd w:w="292" w:type="dxa"/>
        <w:tblCellMar>
          <w:top w:w="0" w:type="dxa"/>
          <w:left w:w="0" w:type="dxa"/>
          <w:bottom w:w="0" w:type="dxa"/>
          <w:right w:w="0" w:type="dxa"/>
        </w:tblCellMar>
      </w:tblPr>
      <w:tr>
        <w:trPr>
          <w:trHeight w:val="207"/>
        </w:trPr>
        <w:tc>
          <w:tcPr>
            <w:tcW w:w="920" w:type="dxa"/>
            <w:vAlign w:val="bottom"/>
            <w:gridSpan w:val="5"/>
          </w:tcPr>
          <w:p>
            <w:pPr>
              <w:jc w:val="center"/>
              <w:ind w:right="260"/>
              <w:spacing w:after="0"/>
              <w:rPr>
                <w:rFonts w:ascii="Arial" w:cs="Arial" w:eastAsia="Arial" w:hAnsi="Arial"/>
                <w:sz w:val="18"/>
                <w:szCs w:val="18"/>
                <w:color w:val="0000EE"/>
                <w:w w:val="93"/>
              </w:rPr>
            </w:pPr>
            <w:hyperlink r:id="rId40">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12</w:t>
              </w:r>
            </w:hyperlink>
          </w:p>
        </w:tc>
        <w:tc>
          <w:tcPr>
            <w:tcW w:w="9960" w:type="dxa"/>
            <w:vAlign w:val="bottom"/>
          </w:tcPr>
          <w:p>
            <w:pPr>
              <w:ind w:left="260"/>
              <w:spacing w:after="0"/>
              <w:rPr>
                <w:sz w:val="20"/>
                <w:szCs w:val="20"/>
                <w:color w:val="auto"/>
              </w:rPr>
            </w:pPr>
            <w:r>
              <w:rPr>
                <w:rFonts w:ascii="Arial" w:cs="Arial" w:eastAsia="Arial" w:hAnsi="Arial"/>
                <w:sz w:val="18"/>
                <w:szCs w:val="18"/>
                <w:color w:val="auto"/>
                <w:w w:val="91"/>
              </w:rPr>
              <w:t>Lease by and between the Irvine Company LLC and Ghost Media Group, LLC, dated November 11, 2013, as amended (incorporated</w:t>
            </w:r>
          </w:p>
        </w:tc>
      </w:tr>
      <w:tr>
        <w:trPr>
          <w:trHeight w:val="222"/>
        </w:trPr>
        <w:tc>
          <w:tcPr>
            <w:tcW w:w="12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by reference to Exhibit 10.12 to the Current Report on Form 8-K filed on June 21, 2021).</w:t>
            </w:r>
          </w:p>
        </w:tc>
      </w:tr>
      <w:tr>
        <w:trPr>
          <w:trHeight w:val="190"/>
        </w:trPr>
        <w:tc>
          <w:tcPr>
            <w:tcW w:w="920" w:type="dxa"/>
            <w:vAlign w:val="bottom"/>
            <w:gridSpan w:val="5"/>
          </w:tcPr>
          <w:p>
            <w:pPr>
              <w:jc w:val="center"/>
              <w:ind w:right="260"/>
              <w:spacing w:after="0" w:line="190" w:lineRule="exact"/>
              <w:rPr>
                <w:rFonts w:ascii="Arial" w:cs="Arial" w:eastAsia="Arial" w:hAnsi="Arial"/>
                <w:sz w:val="18"/>
                <w:szCs w:val="18"/>
                <w:color w:val="0000EE"/>
                <w:w w:val="93"/>
              </w:rPr>
            </w:pPr>
            <w:hyperlink r:id="rId41">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13</w:t>
              </w:r>
            </w:hyperlink>
          </w:p>
        </w:tc>
        <w:tc>
          <w:tcPr>
            <w:tcW w:w="9960" w:type="dxa"/>
            <w:vAlign w:val="bottom"/>
          </w:tcPr>
          <w:p>
            <w:pPr>
              <w:ind w:left="260"/>
              <w:spacing w:after="0" w:line="190" w:lineRule="exact"/>
              <w:rPr>
                <w:sz w:val="20"/>
                <w:szCs w:val="20"/>
                <w:color w:val="auto"/>
              </w:rPr>
            </w:pPr>
            <w:r>
              <w:rPr>
                <w:rFonts w:ascii="Arial" w:cs="Arial" w:eastAsia="Arial" w:hAnsi="Arial"/>
                <w:sz w:val="18"/>
                <w:szCs w:val="18"/>
                <w:color w:val="auto"/>
                <w:w w:val="89"/>
              </w:rPr>
              <w:t>First Amendment to Lease and Consent to Assignment by and between Discovery Business Center LLC, as successor-in-interest to the</w:t>
            </w:r>
          </w:p>
        </w:tc>
      </w:tr>
      <w:tr>
        <w:trPr>
          <w:trHeight w:val="222"/>
        </w:trPr>
        <w:tc>
          <w:tcPr>
            <w:tcW w:w="12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w w:val="92"/>
              </w:rPr>
              <w:t>Irvine Company LLC, and Ghost Management Group, LLC, as successor-in-interest to Ghost Media Group, LLC, dated January 27,</w:t>
            </w:r>
          </w:p>
        </w:tc>
      </w:tr>
      <w:tr>
        <w:trPr>
          <w:trHeight w:val="216"/>
        </w:trPr>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2016 (incorporated by reference to Exhibit 10.13 to the Current Report on Form 8-K filed on June 21, 2021).</w:t>
            </w:r>
          </w:p>
        </w:tc>
      </w:tr>
      <w:tr>
        <w:trPr>
          <w:trHeight w:val="190"/>
        </w:trPr>
        <w:tc>
          <w:tcPr>
            <w:tcW w:w="920" w:type="dxa"/>
            <w:vAlign w:val="bottom"/>
            <w:gridSpan w:val="5"/>
          </w:tcPr>
          <w:p>
            <w:pPr>
              <w:jc w:val="center"/>
              <w:ind w:right="260"/>
              <w:spacing w:after="0" w:line="190" w:lineRule="exact"/>
              <w:rPr>
                <w:rFonts w:ascii="Arial" w:cs="Arial" w:eastAsia="Arial" w:hAnsi="Arial"/>
                <w:sz w:val="18"/>
                <w:szCs w:val="18"/>
                <w:color w:val="0000EE"/>
                <w:w w:val="93"/>
              </w:rPr>
            </w:pPr>
            <w:hyperlink r:id="rId42">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14</w:t>
              </w:r>
            </w:hyperlink>
          </w:p>
        </w:tc>
        <w:tc>
          <w:tcPr>
            <w:tcW w:w="9960" w:type="dxa"/>
            <w:vAlign w:val="bottom"/>
          </w:tcPr>
          <w:p>
            <w:pPr>
              <w:ind w:left="260"/>
              <w:spacing w:after="0" w:line="190" w:lineRule="exact"/>
              <w:rPr>
                <w:sz w:val="20"/>
                <w:szCs w:val="20"/>
                <w:color w:val="auto"/>
              </w:rPr>
            </w:pPr>
            <w:r>
              <w:rPr>
                <w:rFonts w:ascii="Arial" w:cs="Arial" w:eastAsia="Arial" w:hAnsi="Arial"/>
                <w:sz w:val="18"/>
                <w:szCs w:val="18"/>
                <w:color w:val="auto"/>
                <w:w w:val="92"/>
              </w:rPr>
              <w:t>Second Amendment to Lease, by and between Discovery Business Center LLC and Ghost Management Group, LLC, dated April 7,</w:t>
            </w:r>
          </w:p>
        </w:tc>
      </w:tr>
      <w:tr>
        <w:trPr>
          <w:trHeight w:val="222"/>
        </w:trPr>
        <w:tc>
          <w:tcPr>
            <w:tcW w:w="12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2017 (incorporated by reference to Exhibit 10.14 to the Current Report on Form 8-K filed on June 21, 2021).</w:t>
            </w:r>
          </w:p>
        </w:tc>
      </w:tr>
      <w:tr>
        <w:trPr>
          <w:trHeight w:val="190"/>
        </w:trPr>
        <w:tc>
          <w:tcPr>
            <w:tcW w:w="920" w:type="dxa"/>
            <w:vAlign w:val="bottom"/>
            <w:gridSpan w:val="5"/>
          </w:tcPr>
          <w:p>
            <w:pPr>
              <w:jc w:val="center"/>
              <w:ind w:right="260"/>
              <w:spacing w:after="0" w:line="190" w:lineRule="exact"/>
              <w:rPr>
                <w:rFonts w:ascii="Arial" w:cs="Arial" w:eastAsia="Arial" w:hAnsi="Arial"/>
                <w:sz w:val="18"/>
                <w:szCs w:val="18"/>
                <w:color w:val="0000EE"/>
                <w:w w:val="93"/>
              </w:rPr>
            </w:pPr>
            <w:hyperlink r:id="rId43">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15</w:t>
              </w:r>
            </w:hyperlink>
          </w:p>
        </w:tc>
        <w:tc>
          <w:tcPr>
            <w:tcW w:w="9960" w:type="dxa"/>
            <w:vAlign w:val="bottom"/>
          </w:tcPr>
          <w:p>
            <w:pPr>
              <w:ind w:left="260"/>
              <w:spacing w:after="0" w:line="190" w:lineRule="exact"/>
              <w:rPr>
                <w:sz w:val="20"/>
                <w:szCs w:val="20"/>
                <w:color w:val="auto"/>
              </w:rPr>
            </w:pPr>
            <w:r>
              <w:rPr>
                <w:rFonts w:ascii="Arial" w:cs="Arial" w:eastAsia="Arial" w:hAnsi="Arial"/>
                <w:sz w:val="18"/>
                <w:szCs w:val="18"/>
                <w:color w:val="auto"/>
                <w:w w:val="91"/>
              </w:rPr>
              <w:t>Third Amendment to Lease, by and between Discovery Business Center LLC and Ghost Management Group, LLC, dated December</w:t>
            </w:r>
          </w:p>
        </w:tc>
      </w:tr>
      <w:tr>
        <w:trPr>
          <w:trHeight w:val="222"/>
        </w:trPr>
        <w:tc>
          <w:tcPr>
            <w:tcW w:w="12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29, 2017 (incorporated by reference to Exhibit 10.15 to the Current Report on Form 8-K filed on June 21, 2021).</w:t>
            </w:r>
          </w:p>
        </w:tc>
      </w:tr>
      <w:tr>
        <w:trPr>
          <w:trHeight w:val="190"/>
        </w:trPr>
        <w:tc>
          <w:tcPr>
            <w:tcW w:w="920" w:type="dxa"/>
            <w:vAlign w:val="bottom"/>
            <w:gridSpan w:val="5"/>
          </w:tcPr>
          <w:p>
            <w:pPr>
              <w:jc w:val="center"/>
              <w:ind w:right="260"/>
              <w:spacing w:after="0" w:line="190" w:lineRule="exact"/>
              <w:rPr>
                <w:rFonts w:ascii="Arial" w:cs="Arial" w:eastAsia="Arial" w:hAnsi="Arial"/>
                <w:sz w:val="18"/>
                <w:szCs w:val="18"/>
                <w:color w:val="0000EE"/>
                <w:w w:val="93"/>
              </w:rPr>
            </w:pPr>
            <w:hyperlink r:id="rId44">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16</w:t>
              </w:r>
            </w:hyperlink>
          </w:p>
        </w:tc>
        <w:tc>
          <w:tcPr>
            <w:tcW w:w="9960" w:type="dxa"/>
            <w:vAlign w:val="bottom"/>
          </w:tcPr>
          <w:p>
            <w:pPr>
              <w:ind w:left="260"/>
              <w:spacing w:after="0" w:line="190" w:lineRule="exact"/>
              <w:rPr>
                <w:sz w:val="20"/>
                <w:szCs w:val="20"/>
                <w:color w:val="auto"/>
              </w:rPr>
            </w:pPr>
            <w:r>
              <w:rPr>
                <w:rFonts w:ascii="Arial" w:cs="Arial" w:eastAsia="Arial" w:hAnsi="Arial"/>
                <w:sz w:val="18"/>
                <w:szCs w:val="18"/>
                <w:color w:val="auto"/>
                <w:w w:val="93"/>
              </w:rPr>
              <w:t>Fourth Amendment to Lease, by and between Discovery Business Center LLC and Ghost Management Group, LLC, dated May 3,</w:t>
            </w:r>
          </w:p>
        </w:tc>
      </w:tr>
      <w:tr>
        <w:trPr>
          <w:trHeight w:val="222"/>
        </w:trPr>
        <w:tc>
          <w:tcPr>
            <w:tcW w:w="12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2018 (incorporated by reference to Exhibit 10.16 to the Current Report on Form 8-K filed on June 21, 2021).</w:t>
            </w:r>
          </w:p>
        </w:tc>
      </w:tr>
      <w:tr>
        <w:trPr>
          <w:trHeight w:val="190"/>
        </w:trPr>
        <w:tc>
          <w:tcPr>
            <w:tcW w:w="920" w:type="dxa"/>
            <w:vAlign w:val="bottom"/>
            <w:gridSpan w:val="5"/>
          </w:tcPr>
          <w:p>
            <w:pPr>
              <w:jc w:val="center"/>
              <w:ind w:right="260"/>
              <w:spacing w:after="0" w:line="190" w:lineRule="exact"/>
              <w:rPr>
                <w:rFonts w:ascii="Arial" w:cs="Arial" w:eastAsia="Arial" w:hAnsi="Arial"/>
                <w:sz w:val="18"/>
                <w:szCs w:val="18"/>
                <w:color w:val="0000EE"/>
                <w:w w:val="93"/>
              </w:rPr>
            </w:pPr>
            <w:hyperlink r:id="rId45">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17</w:t>
              </w:r>
            </w:hyperlink>
          </w:p>
        </w:tc>
        <w:tc>
          <w:tcPr>
            <w:tcW w:w="9960" w:type="dxa"/>
            <w:vAlign w:val="bottom"/>
          </w:tcPr>
          <w:p>
            <w:pPr>
              <w:ind w:left="260"/>
              <w:spacing w:after="0" w:line="190" w:lineRule="exact"/>
              <w:rPr>
                <w:sz w:val="20"/>
                <w:szCs w:val="20"/>
                <w:color w:val="auto"/>
              </w:rPr>
            </w:pPr>
            <w:r>
              <w:rPr>
                <w:rFonts w:ascii="Arial" w:cs="Arial" w:eastAsia="Arial" w:hAnsi="Arial"/>
                <w:sz w:val="18"/>
                <w:szCs w:val="18"/>
                <w:color w:val="auto"/>
                <w:w w:val="94"/>
              </w:rPr>
              <w:t>Strategic Advisor Agreement, by and between the Company and Steven Jung, dated June 21, 2021 (incorporated by reference to</w:t>
            </w:r>
          </w:p>
        </w:tc>
      </w:tr>
      <w:tr>
        <w:trPr>
          <w:trHeight w:val="222"/>
        </w:trPr>
        <w:tc>
          <w:tcPr>
            <w:tcW w:w="12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Exhibit 10.17 to the Current Report on Form 8-K filed on June 21, 2021).</w:t>
            </w:r>
          </w:p>
        </w:tc>
      </w:tr>
      <w:tr>
        <w:trPr>
          <w:trHeight w:val="190"/>
        </w:trPr>
        <w:tc>
          <w:tcPr>
            <w:tcW w:w="480" w:type="dxa"/>
            <w:vAlign w:val="bottom"/>
            <w:gridSpan w:val="3"/>
          </w:tcPr>
          <w:p>
            <w:pPr>
              <w:jc w:val="center"/>
              <w:ind w:left="90"/>
              <w:spacing w:after="0" w:line="190" w:lineRule="exact"/>
              <w:rPr>
                <w:rFonts w:ascii="Arial" w:cs="Arial" w:eastAsia="Arial" w:hAnsi="Arial"/>
                <w:sz w:val="18"/>
                <w:szCs w:val="18"/>
                <w:color w:val="0000EE"/>
                <w:w w:val="85"/>
              </w:rPr>
            </w:pPr>
            <w:hyperlink r:id="rId46">
              <w:r>
                <w:rPr>
                  <w:rFonts w:ascii="Arial" w:cs="Arial" w:eastAsia="Arial" w:hAnsi="Arial"/>
                  <w:sz w:val="18"/>
                  <w:szCs w:val="18"/>
                  <w:color w:val="0000EE"/>
                  <w:w w:val="85"/>
                </w:rPr>
                <w:t>16.</w:t>
              </w:r>
              <w:r>
                <w:rPr>
                  <w:rFonts w:ascii="Arial" w:cs="Arial" w:eastAsia="Arial" w:hAnsi="Arial"/>
                  <w:sz w:val="18"/>
                  <w:szCs w:val="18"/>
                  <w:u w:val="single" w:color="auto"/>
                  <w:color w:val="0000EE"/>
                  <w:w w:val="85"/>
                </w:rPr>
                <w:t>1</w:t>
              </w:r>
            </w:hyperlink>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960" w:type="dxa"/>
            <w:vAlign w:val="bottom"/>
          </w:tcPr>
          <w:p>
            <w:pPr>
              <w:ind w:left="260"/>
              <w:spacing w:after="0" w:line="190" w:lineRule="exact"/>
              <w:rPr>
                <w:sz w:val="20"/>
                <w:szCs w:val="20"/>
                <w:color w:val="auto"/>
              </w:rPr>
            </w:pPr>
            <w:r>
              <w:rPr>
                <w:rFonts w:ascii="Arial" w:cs="Arial" w:eastAsia="Arial" w:hAnsi="Arial"/>
                <w:sz w:val="18"/>
                <w:szCs w:val="18"/>
                <w:color w:val="auto"/>
                <w:w w:val="91"/>
              </w:rPr>
              <w:t>Letter from Marcum LLP to the SEC, dated June 16, 2021 (incorporated by reference to Exhibit 16.1 to the Current Report on Form 8-</w:t>
            </w:r>
          </w:p>
        </w:tc>
      </w:tr>
      <w:tr>
        <w:trPr>
          <w:trHeight w:val="222"/>
        </w:trPr>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K filed on June 21, 2021).</w:t>
            </w:r>
          </w:p>
        </w:tc>
      </w:tr>
      <w:tr>
        <w:trPr>
          <w:trHeight w:val="190"/>
        </w:trPr>
        <w:tc>
          <w:tcPr>
            <w:tcW w:w="480" w:type="dxa"/>
            <w:vAlign w:val="bottom"/>
            <w:gridSpan w:val="3"/>
          </w:tcPr>
          <w:p>
            <w:pPr>
              <w:jc w:val="center"/>
              <w:ind w:left="90"/>
              <w:spacing w:after="0" w:line="190" w:lineRule="exact"/>
              <w:rPr>
                <w:rFonts w:ascii="Arial" w:cs="Arial" w:eastAsia="Arial" w:hAnsi="Arial"/>
                <w:sz w:val="18"/>
                <w:szCs w:val="18"/>
                <w:color w:val="0000EE"/>
                <w:w w:val="85"/>
              </w:rPr>
            </w:pPr>
            <w:hyperlink r:id="rId47">
              <w:r>
                <w:rPr>
                  <w:rFonts w:ascii="Arial" w:cs="Arial" w:eastAsia="Arial" w:hAnsi="Arial"/>
                  <w:sz w:val="18"/>
                  <w:szCs w:val="18"/>
                  <w:color w:val="0000EE"/>
                  <w:w w:val="85"/>
                </w:rPr>
                <w:t>21.</w:t>
              </w:r>
              <w:r>
                <w:rPr>
                  <w:rFonts w:ascii="Arial" w:cs="Arial" w:eastAsia="Arial" w:hAnsi="Arial"/>
                  <w:sz w:val="18"/>
                  <w:szCs w:val="18"/>
                  <w:u w:val="single" w:color="auto"/>
                  <w:color w:val="0000EE"/>
                  <w:w w:val="85"/>
                </w:rPr>
                <w:t>1</w:t>
              </w:r>
            </w:hyperlink>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960" w:type="dxa"/>
            <w:vAlign w:val="bottom"/>
          </w:tcPr>
          <w:p>
            <w:pPr>
              <w:ind w:left="260"/>
              <w:spacing w:after="0" w:line="190" w:lineRule="exact"/>
              <w:rPr>
                <w:sz w:val="20"/>
                <w:szCs w:val="20"/>
                <w:color w:val="auto"/>
              </w:rPr>
            </w:pPr>
            <w:r>
              <w:rPr>
                <w:rFonts w:ascii="Arial" w:cs="Arial" w:eastAsia="Arial" w:hAnsi="Arial"/>
                <w:sz w:val="18"/>
                <w:szCs w:val="18"/>
                <w:color w:val="auto"/>
              </w:rPr>
              <w:t>List of Subsidiaries (incorporated by reference to Exhibit 21.1 to the Current Report on Form 8-K filed on June 21, 2021).</w:t>
            </w:r>
          </w:p>
        </w:tc>
      </w:tr>
      <w:tr>
        <w:trPr>
          <w:trHeight w:val="20"/>
        </w:trPr>
        <w:tc>
          <w:tcPr>
            <w:tcW w:w="18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9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20" w:type="dxa"/>
            <w:vAlign w:val="bottom"/>
            <w:tcBorders>
              <w:bottom w:val="single" w:sz="8" w:color="0000EE"/>
            </w:tcBorders>
            <w:gridSpan w:val="3"/>
          </w:tcPr>
          <w:p>
            <w:pPr>
              <w:jc w:val="center"/>
              <w:spacing w:after="0" w:line="196" w:lineRule="exact"/>
              <w:rPr>
                <w:rFonts w:ascii="Arial" w:cs="Arial" w:eastAsia="Arial" w:hAnsi="Arial"/>
                <w:sz w:val="18"/>
                <w:szCs w:val="18"/>
                <w:color w:val="0000EE"/>
                <w:w w:val="99"/>
              </w:rPr>
            </w:pPr>
            <w:hyperlink r:id="rId48">
              <w:r>
                <w:rPr>
                  <w:rFonts w:ascii="Arial" w:cs="Arial" w:eastAsia="Arial" w:hAnsi="Arial"/>
                  <w:sz w:val="18"/>
                  <w:szCs w:val="18"/>
                  <w:color w:val="0000EE"/>
                  <w:w w:val="99"/>
                </w:rPr>
                <w:t>23.</w:t>
              </w:r>
              <w:r>
                <w:rPr>
                  <w:rFonts w:ascii="Arial" w:cs="Arial" w:eastAsia="Arial" w:hAnsi="Arial"/>
                  <w:sz w:val="18"/>
                  <w:szCs w:val="18"/>
                  <w:u w:val="single" w:color="auto"/>
                  <w:color w:val="0000EE"/>
                  <w:w w:val="99"/>
                </w:rPr>
                <w:t>1*</w:t>
              </w:r>
            </w:hyperlink>
          </w:p>
        </w:tc>
        <w:tc>
          <w:tcPr>
            <w:tcW w:w="380" w:type="dxa"/>
            <w:vAlign w:val="bottom"/>
          </w:tcPr>
          <w:p>
            <w:pPr>
              <w:spacing w:after="0"/>
              <w:rPr>
                <w:sz w:val="17"/>
                <w:szCs w:val="17"/>
                <w:color w:val="auto"/>
              </w:rPr>
            </w:pPr>
          </w:p>
        </w:tc>
        <w:tc>
          <w:tcPr>
            <w:tcW w:w="9960" w:type="dxa"/>
            <w:vAlign w:val="bottom"/>
          </w:tcPr>
          <w:p>
            <w:pPr>
              <w:ind w:left="260"/>
              <w:spacing w:after="0" w:line="196" w:lineRule="exact"/>
              <w:rPr>
                <w:sz w:val="20"/>
                <w:szCs w:val="20"/>
                <w:color w:val="auto"/>
              </w:rPr>
            </w:pPr>
            <w:r>
              <w:rPr>
                <w:rFonts w:ascii="Arial" w:cs="Arial" w:eastAsia="Arial" w:hAnsi="Arial"/>
                <w:sz w:val="18"/>
                <w:szCs w:val="18"/>
                <w:color w:val="auto"/>
              </w:rPr>
              <w:t>Consent of Baker Tilly US, LLP</w:t>
            </w:r>
          </w:p>
        </w:tc>
      </w:tr>
      <w:tr>
        <w:trPr>
          <w:trHeight w:val="196"/>
        </w:trPr>
        <w:tc>
          <w:tcPr>
            <w:tcW w:w="480" w:type="dxa"/>
            <w:vAlign w:val="bottom"/>
            <w:gridSpan w:val="3"/>
          </w:tcPr>
          <w:p>
            <w:pPr>
              <w:jc w:val="center"/>
              <w:ind w:left="90"/>
              <w:spacing w:after="0" w:line="196" w:lineRule="exact"/>
              <w:rPr>
                <w:rFonts w:ascii="Arial" w:cs="Arial" w:eastAsia="Arial" w:hAnsi="Arial"/>
                <w:sz w:val="18"/>
                <w:szCs w:val="18"/>
                <w:color w:val="0000EE"/>
                <w:w w:val="85"/>
              </w:rPr>
            </w:pPr>
            <w:hyperlink w:anchor="page7">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hyperlink>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960" w:type="dxa"/>
            <w:vAlign w:val="bottom"/>
          </w:tcPr>
          <w:p>
            <w:pPr>
              <w:ind w:left="260"/>
              <w:spacing w:after="0" w:line="196" w:lineRule="exact"/>
              <w:rPr>
                <w:sz w:val="20"/>
                <w:szCs w:val="20"/>
                <w:color w:val="auto"/>
              </w:rPr>
            </w:pPr>
            <w:r>
              <w:rPr>
                <w:rFonts w:ascii="Arial" w:cs="Arial" w:eastAsia="Arial" w:hAnsi="Arial"/>
                <w:sz w:val="18"/>
                <w:szCs w:val="18"/>
                <w:color w:val="auto"/>
              </w:rPr>
              <w:t>Consent of Cooley LLP (included in Exhibit 5.1)</w:t>
            </w:r>
          </w:p>
        </w:tc>
      </w:tr>
      <w:tr>
        <w:trPr>
          <w:trHeight w:val="20"/>
        </w:trPr>
        <w:tc>
          <w:tcPr>
            <w:tcW w:w="18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960" w:type="dxa"/>
            <w:vAlign w:val="bottom"/>
          </w:tcPr>
          <w:p>
            <w:pPr>
              <w:spacing w:after="0" w:line="20" w:lineRule="exact"/>
              <w:rPr>
                <w:sz w:val="1"/>
                <w:szCs w:val="1"/>
                <w:color w:val="auto"/>
              </w:rPr>
            </w:pPr>
          </w:p>
        </w:tc>
      </w:tr>
      <w:tr>
        <w:trPr>
          <w:trHeight w:val="222"/>
        </w:trPr>
        <w:tc>
          <w:tcPr>
            <w:tcW w:w="920" w:type="dxa"/>
            <w:vAlign w:val="bottom"/>
            <w:gridSpan w:val="5"/>
          </w:tcPr>
          <w:p>
            <w:pPr>
              <w:jc w:val="center"/>
              <w:ind w:right="260"/>
              <w:spacing w:after="0"/>
              <w:rPr>
                <w:sz w:val="20"/>
                <w:szCs w:val="20"/>
                <w:color w:val="auto"/>
              </w:rPr>
            </w:pPr>
            <w:r>
              <w:rPr>
                <w:rFonts w:ascii="Arial" w:cs="Arial" w:eastAsia="Arial" w:hAnsi="Arial"/>
                <w:sz w:val="18"/>
                <w:szCs w:val="18"/>
                <w:color w:val="auto"/>
                <w:w w:val="95"/>
              </w:rPr>
              <w:t>101.INS</w:t>
            </w:r>
          </w:p>
        </w:tc>
        <w:tc>
          <w:tcPr>
            <w:tcW w:w="9960" w:type="dxa"/>
            <w:vAlign w:val="bottom"/>
          </w:tcPr>
          <w:p>
            <w:pPr>
              <w:ind w:left="260"/>
              <w:spacing w:after="0"/>
              <w:rPr>
                <w:sz w:val="20"/>
                <w:szCs w:val="20"/>
                <w:color w:val="auto"/>
              </w:rPr>
            </w:pPr>
            <w:r>
              <w:rPr>
                <w:rFonts w:ascii="Arial" w:cs="Arial" w:eastAsia="Arial" w:hAnsi="Arial"/>
                <w:sz w:val="18"/>
                <w:szCs w:val="18"/>
                <w:color w:val="auto"/>
              </w:rPr>
              <w:t>XBRL Instance Document</w:t>
            </w:r>
          </w:p>
        </w:tc>
      </w:tr>
      <w:tr>
        <w:trPr>
          <w:trHeight w:val="216"/>
        </w:trPr>
        <w:tc>
          <w:tcPr>
            <w:tcW w:w="920" w:type="dxa"/>
            <w:vAlign w:val="bottom"/>
            <w:gridSpan w:val="5"/>
          </w:tcPr>
          <w:p>
            <w:pPr>
              <w:jc w:val="center"/>
              <w:ind w:right="260"/>
              <w:spacing w:after="0"/>
              <w:rPr>
                <w:sz w:val="20"/>
                <w:szCs w:val="20"/>
                <w:color w:val="auto"/>
              </w:rPr>
            </w:pPr>
            <w:r>
              <w:rPr>
                <w:rFonts w:ascii="Arial" w:cs="Arial" w:eastAsia="Arial" w:hAnsi="Arial"/>
                <w:sz w:val="18"/>
                <w:szCs w:val="18"/>
                <w:color w:val="auto"/>
                <w:w w:val="90"/>
              </w:rPr>
              <w:t>101.SCH</w:t>
            </w:r>
          </w:p>
        </w:tc>
        <w:tc>
          <w:tcPr>
            <w:tcW w:w="996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920" w:type="dxa"/>
            <w:vAlign w:val="bottom"/>
            <w:gridSpan w:val="5"/>
          </w:tcPr>
          <w:p>
            <w:pPr>
              <w:jc w:val="center"/>
              <w:ind w:right="260"/>
              <w:spacing w:after="0"/>
              <w:rPr>
                <w:sz w:val="20"/>
                <w:szCs w:val="20"/>
                <w:color w:val="auto"/>
              </w:rPr>
            </w:pPr>
            <w:r>
              <w:rPr>
                <w:rFonts w:ascii="Arial" w:cs="Arial" w:eastAsia="Arial" w:hAnsi="Arial"/>
                <w:sz w:val="18"/>
                <w:szCs w:val="18"/>
                <w:color w:val="auto"/>
                <w:w w:val="94"/>
              </w:rPr>
              <w:t>101.CAL</w:t>
            </w:r>
          </w:p>
        </w:tc>
        <w:tc>
          <w:tcPr>
            <w:tcW w:w="996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920" w:type="dxa"/>
            <w:vAlign w:val="bottom"/>
            <w:gridSpan w:val="5"/>
          </w:tcPr>
          <w:p>
            <w:pPr>
              <w:jc w:val="center"/>
              <w:ind w:right="260"/>
              <w:spacing w:after="0"/>
              <w:rPr>
                <w:sz w:val="20"/>
                <w:szCs w:val="20"/>
                <w:color w:val="auto"/>
              </w:rPr>
            </w:pPr>
            <w:r>
              <w:rPr>
                <w:rFonts w:ascii="Arial" w:cs="Arial" w:eastAsia="Arial" w:hAnsi="Arial"/>
                <w:sz w:val="18"/>
                <w:szCs w:val="18"/>
                <w:color w:val="auto"/>
                <w:w w:val="92"/>
              </w:rPr>
              <w:t>101.DEF</w:t>
            </w:r>
          </w:p>
        </w:tc>
        <w:tc>
          <w:tcPr>
            <w:tcW w:w="996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920" w:type="dxa"/>
            <w:vAlign w:val="bottom"/>
            <w:gridSpan w:val="5"/>
          </w:tcPr>
          <w:p>
            <w:pPr>
              <w:jc w:val="center"/>
              <w:ind w:right="260"/>
              <w:spacing w:after="0"/>
              <w:rPr>
                <w:sz w:val="20"/>
                <w:szCs w:val="20"/>
                <w:color w:val="auto"/>
              </w:rPr>
            </w:pPr>
            <w:r>
              <w:rPr>
                <w:rFonts w:ascii="Arial" w:cs="Arial" w:eastAsia="Arial" w:hAnsi="Arial"/>
                <w:sz w:val="18"/>
                <w:szCs w:val="18"/>
                <w:color w:val="auto"/>
                <w:w w:val="95"/>
              </w:rPr>
              <w:t>101.LAB</w:t>
            </w:r>
          </w:p>
        </w:tc>
        <w:tc>
          <w:tcPr>
            <w:tcW w:w="9960" w:type="dxa"/>
            <w:vAlign w:val="bottom"/>
          </w:tcPr>
          <w:p>
            <w:pPr>
              <w:ind w:left="26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20" w:type="dxa"/>
            <w:vAlign w:val="bottom"/>
            <w:gridSpan w:val="5"/>
          </w:tcPr>
          <w:p>
            <w:pPr>
              <w:jc w:val="center"/>
              <w:ind w:right="260"/>
              <w:spacing w:after="0"/>
              <w:rPr>
                <w:sz w:val="20"/>
                <w:szCs w:val="20"/>
                <w:color w:val="auto"/>
              </w:rPr>
            </w:pPr>
            <w:r>
              <w:rPr>
                <w:rFonts w:ascii="Arial" w:cs="Arial" w:eastAsia="Arial" w:hAnsi="Arial"/>
                <w:sz w:val="18"/>
                <w:szCs w:val="18"/>
                <w:color w:val="auto"/>
                <w:w w:val="91"/>
              </w:rPr>
              <w:t>101.PRE</w:t>
            </w:r>
          </w:p>
        </w:tc>
        <w:tc>
          <w:tcPr>
            <w:tcW w:w="996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178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52" w:lineRule="exact"/>
        <w:rPr>
          <w:sz w:val="20"/>
          <w:szCs w:val="20"/>
          <w:color w:val="auto"/>
        </w:rPr>
      </w:pPr>
    </w:p>
    <w:p>
      <w:pPr>
        <w:ind w:left="332" w:hanging="332"/>
        <w:spacing w:after="0" w:line="277"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schedules and exhibits to this agreement have been omitted pursuant to Item 601(b)(2) of Regulation S-K. A copy of any omitted schedule and/or exhibit will be furnished to the SEC upon request.</w:t>
      </w:r>
    </w:p>
    <w:p>
      <w:pPr>
        <w:spacing w:after="0" w:line="197" w:lineRule="exact"/>
        <w:rPr>
          <w:sz w:val="20"/>
          <w:szCs w:val="20"/>
          <w:color w:val="auto"/>
        </w:rPr>
      </w:pPr>
    </w:p>
    <w:p>
      <w:pPr>
        <w:ind w:left="332" w:hanging="332"/>
        <w:spacing w:after="0"/>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08"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right="20" w:firstLine="324"/>
        <w:spacing w:after="0" w:line="328" w:lineRule="auto"/>
        <w:rPr>
          <w:sz w:val="20"/>
          <w:szCs w:val="20"/>
          <w:color w:val="auto"/>
        </w:rPr>
      </w:pPr>
      <w:r>
        <w:rPr>
          <w:rFonts w:ascii="Arial" w:cs="Arial" w:eastAsia="Arial" w:hAnsi="Arial"/>
          <w:sz w:val="19"/>
          <w:szCs w:val="19"/>
          <w:color w:val="auto"/>
        </w:rPr>
        <w:t>Pursuant to the requirements of the Securities Act of 1933, the registrant has duly caused this Registration Statement to be signed on its behalf by the undersigned, thereunto duly authorized in the City of Irvine, State of California on July 15, 2021.</w:t>
      </w:r>
    </w:p>
    <w:p>
      <w:pPr>
        <w:spacing w:after="0" w:line="13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WM TECHNOLOGY,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1">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Christopher Beals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39"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Pursuant to the requirements of the Securities Act of 1933, this registration statement has been signed below by the following persons in the capacities and on the date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89"/>
              </w:rPr>
              <w:t>Signature</w:t>
            </w:r>
          </w:p>
        </w:tc>
        <w:tc>
          <w:tcPr>
            <w:tcW w:w="1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Title</w:t>
            </w:r>
          </w:p>
        </w:tc>
        <w:tc>
          <w:tcPr>
            <w:tcW w:w="140" w:type="dxa"/>
            <w:vAlign w:val="bottom"/>
          </w:tcPr>
          <w:p>
            <w:pPr>
              <w:spacing w:after="0"/>
              <w:rPr>
                <w:sz w:val="20"/>
                <w:szCs w:val="20"/>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5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color w:val="auto"/>
                <w:w w:val="89"/>
              </w:rPr>
              <w:t>/s/ Christopher Beals</w:t>
            </w:r>
          </w:p>
        </w:tc>
        <w:tc>
          <w:tcPr>
            <w:tcW w:w="14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Chief Executive Officer and Director</w:t>
            </w: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July 15, 2021</w:t>
            </w:r>
          </w:p>
        </w:tc>
      </w:tr>
      <w:tr>
        <w:trPr>
          <w:trHeight w:val="230"/>
        </w:trPr>
        <w:tc>
          <w:tcPr>
            <w:tcW w:w="580" w:type="dxa"/>
            <w:vAlign w:val="bottom"/>
          </w:tcPr>
          <w:p>
            <w:pPr>
              <w:spacing w:after="0"/>
              <w:rPr>
                <w:sz w:val="20"/>
                <w:szCs w:val="20"/>
                <w:color w:val="auto"/>
              </w:rPr>
            </w:pPr>
          </w:p>
        </w:tc>
        <w:tc>
          <w:tcPr>
            <w:tcW w:w="2360" w:type="dxa"/>
            <w:vAlign w:val="bottom"/>
          </w:tcPr>
          <w:p>
            <w:pPr>
              <w:jc w:val="center"/>
              <w:ind w:right="490"/>
              <w:spacing w:after="0"/>
              <w:rPr>
                <w:sz w:val="20"/>
                <w:szCs w:val="20"/>
                <w:color w:val="auto"/>
              </w:rPr>
            </w:pPr>
            <w:r>
              <w:rPr>
                <w:rFonts w:ascii="Arial" w:cs="Arial" w:eastAsia="Arial" w:hAnsi="Arial"/>
                <w:sz w:val="18"/>
                <w:szCs w:val="18"/>
                <w:color w:val="auto"/>
                <w:w w:val="90"/>
              </w:rPr>
              <w:t>Christopher Beals</w:t>
            </w:r>
          </w:p>
        </w:tc>
        <w:tc>
          <w:tcPr>
            <w:tcW w:w="140" w:type="dxa"/>
            <w:vAlign w:val="bottom"/>
          </w:tcPr>
          <w:p>
            <w:pPr>
              <w:spacing w:after="0"/>
              <w:rPr>
                <w:sz w:val="20"/>
                <w:szCs w:val="20"/>
                <w:color w:val="auto"/>
              </w:rPr>
            </w:pPr>
          </w:p>
        </w:tc>
        <w:tc>
          <w:tcPr>
            <w:tcW w:w="5300" w:type="dxa"/>
            <w:vAlign w:val="bottom"/>
            <w:gridSpan w:val="3"/>
          </w:tcPr>
          <w:p>
            <w:pPr>
              <w:spacing w:after="0" w:line="203" w:lineRule="exact"/>
              <w:rPr>
                <w:sz w:val="20"/>
                <w:szCs w:val="20"/>
                <w:color w:val="auto"/>
              </w:rPr>
            </w:pPr>
            <w:r>
              <w:rPr>
                <w:rFonts w:ascii="Arial" w:cs="Arial" w:eastAsia="Arial" w:hAnsi="Arial"/>
                <w:sz w:val="18"/>
                <w:szCs w:val="18"/>
                <w:color w:val="auto"/>
              </w:rPr>
              <w:t>(Principal Executive Officer)</w:t>
            </w:r>
          </w:p>
        </w:tc>
        <w:tc>
          <w:tcPr>
            <w:tcW w:w="2860" w:type="dxa"/>
            <w:vAlign w:val="bottom"/>
          </w:tcPr>
          <w:p>
            <w:pPr>
              <w:spacing w:after="0"/>
              <w:rPr>
                <w:sz w:val="20"/>
                <w:szCs w:val="20"/>
                <w:color w:val="auto"/>
              </w:rPr>
            </w:pPr>
          </w:p>
        </w:tc>
      </w:tr>
      <w:tr>
        <w:trPr>
          <w:trHeight w:val="425"/>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July 15, 2021</w:t>
            </w:r>
          </w:p>
        </w:tc>
      </w:tr>
      <w:tr>
        <w:trPr>
          <w:trHeight w:val="230"/>
        </w:trPr>
        <w:tc>
          <w:tcPr>
            <w:tcW w:w="580" w:type="dxa"/>
            <w:vAlign w:val="bottom"/>
          </w:tcPr>
          <w:p>
            <w:pPr>
              <w:spacing w:after="0"/>
              <w:rPr>
                <w:sz w:val="20"/>
                <w:szCs w:val="20"/>
                <w:color w:val="auto"/>
              </w:rPr>
            </w:pPr>
          </w:p>
        </w:tc>
        <w:tc>
          <w:tcPr>
            <w:tcW w:w="2360" w:type="dxa"/>
            <w:vAlign w:val="bottom"/>
          </w:tcPr>
          <w:p>
            <w:pPr>
              <w:jc w:val="center"/>
              <w:ind w:right="470"/>
              <w:spacing w:after="0"/>
              <w:rPr>
                <w:sz w:val="20"/>
                <w:szCs w:val="20"/>
                <w:color w:val="auto"/>
              </w:rPr>
            </w:pPr>
            <w:r>
              <w:rPr>
                <w:rFonts w:ascii="Arial" w:cs="Arial" w:eastAsia="Arial" w:hAnsi="Arial"/>
                <w:sz w:val="18"/>
                <w:szCs w:val="18"/>
                <w:color w:val="auto"/>
                <w:w w:val="91"/>
              </w:rPr>
              <w:t>Arden Lee</w:t>
            </w:r>
          </w:p>
        </w:tc>
        <w:tc>
          <w:tcPr>
            <w:tcW w:w="140" w:type="dxa"/>
            <w:vAlign w:val="bottom"/>
          </w:tcPr>
          <w:p>
            <w:pPr>
              <w:spacing w:after="0"/>
              <w:rPr>
                <w:sz w:val="20"/>
                <w:szCs w:val="20"/>
                <w:color w:val="auto"/>
              </w:rPr>
            </w:pPr>
          </w:p>
        </w:tc>
        <w:tc>
          <w:tcPr>
            <w:tcW w:w="5300" w:type="dxa"/>
            <w:vAlign w:val="bottom"/>
            <w:gridSpan w:val="3"/>
          </w:tcPr>
          <w:p>
            <w:pPr>
              <w:spacing w:after="0" w:line="203" w:lineRule="exact"/>
              <w:rPr>
                <w:sz w:val="20"/>
                <w:szCs w:val="20"/>
                <w:color w:val="auto"/>
              </w:rPr>
            </w:pPr>
            <w:r>
              <w:rPr>
                <w:rFonts w:ascii="Arial" w:cs="Arial" w:eastAsia="Arial" w:hAnsi="Arial"/>
                <w:sz w:val="18"/>
                <w:szCs w:val="18"/>
                <w:color w:val="auto"/>
              </w:rPr>
              <w:t>(Principal Financial Officer and Principal Accounting Officer)</w:t>
            </w:r>
          </w:p>
        </w:tc>
        <w:tc>
          <w:tcPr>
            <w:tcW w:w="2860" w:type="dxa"/>
            <w:vAlign w:val="bottom"/>
          </w:tcPr>
          <w:p>
            <w:pPr>
              <w:spacing w:after="0"/>
              <w:rPr>
                <w:sz w:val="20"/>
                <w:szCs w:val="20"/>
                <w:color w:val="auto"/>
              </w:rPr>
            </w:pPr>
          </w:p>
        </w:tc>
      </w:tr>
      <w:tr>
        <w:trPr>
          <w:trHeight w:val="425"/>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July 15, 2021</w:t>
            </w:r>
          </w:p>
        </w:tc>
      </w:tr>
      <w:tr>
        <w:trPr>
          <w:trHeight w:val="230"/>
        </w:trPr>
        <w:tc>
          <w:tcPr>
            <w:tcW w:w="580" w:type="dxa"/>
            <w:vAlign w:val="bottom"/>
          </w:tcPr>
          <w:p>
            <w:pPr>
              <w:spacing w:after="0"/>
              <w:rPr>
                <w:sz w:val="20"/>
                <w:szCs w:val="20"/>
                <w:color w:val="auto"/>
              </w:rPr>
            </w:pPr>
          </w:p>
        </w:tc>
        <w:tc>
          <w:tcPr>
            <w:tcW w:w="2360" w:type="dxa"/>
            <w:vAlign w:val="bottom"/>
          </w:tcPr>
          <w:p>
            <w:pPr>
              <w:jc w:val="center"/>
              <w:ind w:right="490"/>
              <w:spacing w:after="0"/>
              <w:rPr>
                <w:sz w:val="20"/>
                <w:szCs w:val="20"/>
                <w:color w:val="auto"/>
              </w:rPr>
            </w:pPr>
            <w:r>
              <w:rPr>
                <w:rFonts w:ascii="Arial" w:cs="Arial" w:eastAsia="Arial" w:hAnsi="Arial"/>
                <w:sz w:val="18"/>
                <w:szCs w:val="18"/>
                <w:color w:val="auto"/>
                <w:w w:val="94"/>
              </w:rPr>
              <w:t>Tony Aquila</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425"/>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July 15, 2021</w:t>
            </w:r>
          </w:p>
        </w:tc>
      </w:tr>
      <w:tr>
        <w:trPr>
          <w:trHeight w:val="230"/>
        </w:trPr>
        <w:tc>
          <w:tcPr>
            <w:tcW w:w="580" w:type="dxa"/>
            <w:vAlign w:val="bottom"/>
          </w:tcPr>
          <w:p>
            <w:pPr>
              <w:spacing w:after="0"/>
              <w:rPr>
                <w:sz w:val="20"/>
                <w:szCs w:val="20"/>
                <w:color w:val="auto"/>
              </w:rPr>
            </w:pPr>
          </w:p>
        </w:tc>
        <w:tc>
          <w:tcPr>
            <w:tcW w:w="2360" w:type="dxa"/>
            <w:vAlign w:val="bottom"/>
          </w:tcPr>
          <w:p>
            <w:pPr>
              <w:jc w:val="center"/>
              <w:ind w:right="490"/>
              <w:spacing w:after="0"/>
              <w:rPr>
                <w:sz w:val="20"/>
                <w:szCs w:val="20"/>
                <w:color w:val="auto"/>
              </w:rPr>
            </w:pPr>
            <w:r>
              <w:rPr>
                <w:rFonts w:ascii="Arial" w:cs="Arial" w:eastAsia="Arial" w:hAnsi="Arial"/>
                <w:sz w:val="18"/>
                <w:szCs w:val="18"/>
                <w:color w:val="auto"/>
                <w:w w:val="90"/>
              </w:rPr>
              <w:t>Douglas Francis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425"/>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July 15, 2021</w:t>
            </w:r>
          </w:p>
        </w:tc>
      </w:tr>
      <w:tr>
        <w:trPr>
          <w:trHeight w:val="230"/>
        </w:trPr>
        <w:tc>
          <w:tcPr>
            <w:tcW w:w="580" w:type="dxa"/>
            <w:vAlign w:val="bottom"/>
          </w:tcPr>
          <w:p>
            <w:pPr>
              <w:spacing w:after="0"/>
              <w:rPr>
                <w:sz w:val="20"/>
                <w:szCs w:val="20"/>
                <w:color w:val="auto"/>
              </w:rPr>
            </w:pPr>
          </w:p>
        </w:tc>
        <w:tc>
          <w:tcPr>
            <w:tcW w:w="2360" w:type="dxa"/>
            <w:vAlign w:val="bottom"/>
          </w:tcPr>
          <w:p>
            <w:pPr>
              <w:jc w:val="center"/>
              <w:ind w:right="490"/>
              <w:spacing w:after="0"/>
              <w:rPr>
                <w:sz w:val="20"/>
                <w:szCs w:val="20"/>
                <w:color w:val="auto"/>
              </w:rPr>
            </w:pPr>
            <w:r>
              <w:rPr>
                <w:rFonts w:ascii="Arial" w:cs="Arial" w:eastAsia="Arial" w:hAnsi="Arial"/>
                <w:sz w:val="18"/>
                <w:szCs w:val="18"/>
                <w:color w:val="auto"/>
                <w:w w:val="87"/>
              </w:rPr>
              <w:t>Brenda Freeman</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425"/>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July 15, 2021</w:t>
            </w:r>
          </w:p>
        </w:tc>
      </w:tr>
      <w:tr>
        <w:trPr>
          <w:trHeight w:val="230"/>
        </w:trPr>
        <w:tc>
          <w:tcPr>
            <w:tcW w:w="580" w:type="dxa"/>
            <w:vAlign w:val="bottom"/>
          </w:tcPr>
          <w:p>
            <w:pPr>
              <w:spacing w:after="0"/>
              <w:rPr>
                <w:sz w:val="20"/>
                <w:szCs w:val="20"/>
                <w:color w:val="auto"/>
              </w:rPr>
            </w:pPr>
          </w:p>
        </w:tc>
        <w:tc>
          <w:tcPr>
            <w:tcW w:w="2360" w:type="dxa"/>
            <w:vAlign w:val="bottom"/>
          </w:tcPr>
          <w:p>
            <w:pPr>
              <w:jc w:val="center"/>
              <w:ind w:right="490"/>
              <w:spacing w:after="0"/>
              <w:rPr>
                <w:sz w:val="20"/>
                <w:szCs w:val="20"/>
                <w:color w:val="auto"/>
              </w:rPr>
            </w:pPr>
            <w:r>
              <w:rPr>
                <w:rFonts w:ascii="Arial" w:cs="Arial" w:eastAsia="Arial" w:hAnsi="Arial"/>
                <w:sz w:val="18"/>
                <w:szCs w:val="18"/>
                <w:color w:val="auto"/>
                <w:w w:val="88"/>
              </w:rPr>
              <w:t>Olga Gonzalez</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425"/>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July 15, 2021</w:t>
            </w:r>
          </w:p>
        </w:tc>
      </w:tr>
      <w:tr>
        <w:trPr>
          <w:trHeight w:val="230"/>
        </w:trPr>
        <w:tc>
          <w:tcPr>
            <w:tcW w:w="580" w:type="dxa"/>
            <w:vAlign w:val="bottom"/>
          </w:tcPr>
          <w:p>
            <w:pPr>
              <w:spacing w:after="0"/>
              <w:rPr>
                <w:sz w:val="20"/>
                <w:szCs w:val="20"/>
                <w:color w:val="auto"/>
              </w:rPr>
            </w:pPr>
          </w:p>
        </w:tc>
        <w:tc>
          <w:tcPr>
            <w:tcW w:w="2360" w:type="dxa"/>
            <w:vAlign w:val="bottom"/>
          </w:tcPr>
          <w:p>
            <w:pPr>
              <w:jc w:val="center"/>
              <w:ind w:right="470"/>
              <w:spacing w:after="0"/>
              <w:rPr>
                <w:sz w:val="20"/>
                <w:szCs w:val="20"/>
                <w:color w:val="auto"/>
              </w:rPr>
            </w:pPr>
            <w:r>
              <w:rPr>
                <w:rFonts w:ascii="Arial" w:cs="Arial" w:eastAsia="Arial" w:hAnsi="Arial"/>
                <w:sz w:val="18"/>
                <w:szCs w:val="18"/>
                <w:color w:val="auto"/>
                <w:w w:val="90"/>
              </w:rPr>
              <w:t>Scott Gordon</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425"/>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July 15, 2021</w:t>
            </w:r>
          </w:p>
        </w:tc>
      </w:tr>
      <w:tr>
        <w:trPr>
          <w:trHeight w:val="230"/>
        </w:trPr>
        <w:tc>
          <w:tcPr>
            <w:tcW w:w="580" w:type="dxa"/>
            <w:vAlign w:val="bottom"/>
          </w:tcPr>
          <w:p>
            <w:pPr>
              <w:spacing w:after="0"/>
              <w:rPr>
                <w:sz w:val="20"/>
                <w:szCs w:val="20"/>
                <w:color w:val="auto"/>
              </w:rPr>
            </w:pPr>
          </w:p>
        </w:tc>
        <w:tc>
          <w:tcPr>
            <w:tcW w:w="2360" w:type="dxa"/>
            <w:vAlign w:val="bottom"/>
          </w:tcPr>
          <w:p>
            <w:pPr>
              <w:jc w:val="center"/>
              <w:ind w:right="470"/>
              <w:spacing w:after="0"/>
              <w:rPr>
                <w:sz w:val="20"/>
                <w:szCs w:val="20"/>
                <w:color w:val="auto"/>
              </w:rPr>
            </w:pPr>
            <w:r>
              <w:rPr>
                <w:rFonts w:ascii="Arial" w:cs="Arial" w:eastAsia="Arial" w:hAnsi="Arial"/>
                <w:sz w:val="18"/>
                <w:szCs w:val="18"/>
                <w:color w:val="auto"/>
                <w:w w:val="94"/>
              </w:rPr>
              <w:t>Justin Hartfield</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425"/>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July 15, 2021</w:t>
            </w:r>
          </w:p>
        </w:tc>
      </w:tr>
      <w:tr>
        <w:trPr>
          <w:trHeight w:val="230"/>
        </w:trPr>
        <w:tc>
          <w:tcPr>
            <w:tcW w:w="580" w:type="dxa"/>
            <w:vAlign w:val="bottom"/>
          </w:tcPr>
          <w:p>
            <w:pPr>
              <w:spacing w:after="0"/>
              <w:rPr>
                <w:sz w:val="20"/>
                <w:szCs w:val="20"/>
                <w:color w:val="auto"/>
              </w:rPr>
            </w:pPr>
          </w:p>
        </w:tc>
        <w:tc>
          <w:tcPr>
            <w:tcW w:w="2360" w:type="dxa"/>
            <w:vAlign w:val="bottom"/>
          </w:tcPr>
          <w:p>
            <w:pPr>
              <w:jc w:val="center"/>
              <w:ind w:right="470"/>
              <w:spacing w:after="0"/>
              <w:rPr>
                <w:sz w:val="20"/>
                <w:szCs w:val="20"/>
                <w:color w:val="auto"/>
              </w:rPr>
            </w:pPr>
            <w:r>
              <w:rPr>
                <w:rFonts w:ascii="Arial" w:cs="Arial" w:eastAsia="Arial" w:hAnsi="Arial"/>
                <w:sz w:val="18"/>
                <w:szCs w:val="18"/>
                <w:color w:val="auto"/>
                <w:w w:val="88"/>
              </w:rPr>
              <w:t>Fiona Tan</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465"/>
        </w:trPr>
        <w:tc>
          <w:tcPr>
            <w:tcW w:w="2940" w:type="dxa"/>
            <w:vAlign w:val="bottom"/>
            <w:gridSpan w:val="2"/>
          </w:tcPr>
          <w:p>
            <w:pPr>
              <w:spacing w:after="0"/>
              <w:rPr>
                <w:sz w:val="20"/>
                <w:szCs w:val="20"/>
                <w:color w:val="auto"/>
              </w:rPr>
            </w:pPr>
            <w:r>
              <w:rPr>
                <w:rFonts w:ascii="Arial" w:cs="Arial" w:eastAsia="Arial" w:hAnsi="Arial"/>
                <w:sz w:val="18"/>
                <w:szCs w:val="18"/>
                <w:color w:val="auto"/>
              </w:rPr>
              <w:t>*By:   /s/ Christopher Beals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02"/>
        </w:trPr>
        <w:tc>
          <w:tcPr>
            <w:tcW w:w="580" w:type="dxa"/>
            <w:vAlign w:val="bottom"/>
          </w:tcPr>
          <w:p>
            <w:pPr>
              <w:spacing w:after="0"/>
              <w:rPr>
                <w:sz w:val="17"/>
                <w:szCs w:val="17"/>
                <w:color w:val="auto"/>
              </w:rPr>
            </w:pPr>
          </w:p>
        </w:tc>
        <w:tc>
          <w:tcPr>
            <w:tcW w:w="2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Christopher Beals</w:t>
            </w: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i w:val="1"/>
                <w:iCs w:val="1"/>
                <w:color w:val="auto"/>
              </w:rPr>
              <w:t>Attorney-in-fact</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Pr>
          <w:p>
            <w:pPr>
              <w:spacing w:after="0"/>
              <w:rPr>
                <w:sz w:val="20"/>
                <w:szCs w:val="20"/>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148715" cy="368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4">
                      <a:extLst>
                        <a:ext uri="{28A0092B-C50C-407E-A947-70E740481C1C}"/>
                      </a:extLst>
                    </a:blip>
                    <a:srcRect/>
                    <a:stretch>
                      <a:fillRect/>
                    </a:stretch>
                  </pic:blipFill>
                  <pic:spPr bwMode="auto">
                    <a:xfrm>
                      <a:off x="0" y="0"/>
                      <a:ext cx="114871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David G. Peinsipp</w:t>
      </w:r>
    </w:p>
    <w:p>
      <w:pPr>
        <w:spacing w:after="0" w:line="238" w:lineRule="auto"/>
        <w:rPr>
          <w:sz w:val="20"/>
          <w:szCs w:val="20"/>
          <w:color w:val="auto"/>
        </w:rPr>
      </w:pPr>
      <w:r>
        <w:rPr>
          <w:rFonts w:ascii="Arial" w:cs="Arial" w:eastAsia="Arial" w:hAnsi="Arial"/>
          <w:sz w:val="22"/>
          <w:szCs w:val="22"/>
          <w:color w:val="auto"/>
        </w:rPr>
        <w:t>+1 415 693 2177</w:t>
      </w:r>
    </w:p>
    <w:p>
      <w:pPr>
        <w:spacing w:after="0"/>
        <w:rPr>
          <w:sz w:val="20"/>
          <w:szCs w:val="20"/>
          <w:color w:val="auto"/>
        </w:rPr>
      </w:pPr>
      <w:r>
        <w:rPr>
          <w:rFonts w:ascii="Arial" w:cs="Arial" w:eastAsia="Arial" w:hAnsi="Arial"/>
          <w:sz w:val="22"/>
          <w:szCs w:val="22"/>
          <w:color w:val="auto"/>
        </w:rPr>
        <w:t>dpeinsipp@cooley.com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July 8,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WM Technology, Inc.</w:t>
      </w:r>
    </w:p>
    <w:p>
      <w:pPr>
        <w:spacing w:after="0" w:line="8" w:lineRule="exact"/>
        <w:rPr>
          <w:sz w:val="20"/>
          <w:szCs w:val="20"/>
          <w:color w:val="auto"/>
        </w:rPr>
      </w:pPr>
    </w:p>
    <w:p>
      <w:pPr>
        <w:ind w:right="9720" w:firstLine="8"/>
        <w:spacing w:after="0" w:line="308" w:lineRule="auto"/>
        <w:tabs>
          <w:tab w:leader="none" w:pos="270" w:val="left"/>
        </w:tabs>
        <w:numPr>
          <w:ilvl w:val="0"/>
          <w:numId w:val="7"/>
        </w:numPr>
        <w:rPr>
          <w:rFonts w:ascii="Arial" w:cs="Arial" w:eastAsia="Arial" w:hAnsi="Arial"/>
          <w:sz w:val="19"/>
          <w:szCs w:val="19"/>
          <w:color w:val="auto"/>
        </w:rPr>
      </w:pPr>
      <w:r>
        <w:rPr>
          <w:rFonts w:ascii="Arial" w:cs="Arial" w:eastAsia="Arial" w:hAnsi="Arial"/>
          <w:sz w:val="19"/>
          <w:szCs w:val="19"/>
          <w:color w:val="auto"/>
        </w:rPr>
        <w:t>Discovery Irvine, CA 92618</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We have acted as counsel to WM Technology,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you have requested our opinion in connection with the filing of a Registration Statement on Form S-1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with the Securities and Exchange Commission, including a related prospectus included in the Registration Statement (the “</w:t>
      </w:r>
      <w:r>
        <w:rPr>
          <w:rFonts w:ascii="Arial" w:cs="Arial" w:eastAsia="Arial" w:hAnsi="Arial"/>
          <w:sz w:val="19"/>
          <w:szCs w:val="19"/>
          <w:b w:val="1"/>
          <w:bCs w:val="1"/>
          <w:i w:val="1"/>
          <w:iCs w:val="1"/>
          <w:color w:val="auto"/>
        </w:rPr>
        <w:t>Prospectus</w:t>
      </w:r>
      <w:r>
        <w:rPr>
          <w:rFonts w:ascii="Arial" w:cs="Arial" w:eastAsia="Arial" w:hAnsi="Arial"/>
          <w:sz w:val="19"/>
          <w:szCs w:val="19"/>
          <w:color w:val="auto"/>
        </w:rPr>
        <w:t>”), covering the registration of (a) the issuance of shares of Class A common stock, $0.0001 par value per share (“</w:t>
      </w:r>
      <w:r>
        <w:rPr>
          <w:rFonts w:ascii="Arial" w:cs="Arial" w:eastAsia="Arial" w:hAnsi="Arial"/>
          <w:sz w:val="19"/>
          <w:szCs w:val="19"/>
          <w:b w:val="1"/>
          <w:bCs w:val="1"/>
          <w:i w:val="1"/>
          <w:iCs w:val="1"/>
          <w:color w:val="auto"/>
        </w:rPr>
        <w:t>Class A Common Stock</w:t>
      </w:r>
      <w:r>
        <w:rPr>
          <w:rFonts w:ascii="Arial" w:cs="Arial" w:eastAsia="Arial" w:hAnsi="Arial"/>
          <w:sz w:val="19"/>
          <w:szCs w:val="19"/>
          <w:color w:val="auto"/>
        </w:rPr>
        <w:t>”), of the Company upon the exercise of warrants issued by the Company, and (b) the resale of Class A Common Stock and warrants issued by the Company held by certain stockholders and holders of outstanding warrants of the Company, as follows:</w:t>
      </w:r>
    </w:p>
    <w:p>
      <w:pPr>
        <w:spacing w:after="0" w:line="177" w:lineRule="exact"/>
        <w:rPr>
          <w:sz w:val="20"/>
          <w:szCs w:val="20"/>
          <w:color w:val="auto"/>
        </w:rPr>
      </w:pPr>
    </w:p>
    <w:p>
      <w:pPr>
        <w:ind w:firstLine="656"/>
        <w:spacing w:after="0" w:line="250" w:lineRule="auto"/>
        <w:tabs>
          <w:tab w:leader="none" w:pos="151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issuance of 7,000,000 shares (the “</w:t>
      </w:r>
      <w:r>
        <w:rPr>
          <w:rFonts w:ascii="Arial" w:cs="Arial" w:eastAsia="Arial" w:hAnsi="Arial"/>
          <w:sz w:val="22"/>
          <w:szCs w:val="22"/>
          <w:b w:val="1"/>
          <w:bCs w:val="1"/>
          <w:i w:val="1"/>
          <w:iCs w:val="1"/>
          <w:color w:val="auto"/>
        </w:rPr>
        <w:t>Private Warrant Shares</w:t>
      </w:r>
      <w:r>
        <w:rPr>
          <w:rFonts w:ascii="Arial" w:cs="Arial" w:eastAsia="Arial" w:hAnsi="Arial"/>
          <w:sz w:val="22"/>
          <w:szCs w:val="22"/>
          <w:color w:val="auto"/>
        </w:rPr>
        <w:t>”) of Class A Common Stock issuable upon the exercise of certain outstanding warrants (the “</w:t>
      </w:r>
      <w:r>
        <w:rPr>
          <w:rFonts w:ascii="Arial" w:cs="Arial" w:eastAsia="Arial" w:hAnsi="Arial"/>
          <w:sz w:val="22"/>
          <w:szCs w:val="22"/>
          <w:b w:val="1"/>
          <w:bCs w:val="1"/>
          <w:i w:val="1"/>
          <w:iCs w:val="1"/>
          <w:color w:val="auto"/>
        </w:rPr>
        <w:t>Private Warrants</w:t>
      </w:r>
      <w:r>
        <w:rPr>
          <w:rFonts w:ascii="Arial" w:cs="Arial" w:eastAsia="Arial" w:hAnsi="Arial"/>
          <w:sz w:val="22"/>
          <w:szCs w:val="22"/>
          <w:color w:val="auto"/>
        </w:rPr>
        <w:t>”) by the holders thereof;</w:t>
      </w:r>
    </w:p>
    <w:p>
      <w:pPr>
        <w:spacing w:after="0" w:line="201" w:lineRule="exact"/>
        <w:rPr>
          <w:rFonts w:ascii="Arial" w:cs="Arial" w:eastAsia="Arial" w:hAnsi="Arial"/>
          <w:sz w:val="22"/>
          <w:szCs w:val="22"/>
          <w:color w:val="auto"/>
        </w:rPr>
      </w:pPr>
    </w:p>
    <w:p>
      <w:pPr>
        <w:jc w:val="both"/>
        <w:ind w:firstLine="656"/>
        <w:spacing w:after="0" w:line="257" w:lineRule="auto"/>
        <w:tabs>
          <w:tab w:leader="none" w:pos="1519" w:val="left"/>
        </w:tabs>
        <w:numPr>
          <w:ilvl w:val="0"/>
          <w:numId w:val="8"/>
        </w:numPr>
        <w:rPr>
          <w:rFonts w:ascii="Arial" w:cs="Arial" w:eastAsia="Arial" w:hAnsi="Arial"/>
          <w:sz w:val="21"/>
          <w:szCs w:val="21"/>
          <w:color w:val="auto"/>
        </w:rPr>
      </w:pPr>
      <w:r>
        <w:rPr>
          <w:rFonts w:ascii="Arial" w:cs="Arial" w:eastAsia="Arial" w:hAnsi="Arial"/>
          <w:sz w:val="21"/>
          <w:szCs w:val="21"/>
          <w:color w:val="auto"/>
        </w:rPr>
        <w:t>the issuance of 12,499,993 shares (the “</w:t>
      </w:r>
      <w:r>
        <w:rPr>
          <w:rFonts w:ascii="Arial" w:cs="Arial" w:eastAsia="Arial" w:hAnsi="Arial"/>
          <w:sz w:val="21"/>
          <w:szCs w:val="21"/>
          <w:b w:val="1"/>
          <w:bCs w:val="1"/>
          <w:i w:val="1"/>
          <w:iCs w:val="1"/>
          <w:color w:val="auto"/>
        </w:rPr>
        <w:t>Public Warrant Shares</w:t>
      </w:r>
      <w:r>
        <w:rPr>
          <w:rFonts w:ascii="Arial" w:cs="Arial" w:eastAsia="Arial" w:hAnsi="Arial"/>
          <w:sz w:val="21"/>
          <w:szCs w:val="21"/>
          <w:color w:val="auto"/>
        </w:rPr>
        <w:t>” and, together with the Private Warrant Shares, the “</w:t>
      </w:r>
      <w:r>
        <w:rPr>
          <w:rFonts w:ascii="Arial" w:cs="Arial" w:eastAsia="Arial" w:hAnsi="Arial"/>
          <w:sz w:val="21"/>
          <w:szCs w:val="21"/>
          <w:b w:val="1"/>
          <w:bCs w:val="1"/>
          <w:i w:val="1"/>
          <w:iCs w:val="1"/>
          <w:color w:val="auto"/>
        </w:rPr>
        <w:t>Warrant Shares</w:t>
      </w:r>
      <w:r>
        <w:rPr>
          <w:rFonts w:ascii="Arial" w:cs="Arial" w:eastAsia="Arial" w:hAnsi="Arial"/>
          <w:sz w:val="21"/>
          <w:szCs w:val="21"/>
          <w:color w:val="auto"/>
        </w:rPr>
        <w:t>”) of Class A Common Stock issuable upon the exercise of certain outstanding warrants (the “</w:t>
      </w:r>
      <w:r>
        <w:rPr>
          <w:rFonts w:ascii="Arial" w:cs="Arial" w:eastAsia="Arial" w:hAnsi="Arial"/>
          <w:sz w:val="21"/>
          <w:szCs w:val="21"/>
          <w:b w:val="1"/>
          <w:bCs w:val="1"/>
          <w:i w:val="1"/>
          <w:iCs w:val="1"/>
          <w:color w:val="auto"/>
        </w:rPr>
        <w:t>Public</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Warrants</w:t>
      </w:r>
      <w:r>
        <w:rPr>
          <w:rFonts w:ascii="Arial" w:cs="Arial" w:eastAsia="Arial" w:hAnsi="Arial"/>
          <w:sz w:val="21"/>
          <w:szCs w:val="21"/>
          <w:color w:val="auto"/>
        </w:rPr>
        <w:t>” and together with the Private Warrants, the “</w:t>
      </w:r>
      <w:r>
        <w:rPr>
          <w:rFonts w:ascii="Arial" w:cs="Arial" w:eastAsia="Arial" w:hAnsi="Arial"/>
          <w:sz w:val="21"/>
          <w:szCs w:val="21"/>
          <w:b w:val="1"/>
          <w:bCs w:val="1"/>
          <w:i w:val="1"/>
          <w:iCs w:val="1"/>
          <w:color w:val="auto"/>
        </w:rPr>
        <w:t>Warrants</w:t>
      </w:r>
      <w:r>
        <w:rPr>
          <w:rFonts w:ascii="Arial" w:cs="Arial" w:eastAsia="Arial" w:hAnsi="Arial"/>
          <w:sz w:val="21"/>
          <w:szCs w:val="21"/>
          <w:color w:val="auto"/>
        </w:rPr>
        <w:t>”) by the holders thereof;</w:t>
      </w:r>
    </w:p>
    <w:p>
      <w:pPr>
        <w:spacing w:after="0" w:line="196" w:lineRule="exact"/>
        <w:rPr>
          <w:rFonts w:ascii="Arial" w:cs="Arial" w:eastAsia="Arial" w:hAnsi="Arial"/>
          <w:sz w:val="21"/>
          <w:szCs w:val="21"/>
          <w:color w:val="auto"/>
        </w:rPr>
      </w:pPr>
    </w:p>
    <w:p>
      <w:pPr>
        <w:jc w:val="both"/>
        <w:ind w:firstLine="656"/>
        <w:spacing w:after="0" w:line="236" w:lineRule="auto"/>
        <w:tabs>
          <w:tab w:leader="none" w:pos="1537"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issuance of 65,502,349 shares (the “</w:t>
      </w:r>
      <w:r>
        <w:rPr>
          <w:rFonts w:ascii="Arial" w:cs="Arial" w:eastAsia="Arial" w:hAnsi="Arial"/>
          <w:sz w:val="22"/>
          <w:szCs w:val="22"/>
          <w:b w:val="1"/>
          <w:bCs w:val="1"/>
          <w:i w:val="1"/>
          <w:iCs w:val="1"/>
          <w:color w:val="auto"/>
        </w:rPr>
        <w:t>Paired Interest Shares</w:t>
      </w:r>
      <w:r>
        <w:rPr>
          <w:rFonts w:ascii="Arial" w:cs="Arial" w:eastAsia="Arial" w:hAnsi="Arial"/>
          <w:sz w:val="22"/>
          <w:szCs w:val="22"/>
          <w:color w:val="auto"/>
        </w:rPr>
        <w:t>”) of Class A Common Stock upon the exchange of Class A units representing limited liability company interests of WM Holding Company, LLC (“</w:t>
      </w:r>
      <w:r>
        <w:rPr>
          <w:rFonts w:ascii="Arial" w:cs="Arial" w:eastAsia="Arial" w:hAnsi="Arial"/>
          <w:sz w:val="22"/>
          <w:szCs w:val="22"/>
          <w:b w:val="1"/>
          <w:bCs w:val="1"/>
          <w:i w:val="1"/>
          <w:iCs w:val="1"/>
          <w:color w:val="auto"/>
        </w:rPr>
        <w:t>WMH LLC</w:t>
      </w:r>
      <w:r>
        <w:rPr>
          <w:rFonts w:ascii="Arial" w:cs="Arial" w:eastAsia="Arial" w:hAnsi="Arial"/>
          <w:sz w:val="22"/>
          <w:szCs w:val="22"/>
          <w:color w:val="auto"/>
        </w:rPr>
        <w:t>” and such units, the “</w:t>
      </w:r>
      <w:r>
        <w:rPr>
          <w:rFonts w:ascii="Arial" w:cs="Arial" w:eastAsia="Arial" w:hAnsi="Arial"/>
          <w:sz w:val="22"/>
          <w:szCs w:val="22"/>
          <w:b w:val="1"/>
          <w:bCs w:val="1"/>
          <w:i w:val="1"/>
          <w:iCs w:val="1"/>
          <w:color w:val="auto"/>
        </w:rPr>
        <w:t>Class A Units</w:t>
      </w:r>
      <w:r>
        <w:rPr>
          <w:rFonts w:ascii="Arial" w:cs="Arial" w:eastAsia="Arial" w:hAnsi="Arial"/>
          <w:sz w:val="22"/>
          <w:szCs w:val="22"/>
          <w:color w:val="auto"/>
        </w:rPr>
        <w:t>”)) combined with an equivalent number of shares of Class V Common Stock (together with the Class A Common Stock, the “</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par value $0.0001 per share (together with the Class A Units, the “</w:t>
      </w:r>
      <w:r>
        <w:rPr>
          <w:rFonts w:ascii="Arial" w:cs="Arial" w:eastAsia="Arial" w:hAnsi="Arial"/>
          <w:sz w:val="22"/>
          <w:szCs w:val="22"/>
          <w:b w:val="1"/>
          <w:bCs w:val="1"/>
          <w:i w:val="1"/>
          <w:iCs w:val="1"/>
          <w:color w:val="auto"/>
        </w:rPr>
        <w:t>Paired Interests</w:t>
      </w:r>
      <w:r>
        <w:rPr>
          <w:rFonts w:ascii="Arial" w:cs="Arial" w:eastAsia="Arial" w:hAnsi="Arial"/>
          <w:sz w:val="22"/>
          <w:szCs w:val="22"/>
          <w:color w:val="auto"/>
        </w:rPr>
        <w:t>”) by the holders thereof;</w:t>
      </w:r>
    </w:p>
    <w:p>
      <w:pPr>
        <w:spacing w:after="0" w:line="214" w:lineRule="exact"/>
        <w:rPr>
          <w:rFonts w:ascii="Arial" w:cs="Arial" w:eastAsia="Arial" w:hAnsi="Arial"/>
          <w:sz w:val="22"/>
          <w:szCs w:val="22"/>
          <w:color w:val="auto"/>
        </w:rPr>
      </w:pPr>
    </w:p>
    <w:p>
      <w:pPr>
        <w:jc w:val="both"/>
        <w:ind w:firstLine="656"/>
        <w:spacing w:after="0"/>
        <w:tabs>
          <w:tab w:leader="none" w:pos="1652"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issuance of 25,896,041 shares (the “</w:t>
      </w:r>
      <w:r>
        <w:rPr>
          <w:rFonts w:ascii="Arial" w:cs="Arial" w:eastAsia="Arial" w:hAnsi="Arial"/>
          <w:sz w:val="22"/>
          <w:szCs w:val="22"/>
          <w:b w:val="1"/>
          <w:bCs w:val="1"/>
          <w:i w:val="1"/>
          <w:iCs w:val="1"/>
          <w:color w:val="auto"/>
        </w:rPr>
        <w:t>Class P Unit Shares</w:t>
      </w:r>
      <w:r>
        <w:rPr>
          <w:rFonts w:ascii="Arial" w:cs="Arial" w:eastAsia="Arial" w:hAnsi="Arial"/>
          <w:sz w:val="22"/>
          <w:szCs w:val="22"/>
          <w:color w:val="auto"/>
        </w:rPr>
        <w:t>”) of Class A Common Stock issuable upon the exchange of Class P units representing limited liability company interests of WMH LLC (the “</w:t>
      </w:r>
      <w:r>
        <w:rPr>
          <w:rFonts w:ascii="Arial" w:cs="Arial" w:eastAsia="Arial" w:hAnsi="Arial"/>
          <w:sz w:val="22"/>
          <w:szCs w:val="22"/>
          <w:b w:val="1"/>
          <w:bCs w:val="1"/>
          <w:i w:val="1"/>
          <w:iCs w:val="1"/>
          <w:color w:val="auto"/>
        </w:rPr>
        <w:t>Class P Units</w:t>
      </w:r>
      <w:r>
        <w:rPr>
          <w:rFonts w:ascii="Arial" w:cs="Arial" w:eastAsia="Arial" w:hAnsi="Arial"/>
          <w:sz w:val="22"/>
          <w:szCs w:val="22"/>
          <w:color w:val="auto"/>
        </w:rPr>
        <w:t>”) by the holders thereof;</w:t>
      </w:r>
    </w:p>
    <w:p>
      <w:pPr>
        <w:spacing w:after="0" w:line="213" w:lineRule="exact"/>
        <w:rPr>
          <w:rFonts w:ascii="Arial" w:cs="Arial" w:eastAsia="Arial" w:hAnsi="Arial"/>
          <w:sz w:val="22"/>
          <w:szCs w:val="22"/>
          <w:color w:val="auto"/>
        </w:rPr>
      </w:pPr>
    </w:p>
    <w:p>
      <w:pPr>
        <w:ind w:left="1440" w:hanging="784"/>
        <w:spacing w:after="0"/>
        <w:tabs>
          <w:tab w:leader="none" w:pos="144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resale of 7,000,000 Private Warrants (the “</w:t>
      </w:r>
      <w:r>
        <w:rPr>
          <w:rFonts w:ascii="Arial" w:cs="Arial" w:eastAsia="Arial" w:hAnsi="Arial"/>
          <w:sz w:val="22"/>
          <w:szCs w:val="22"/>
          <w:b w:val="1"/>
          <w:bCs w:val="1"/>
          <w:i w:val="1"/>
          <w:iCs w:val="1"/>
          <w:color w:val="auto"/>
        </w:rPr>
        <w:t>Resale Warrants</w:t>
      </w:r>
      <w:r>
        <w:rPr>
          <w:rFonts w:ascii="Arial" w:cs="Arial" w:eastAsia="Arial" w:hAnsi="Arial"/>
          <w:sz w:val="22"/>
          <w:szCs w:val="22"/>
          <w:color w:val="auto"/>
        </w:rPr>
        <w:t>”); and</w:t>
      </w:r>
    </w:p>
    <w:p>
      <w:pPr>
        <w:spacing w:after="0" w:line="233" w:lineRule="exact"/>
        <w:rPr>
          <w:rFonts w:ascii="Arial" w:cs="Arial" w:eastAsia="Arial" w:hAnsi="Arial"/>
          <w:sz w:val="22"/>
          <w:szCs w:val="22"/>
          <w:color w:val="auto"/>
        </w:rPr>
      </w:pPr>
    </w:p>
    <w:p>
      <w:pPr>
        <w:jc w:val="both"/>
        <w:ind w:firstLine="656"/>
        <w:spacing w:after="0"/>
        <w:tabs>
          <w:tab w:leader="none" w:pos="1832"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resale of 105,230,932 shares of Class A Common Stock (including up to (a) 38,750,000 issued and outstanding shares of Class A Common Stock, (b) 59,480,932 Paired Interest Shares and Class P Unit Shares) and (c) 7,000,000 Private Warrant Shares (the “</w:t>
      </w:r>
      <w:r>
        <w:rPr>
          <w:rFonts w:ascii="Arial" w:cs="Arial" w:eastAsia="Arial" w:hAnsi="Arial"/>
          <w:sz w:val="22"/>
          <w:szCs w:val="22"/>
          <w:b w:val="1"/>
          <w:bCs w:val="1"/>
          <w:i w:val="1"/>
          <w:iCs w:val="1"/>
          <w:color w:val="auto"/>
        </w:rPr>
        <w:t>Selling Stockholder Shares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Cooley LLP 3 Embarcadero Center, 20th Floor San Francisco, CA 94111-5800</w:t>
      </w:r>
    </w:p>
    <w:p>
      <w:pPr>
        <w:jc w:val="center"/>
        <w:ind w:right="60"/>
        <w:spacing w:after="0"/>
        <w:rPr>
          <w:sz w:val="20"/>
          <w:szCs w:val="20"/>
          <w:color w:val="auto"/>
        </w:rPr>
      </w:pPr>
      <w:r>
        <w:rPr>
          <w:rFonts w:ascii="Arial" w:cs="Arial" w:eastAsia="Arial" w:hAnsi="Arial"/>
          <w:sz w:val="14"/>
          <w:szCs w:val="14"/>
          <w:color w:val="auto"/>
        </w:rPr>
        <w:t>t: (415) 693-2000 f: (415) 693-2222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 w:name="page8"/>
    <w:bookmarkEnd w:id="7"/>
    <w:p>
      <w:pPr>
        <w:jc w:val="both"/>
        <w:spacing w:after="0" w:line="251" w:lineRule="auto"/>
        <w:rPr>
          <w:sz w:val="20"/>
          <w:szCs w:val="20"/>
          <w:color w:val="auto"/>
        </w:rPr>
      </w:pPr>
      <w:r>
        <w:rPr>
          <w:rFonts w:ascii="Arial" w:cs="Arial" w:eastAsia="Arial" w:hAnsi="Arial"/>
          <w:sz w:val="22"/>
          <w:szCs w:val="22"/>
          <w:color w:val="auto"/>
        </w:rPr>
        <w:t>The Warrants were issued pursuant to a Warrant Agreement, dated August 7, 2019, between the Company and Continental Stock Transfer &amp; Trust Company, as warrant agent (“</w:t>
      </w:r>
      <w:r>
        <w:rPr>
          <w:rFonts w:ascii="Arial" w:cs="Arial" w:eastAsia="Arial" w:hAnsi="Arial"/>
          <w:sz w:val="22"/>
          <w:szCs w:val="22"/>
          <w:b w:val="1"/>
          <w:bCs w:val="1"/>
          <w:i w:val="1"/>
          <w:iCs w:val="1"/>
          <w:color w:val="auto"/>
        </w:rPr>
        <w:t>Warrant Agreement”</w:t>
      </w:r>
      <w:r>
        <w:rPr>
          <w:rFonts w:ascii="Arial" w:cs="Arial" w:eastAsia="Arial" w:hAnsi="Arial"/>
          <w:sz w:val="22"/>
          <w:szCs w:val="22"/>
          <w:color w:val="auto"/>
        </w:rPr>
        <w:t>).</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In connection with this opinion, we have examined and relied upon the Registration Statement, the Prospectus, the Company’s certificate of incorporation and bylaws, each as currently in effect, the Warrant Agreement and the originals or copies certified to our satisfaction of such opinions,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thereof, the accuracy, completeness and authenticity of certificates of public officials and the due authorization, execution and delivery of all documents by all persons other than the Company where due authorization, execution and delivery are prerequisites to the effectiveness thereof. As to certain factual matters, we have relied upon a certificate of an officer of the Company and have not independently verified such matters.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We note that the Company was initially incorporated under the laws of the Cayman Islands and was domesticated as a corporation in the State of Delaware in accordance with Section 388 of the DGCL (the “</w:t>
      </w:r>
      <w:r>
        <w:rPr>
          <w:rFonts w:ascii="Arial" w:cs="Arial" w:eastAsia="Arial" w:hAnsi="Arial"/>
          <w:sz w:val="19"/>
          <w:szCs w:val="19"/>
          <w:b w:val="1"/>
          <w:bCs w:val="1"/>
          <w:i w:val="1"/>
          <w:iCs w:val="1"/>
          <w:color w:val="auto"/>
        </w:rPr>
        <w:t>Domestication</w:t>
      </w:r>
      <w:r>
        <w:rPr>
          <w:rFonts w:ascii="Arial" w:cs="Arial" w:eastAsia="Arial" w:hAnsi="Arial"/>
          <w:sz w:val="19"/>
          <w:szCs w:val="19"/>
          <w:color w:val="auto"/>
        </w:rPr>
        <w:t>”). We have assumed all matters determinable under the laws of the Cayman Islands, including without limitation that (i) immediately prior to the Domestication, the Company was duly organized, validly existing and in good standing under the laws of the Cayman Islands,</w:t>
      </w:r>
    </w:p>
    <w:p>
      <w:pPr>
        <w:spacing w:after="0" w:line="3" w:lineRule="exact"/>
        <w:rPr>
          <w:sz w:val="20"/>
          <w:szCs w:val="20"/>
          <w:color w:val="auto"/>
        </w:rPr>
      </w:pPr>
    </w:p>
    <w:p>
      <w:pPr>
        <w:jc w:val="both"/>
        <w:ind w:firstLine="8"/>
        <w:spacing w:after="0" w:line="243" w:lineRule="auto"/>
        <w:tabs>
          <w:tab w:leader="none" w:pos="331"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Company had full power, authority and legal right to domesticate in the State of Delaware pursuant to Section 388, (iii) the laws of the Cayman Islands permitted the Company to domesticate in the State of Delaware pursuant to Section 388, (iv) the discontinuation of the Company from the Cayman Islands was duly authorized by all necessary corporate action as provided in its governing documents and was duly effected in accordance with Cayman Islands law, (v) any and all consents, approvals and authorizations from applicable Cayman Island governmental authorities required to authorize and permit the Company to domesticate in the State of Delaware pursuant to Section 388 were obtained, and (vi) the issued and outstanding common shares of the Company as an exempted company incorporated under the laws of the Cayman Islands immediately prior to the Domestication were validly issued, fully paid and nonassessable.</w:t>
      </w:r>
    </w:p>
    <w:p>
      <w:pPr>
        <w:spacing w:after="0" w:line="21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opinion is expressed only with respect to the General Corporation Law of the State of Delaware and the laws of the State of New York. We express no opinion to the extent that any other laws are applicable to the subject matter hereof and express no opinion and provide no assurance as to compliance with any federal or state securities law, rule or regulation.</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With respect to the Warrants, the Paired Interests, the Class P Units, the Warrant Shares, the Paired Interest Shares and the Class P Unit Shares, we express no opinion to the extent that future issuances of securities of the Company, including the Warrant Shares, the Paired Interest Shares and the Class P Unit Shares, and/or antidilution adjustments to outstanding securities of the Company, including the Warrants, the Paired Interests, the Class P Units, may cause the Warrants to be exercisable or the Paired Interests, the Class P Units to be exchangeable for more shares of Class A Common Stock than the number of shares of Class A Common Stock that then remain authorized but unissued. Further, we have assumed the Exercise Price (as defined in the Warrants) will not be adjusted to an amount below the par value per share of Class A Common Stock. With respect to the Paired Interest Shares and the Class P Unit Shares, we express no opinion to the extent that future issuances of securities of the Company, including the Paired Interest Shares and the Class P Unit Shares, and/or antidilution adjustments to outstanding securities of the Company, including the Paired Interests and the Class P Units, may cause the Paired Interests and the Class P Units to be exchangeable for more shares of Class A Common Stock than, the number of shares of Class A Common Stock that then remain authorized but unissued.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Cooley LLP 3 Embarcadero Center, 20th Floor San Francisco, CA 94111-5800</w:t>
      </w:r>
    </w:p>
    <w:p>
      <w:pPr>
        <w:jc w:val="center"/>
        <w:ind w:right="60"/>
        <w:spacing w:after="0"/>
        <w:rPr>
          <w:sz w:val="20"/>
          <w:szCs w:val="20"/>
          <w:color w:val="auto"/>
        </w:rPr>
      </w:pPr>
      <w:r>
        <w:rPr>
          <w:rFonts w:ascii="Arial" w:cs="Arial" w:eastAsia="Arial" w:hAnsi="Arial"/>
          <w:sz w:val="14"/>
          <w:szCs w:val="14"/>
          <w:color w:val="auto"/>
        </w:rPr>
        <w:t>t: (415) 693-2000 f: (415) 693-2222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With regard to our opinion concerning the Warrants constituting valid and binding obligations of the Company:</w:t>
      </w:r>
    </w:p>
    <w:p>
      <w:pPr>
        <w:spacing w:after="0" w:line="234" w:lineRule="exact"/>
        <w:rPr>
          <w:sz w:val="20"/>
          <w:szCs w:val="20"/>
          <w:color w:val="auto"/>
        </w:rPr>
      </w:pPr>
    </w:p>
    <w:p>
      <w:pPr>
        <w:jc w:val="both"/>
        <w:ind w:firstLine="656"/>
        <w:spacing w:after="0" w:line="276" w:lineRule="auto"/>
        <w:tabs>
          <w:tab w:leader="none" w:pos="1780" w:val="left"/>
        </w:tabs>
        <w:numPr>
          <w:ilvl w:val="1"/>
          <w:numId w:val="10"/>
        </w:numPr>
        <w:rPr>
          <w:rFonts w:ascii="Arial" w:cs="Arial" w:eastAsia="Arial" w:hAnsi="Arial"/>
          <w:sz w:val="19"/>
          <w:szCs w:val="19"/>
          <w:color w:val="auto"/>
        </w:rPr>
      </w:pPr>
      <w:r>
        <w:rPr>
          <w:rFonts w:ascii="Arial" w:cs="Arial" w:eastAsia="Arial" w:hAnsi="Arial"/>
          <w:sz w:val="19"/>
          <w:szCs w:val="19"/>
          <w:color w:val="auto"/>
        </w:rPr>
        <w:t>Our opinion is subject to, and may be limited by, (a) applicable bankruptcy, reorganization, insolvency, moratorium, fraudulent conveyance, debtor and creditor, and similar laws which relate to or affect creditors’ rights generally, and</w:t>
      </w:r>
    </w:p>
    <w:p>
      <w:pPr>
        <w:spacing w:after="0" w:line="1" w:lineRule="exact"/>
        <w:rPr>
          <w:rFonts w:ascii="Arial" w:cs="Arial" w:eastAsia="Arial" w:hAnsi="Arial"/>
          <w:sz w:val="19"/>
          <w:szCs w:val="19"/>
          <w:color w:val="auto"/>
        </w:rPr>
      </w:pPr>
    </w:p>
    <w:p>
      <w:pPr>
        <w:ind w:firstLine="8"/>
        <w:spacing w:after="0" w:line="236" w:lineRule="auto"/>
        <w:tabs>
          <w:tab w:leader="none" w:pos="306" w:val="left"/>
        </w:tabs>
        <w:numPr>
          <w:ilvl w:val="0"/>
          <w:numId w:val="11"/>
        </w:numPr>
        <w:rPr>
          <w:rFonts w:ascii="Arial" w:cs="Arial" w:eastAsia="Arial" w:hAnsi="Arial"/>
          <w:sz w:val="22"/>
          <w:szCs w:val="22"/>
          <w:color w:val="auto"/>
        </w:rPr>
      </w:pPr>
      <w:r>
        <w:rPr>
          <w:rFonts w:ascii="Arial" w:cs="Arial" w:eastAsia="Arial" w:hAnsi="Arial"/>
          <w:sz w:val="22"/>
          <w:szCs w:val="22"/>
          <w:color w:val="auto"/>
        </w:rPr>
        <w:t>general principles of equity (including, without limitation, concepts of materiality, reasonableness, good faith and fair dealing) regardless of whether considered in a proceeding in equity or at law.</w:t>
      </w:r>
    </w:p>
    <w:p>
      <w:pPr>
        <w:spacing w:after="0" w:line="213" w:lineRule="exact"/>
        <w:rPr>
          <w:rFonts w:ascii="Arial" w:cs="Arial" w:eastAsia="Arial" w:hAnsi="Arial"/>
          <w:sz w:val="22"/>
          <w:szCs w:val="22"/>
          <w:color w:val="auto"/>
        </w:rPr>
      </w:pPr>
    </w:p>
    <w:p>
      <w:pPr>
        <w:ind w:firstLine="656"/>
        <w:spacing w:after="0" w:line="250" w:lineRule="auto"/>
        <w:tabs>
          <w:tab w:leader="none" w:pos="1597" w:val="left"/>
        </w:tabs>
        <w:numPr>
          <w:ilvl w:val="1"/>
          <w:numId w:val="11"/>
        </w:numPr>
        <w:rPr>
          <w:rFonts w:ascii="Arial" w:cs="Arial" w:eastAsia="Arial" w:hAnsi="Arial"/>
          <w:sz w:val="22"/>
          <w:szCs w:val="22"/>
          <w:color w:val="auto"/>
        </w:rPr>
      </w:pPr>
      <w:r>
        <w:rPr>
          <w:rFonts w:ascii="Arial" w:cs="Arial" w:eastAsia="Arial" w:hAnsi="Arial"/>
          <w:sz w:val="22"/>
          <w:szCs w:val="22"/>
          <w:color w:val="auto"/>
        </w:rPr>
        <w:t>Our opinion is subject to the qualification that the availability of specific performance, an injunction or other equitable remedies is subject to the discretion of the court before which the request is brought.</w:t>
      </w:r>
    </w:p>
    <w:p>
      <w:pPr>
        <w:spacing w:after="0" w:line="202" w:lineRule="exact"/>
        <w:rPr>
          <w:sz w:val="20"/>
          <w:szCs w:val="20"/>
          <w:color w:val="auto"/>
        </w:rPr>
      </w:pPr>
    </w:p>
    <w:p>
      <w:pPr>
        <w:jc w:val="both"/>
        <w:ind w:firstLine="656"/>
        <w:spacing w:after="0" w:line="275" w:lineRule="auto"/>
        <w:tabs>
          <w:tab w:leader="none" w:pos="1673" w:val="left"/>
        </w:tabs>
        <w:numPr>
          <w:ilvl w:val="0"/>
          <w:numId w:val="12"/>
        </w:numPr>
        <w:rPr>
          <w:rFonts w:ascii="Arial" w:cs="Arial" w:eastAsia="Arial" w:hAnsi="Arial"/>
          <w:sz w:val="19"/>
          <w:szCs w:val="19"/>
          <w:color w:val="auto"/>
        </w:rPr>
      </w:pPr>
      <w:r>
        <w:rPr>
          <w:rFonts w:ascii="Arial" w:cs="Arial" w:eastAsia="Arial" w:hAnsi="Arial"/>
          <w:sz w:val="19"/>
          <w:szCs w:val="19"/>
          <w:color w:val="auto"/>
        </w:rPr>
        <w:t>We express no opinion as to any provision of the Warrants that: (a) provides for liquidated damages, buy-in damages, monetary penalties, prepayment or make-whole payments or other economic remedies to the extent such provisions may constitute unlawful penalties, (b) relates to advance waivers of claims, defenses, rights granted by law, or notice, opportunity for hearing, evidentiary requirements, statutes of limitations, trial by jury, or procedural rights, (c) restricts non-written modifications and waivers, (d) provides for the payment of legal and other professional fees where such payment is contrary to law or public policy, (e) relates to exclusivity, election or accumulation of rights or remedies, (f) authorizes or validated conclusive or discretionary determinations, or (g) provides that provisions of the Warrants are severable to the extent an essential part of the agreed exchange is determined to be invalid and unenforceable.</w:t>
      </w:r>
    </w:p>
    <w:p>
      <w:pPr>
        <w:spacing w:after="0" w:line="184" w:lineRule="exact"/>
        <w:rPr>
          <w:rFonts w:ascii="Arial" w:cs="Arial" w:eastAsia="Arial" w:hAnsi="Arial"/>
          <w:sz w:val="19"/>
          <w:szCs w:val="19"/>
          <w:color w:val="auto"/>
        </w:rPr>
      </w:pPr>
    </w:p>
    <w:p>
      <w:pPr>
        <w:ind w:firstLine="656"/>
        <w:spacing w:after="0" w:line="250" w:lineRule="auto"/>
        <w:tabs>
          <w:tab w:leader="none" w:pos="1648" w:val="left"/>
        </w:tabs>
        <w:numPr>
          <w:ilvl w:val="0"/>
          <w:numId w:val="12"/>
        </w:numPr>
        <w:rPr>
          <w:rFonts w:ascii="Arial" w:cs="Arial" w:eastAsia="Arial" w:hAnsi="Arial"/>
          <w:sz w:val="22"/>
          <w:szCs w:val="22"/>
          <w:color w:val="auto"/>
        </w:rPr>
      </w:pPr>
      <w:r>
        <w:rPr>
          <w:rFonts w:ascii="Arial" w:cs="Arial" w:eastAsia="Arial" w:hAnsi="Arial"/>
          <w:sz w:val="22"/>
          <w:szCs w:val="22"/>
          <w:color w:val="auto"/>
        </w:rPr>
        <w:t>We express no opinion as to whether a state court outside of the State of New York or a federal court of the United States would give effect to the choice of New York law provided for in the Warrants.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On the basis of the foregoing, and in reliance thereon, we are of the opinion that:</w:t>
      </w:r>
    </w:p>
    <w:p>
      <w:pPr>
        <w:spacing w:after="0" w:line="240" w:lineRule="exact"/>
        <w:rPr>
          <w:sz w:val="20"/>
          <w:szCs w:val="20"/>
          <w:color w:val="auto"/>
        </w:rPr>
      </w:pPr>
    </w:p>
    <w:p>
      <w:pPr>
        <w:ind w:left="130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Warrant Shares, when issued and paid for upon exercise of the Warrants in accordance with the terms of the Warrants, will be validly issued, fully paid and nonassessable.</w:t>
      </w:r>
    </w:p>
    <w:p>
      <w:pPr>
        <w:spacing w:after="0" w:line="197"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Paired Interests Shares and the Class P Unit Shares, when issued upon exchange of the Paired Interests or Class P Units, as applicable, in accordance with the terms of the Company’s Certificate of Incorporation and the Amended and Restated Limited Liability Company Agreement of WMH LLC, will be validly issued, fully paid and nonassessable.</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Resale Warrants constitute valid and binding obligations of the Company.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Cooley LLP 3 Embarcadero Center, 20th Floor San Francisco, CA 94111-5800</w:t>
      </w:r>
    </w:p>
    <w:p>
      <w:pPr>
        <w:jc w:val="center"/>
        <w:ind w:right="60"/>
        <w:spacing w:after="0"/>
        <w:rPr>
          <w:sz w:val="20"/>
          <w:szCs w:val="20"/>
          <w:color w:val="auto"/>
        </w:rPr>
      </w:pPr>
      <w:r>
        <w:rPr>
          <w:rFonts w:ascii="Arial" w:cs="Arial" w:eastAsia="Arial" w:hAnsi="Arial"/>
          <w:sz w:val="14"/>
          <w:szCs w:val="14"/>
          <w:color w:val="auto"/>
        </w:rPr>
        <w:t>t: (415) 693-2000 f: (415) 693-2222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ind w:left="13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Selling Stockholder Shares, other than any Warrant Shares, Paired Interest Shares and the Class P Unit Shares included in the Selling Stockholder Shares, are validly issued, fully paid and nonassessable.</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Warrant Shares included in the Selling Stockholder Shares, when issued and paid for in accordance with the terms of the Warrants, will be validly issued, fully paid and nonassessable.</w:t>
      </w:r>
    </w:p>
    <w:p>
      <w:pPr>
        <w:spacing w:after="0" w:line="197"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Paired Interest Shares or Class P Unit Shares, when issued upon exchange of the Paired Interests or the Class P Units, as applicable, in accordance with the terms of the Company’s Certificate of Incorporation and the Fourth Amended and Restated Limited Liability Company Agreement of WMH LLC, will be validly issued, fully paid and nonassessable.</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opinion is limited to the matters stated herein and no opinion is implied or may be inferred beyond the matters expressly stated. Our opinion is based on these laws as in effect on the date hereof, and we disclaim any obligation to advise you of facts, circumstances, events or developments which hereafter may be brought to our attention and which may alter, affect or modify the opinion expressed herein.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hereby consent to the filing of this opinion as an exhibit to the Registration Statement and to the reference to our firm under the caption “Legal Matters” in the Prospectus.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Cooley LLP 3 Embarcadero Center, 20th Floor San Francisco, CA 94111-5800</w:t>
      </w:r>
    </w:p>
    <w:p>
      <w:pPr>
        <w:jc w:val="center"/>
        <w:ind w:right="60"/>
        <w:spacing w:after="0"/>
        <w:rPr>
          <w:sz w:val="20"/>
          <w:szCs w:val="20"/>
          <w:color w:val="auto"/>
        </w:rPr>
      </w:pPr>
      <w:r>
        <w:rPr>
          <w:rFonts w:ascii="Arial" w:cs="Arial" w:eastAsia="Arial" w:hAnsi="Arial"/>
          <w:sz w:val="14"/>
          <w:szCs w:val="14"/>
          <w:color w:val="auto"/>
        </w:rPr>
        <w:t>t: (415) 693-2000 f: (415) 693-2222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Very truly yours,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OOLEY</w:t>
      </w:r>
      <w:r>
        <w:rPr>
          <w:rFonts w:ascii="Arial" w:cs="Arial" w:eastAsia="Arial" w:hAnsi="Arial"/>
          <w:sz w:val="22"/>
          <w:szCs w:val="22"/>
          <w:b w:val="1"/>
          <w:bCs w:val="1"/>
          <w:color w:val="auto"/>
        </w:rPr>
        <w:t xml:space="preserve"> LLP</w:t>
      </w:r>
    </w:p>
    <w:p>
      <w:pPr>
        <w:spacing w:after="0" w:line="24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G. Peinsipp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David G. Peinsipp</w:t>
      </w:r>
    </w:p>
    <w:p>
      <w:pPr>
        <w:spacing w:after="0" w:line="200" w:lineRule="exact"/>
        <w:rPr>
          <w:sz w:val="20"/>
          <w:szCs w:val="20"/>
          <w:color w:val="auto"/>
        </w:rPr>
      </w:pPr>
    </w:p>
    <w:p>
      <w:pPr>
        <w:spacing w:after="0" w:line="291" w:lineRule="exact"/>
        <w:rPr>
          <w:sz w:val="20"/>
          <w:szCs w:val="20"/>
          <w:color w:val="auto"/>
        </w:rPr>
      </w:pPr>
    </w:p>
    <w:p>
      <w:pPr>
        <w:ind w:left="3280"/>
        <w:spacing w:after="0"/>
        <w:rPr>
          <w:sz w:val="20"/>
          <w:szCs w:val="20"/>
          <w:color w:val="auto"/>
        </w:rPr>
      </w:pPr>
      <w:r>
        <w:rPr>
          <w:rFonts w:ascii="Arial" w:cs="Arial" w:eastAsia="Arial" w:hAnsi="Arial"/>
          <w:sz w:val="13"/>
          <w:szCs w:val="13"/>
          <w:color w:val="auto"/>
        </w:rPr>
        <w:t>Cooley LLP 3 Embarcadero Center, 20th Floor San Francisco, CA 94111-5800</w:t>
      </w:r>
    </w:p>
    <w:p>
      <w:pPr>
        <w:spacing w:after="0" w:line="11" w:lineRule="exact"/>
        <w:rPr>
          <w:sz w:val="20"/>
          <w:szCs w:val="20"/>
          <w:color w:val="auto"/>
        </w:rPr>
      </w:pPr>
    </w:p>
    <w:p>
      <w:pPr>
        <w:ind w:left="4260"/>
        <w:spacing w:after="0"/>
        <w:rPr>
          <w:sz w:val="20"/>
          <w:szCs w:val="20"/>
          <w:color w:val="auto"/>
        </w:rPr>
      </w:pPr>
      <w:r>
        <w:rPr>
          <w:rFonts w:ascii="Arial" w:cs="Arial" w:eastAsia="Arial" w:hAnsi="Arial"/>
          <w:sz w:val="14"/>
          <w:szCs w:val="14"/>
          <w:color w:val="auto"/>
        </w:rPr>
        <w:t>t: (415) 693-2000 f: (415) 693-2222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41"/>
    </w:lvl>
  </w:abstractNum>
  <w:abstractNum w:abstractNumId="1">
    <w:nsid w:val="7545E146"/>
    <w:multiLevelType w:val="hybridMultilevel"/>
    <w:lvl w:ilvl="0">
      <w:lvlJc w:val="left"/>
      <w:lvlText w:val="%1"/>
      <w:numFmt w:val="decimal"/>
      <w:start w:val="4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41"/>
    </w:lvl>
  </w:abstractNum>
  <w:abstractNum w:abstractNumId="7">
    <w:nsid w:val="1F16E9E8"/>
    <w:multiLevelType w:val="hybridMultilevel"/>
    <w:lvl w:ilvl="0">
      <w:lvlJc w:val="left"/>
      <w:lvlText w:val="(%1)"/>
      <w:numFmt w:val="lowerRoman"/>
      <w:start w:val="1"/>
    </w:lvl>
  </w:abstractNum>
  <w:abstractNum w:abstractNumId="8">
    <w:nsid w:val="1190CDE7"/>
    <w:multiLevelType w:val="hybridMultilevel"/>
    <w:lvl w:ilvl="0">
      <w:lvlJc w:val="left"/>
      <w:lvlText w:val="(%1)"/>
      <w:numFmt w:val="lowerRoman"/>
      <w:start w:val="2"/>
    </w:lvl>
  </w:abstractNum>
  <w:abstractNum w:abstractNumId="9">
    <w:nsid w:val="66EF438D"/>
    <w:multiLevelType w:val="hybridMultilevel"/>
    <w:lvl w:ilvl="0">
      <w:lvlJc w:val="left"/>
      <w:lvlText w:val="%1"/>
      <w:numFmt w:val="lowerLetter"/>
      <w:start w:val="1"/>
    </w:lvl>
    <w:lvl w:ilvl="1">
      <w:lvlJc w:val="left"/>
      <w:lvlText w:val="(%2)"/>
      <w:numFmt w:val="lowerLetter"/>
      <w:start w:val="9"/>
    </w:lvl>
  </w:abstractNum>
  <w:abstractNum w:abstractNumId="10">
    <w:nsid w:val="140E0F76"/>
    <w:multiLevelType w:val="hybridMultilevel"/>
    <w:lvl w:ilvl="0">
      <w:lvlJc w:val="left"/>
      <w:lvlText w:val="(%1)"/>
      <w:numFmt w:val="lowerLetter"/>
      <w:start w:val="2"/>
    </w:lvl>
    <w:lvl w:ilvl="1">
      <w:lvlJc w:val="left"/>
      <w:lvlText w:val="(%2)"/>
      <w:numFmt w:val="lowerLetter"/>
      <w:start w:val="35"/>
    </w:lvl>
  </w:abstractNum>
  <w:abstractNum w:abstractNumId="11">
    <w:nsid w:val="3352255A"/>
    <w:multiLevelType w:val="hybridMultilevel"/>
    <w:lvl w:ilvl="0">
      <w:lvlJc w:val="left"/>
      <w:lvlText w:val="(%1)"/>
      <w:numFmt w:val="lowerRoman"/>
      <w:start w:val="3"/>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9" Type="http://schemas.openxmlformats.org/officeDocument/2006/relationships/image" Target="media/image13.png"/><Relationship Id="rId49" Type="http://schemas.openxmlformats.org/officeDocument/2006/relationships/image" Target="media/image14.png"/><Relationship Id="rId50" Type="http://schemas.openxmlformats.org/officeDocument/2006/relationships/image" Target="media/image15.png"/><Relationship Id="rId51" Type="http://schemas.openxmlformats.org/officeDocument/2006/relationships/image" Target="media/image16.png"/><Relationship Id="rId52" Type="http://schemas.openxmlformats.org/officeDocument/2006/relationships/image" Target="media/image17.png"/><Relationship Id="rId53" Type="http://schemas.openxmlformats.org/officeDocument/2006/relationships/image" Target="media/image18.png"/><Relationship Id="rId54" Type="http://schemas.openxmlformats.org/officeDocument/2006/relationships/image" Target="media/image19.jpeg"/><Relationship Id="rId55" Type="http://schemas.openxmlformats.org/officeDocument/2006/relationships/image" Target="media/image20.png"/><Relationship Id="rId56" Type="http://schemas.openxmlformats.org/officeDocument/2006/relationships/image" Target="media/image21.png"/><Relationship Id="rId57" Type="http://schemas.openxmlformats.org/officeDocument/2006/relationships/image" Target="media/image22.png"/><Relationship Id="rId58" Type="http://schemas.openxmlformats.org/officeDocument/2006/relationships/image" Target="media/image23.png"/><Relationship Id="rId59" Type="http://schemas.openxmlformats.org/officeDocument/2006/relationships/image" Target="media/image24.png"/><Relationship Id="rId60" Type="http://schemas.openxmlformats.org/officeDocument/2006/relationships/image" Target="media/image25.png"/><Relationship Id="rId20" Type="http://schemas.openxmlformats.org/officeDocument/2006/relationships/hyperlink" Target="https://www.sec.gov/Archives/edgar/data/1779474/000095010320024045/dp142700_ex0201.htm" TargetMode="External"/><Relationship Id="rId21" Type="http://schemas.openxmlformats.org/officeDocument/2006/relationships/hyperlink" Target="https://www.sec.gov/Archives/edgar/data/1779474/000114036121021785/brhc10025756_ex3-1.htm" TargetMode="External"/><Relationship Id="rId22" Type="http://schemas.openxmlformats.org/officeDocument/2006/relationships/hyperlink" Target="https://www.sec.gov/Archives/edgar/data/1779474/000114036121021785/brhc10025756_ex3-2.htm" TargetMode="External"/><Relationship Id="rId23" Type="http://schemas.openxmlformats.org/officeDocument/2006/relationships/hyperlink" Target="https://www.sec.gov/Archives/edgar/data/1779474/000114036121021785/brhc10025756_ex4-1.htm" TargetMode="External"/><Relationship Id="rId24" Type="http://schemas.openxmlformats.org/officeDocument/2006/relationships/hyperlink" Target="https://www.sec.gov/Archives/edgar/data/1779474/000114036121021785/brhc10025756_ex4-2.htm" TargetMode="External"/><Relationship Id="rId25" Type="http://schemas.openxmlformats.org/officeDocument/2006/relationships/hyperlink" Target="https://www.sec.gov/Archives/edgar/data/1779474/000095010319010751/dp111173_ex0401.htm" TargetMode="External"/><Relationship Id="rId26" Type="http://schemas.openxmlformats.org/officeDocument/2006/relationships/hyperlink" Target="https://www.sec.gov/Archives/edgar/data/1779474/000114036121021785/brhc10025756_ex10-1.htm" TargetMode="External"/><Relationship Id="rId27" Type="http://schemas.openxmlformats.org/officeDocument/2006/relationships/hyperlink" Target="https://www.sec.gov/Archives/edgar/data/1779474/000114036121021785/brhc10025756_ex10-2.htm" TargetMode="External"/><Relationship Id="rId28" Type="http://schemas.openxmlformats.org/officeDocument/2006/relationships/hyperlink" Target="https://www.sec.gov/Archives/edgar/data/1779474/000114036121021785/brhc10025756_ex10-3.htm" TargetMode="External"/><Relationship Id="rId29" Type="http://schemas.openxmlformats.org/officeDocument/2006/relationships/hyperlink" Target="https://www.sec.gov/Archives/edgar/data/1779474/000095010320024045/dp142700_ex1001.htm" TargetMode="External"/><Relationship Id="rId30" Type="http://schemas.openxmlformats.org/officeDocument/2006/relationships/hyperlink" Target="https://www.sec.gov/Archives/edgar/data/1779474/000114036121021785/brhc10025756_ex10-5.htm" TargetMode="External"/><Relationship Id="rId31" Type="http://schemas.openxmlformats.org/officeDocument/2006/relationships/hyperlink" Target="https://www.sec.gov/Archives/edgar/data/1779474/000114036121021785/brhc10025756_ex10-6.htm" TargetMode="External"/><Relationship Id="rId32" Type="http://schemas.openxmlformats.org/officeDocument/2006/relationships/hyperlink" Target="https://www.sec.gov/Archives/edgar/data/1779474/000114036121021785/brhc10025756_ex10-7.htm" TargetMode="External"/><Relationship Id="rId33" Type="http://schemas.openxmlformats.org/officeDocument/2006/relationships/hyperlink" Target="https://www.sec.gov/Archives/edgar/data/1779474/000114036121021785/brhc10025756_ex10-7a.htm" TargetMode="External"/><Relationship Id="rId34" Type="http://schemas.openxmlformats.org/officeDocument/2006/relationships/hyperlink" Target="https://www.sec.gov/Archives/edgar/data/1779474/000114036121021785/brhc10025756_ex10-7b.htm" TargetMode="External"/><Relationship Id="rId35" Type="http://schemas.openxmlformats.org/officeDocument/2006/relationships/hyperlink" Target="https://www.sec.gov/Archives/edgar/data/1779474/000114036121021785/brhc10025756_ex10-8.htm" TargetMode="External"/><Relationship Id="rId36" Type="http://schemas.openxmlformats.org/officeDocument/2006/relationships/hyperlink" Target="https://www.sec.gov/Archives/edgar/data/1779474/000114036121021785/brhc10025756_ex10-9.htm" TargetMode="External"/><Relationship Id="rId37" Type="http://schemas.openxmlformats.org/officeDocument/2006/relationships/hyperlink" Target="https://www.sec.gov/Archives/edgar/data/1779474/000114036121021785/brhc10025756_ex10-10.htm" TargetMode="External"/><Relationship Id="rId38" Type="http://schemas.openxmlformats.org/officeDocument/2006/relationships/hyperlink" Target="https://www.sec.gov/Archives/edgar/data/1779474/000114036121021785/brhc10025756_ex10-11.htm" TargetMode="External"/><Relationship Id="rId40" Type="http://schemas.openxmlformats.org/officeDocument/2006/relationships/hyperlink" Target="https://www.sec.gov/Archives/edgar/data/1779474/000114036121021785/brhc10025756_ex10-12.htm" TargetMode="External"/><Relationship Id="rId41" Type="http://schemas.openxmlformats.org/officeDocument/2006/relationships/hyperlink" Target="https://www.sec.gov/Archives/edgar/data/1779474/000114036121021785/brhc10025756_ex10-13.htm" TargetMode="External"/><Relationship Id="rId42" Type="http://schemas.openxmlformats.org/officeDocument/2006/relationships/hyperlink" Target="https://www.sec.gov/Archives/edgar/data/1779474/000114036121021785/brhc10025756_ex10-14.htm" TargetMode="External"/><Relationship Id="rId43" Type="http://schemas.openxmlformats.org/officeDocument/2006/relationships/hyperlink" Target="https://www.sec.gov/Archives/edgar/data/1779474/000114036121021785/brhc10025756_ex10-15.htm" TargetMode="External"/><Relationship Id="rId44" Type="http://schemas.openxmlformats.org/officeDocument/2006/relationships/hyperlink" Target="https://www.sec.gov/Archives/edgar/data/1779474/000114036121021785/brhc10025756_ex10-16.htm" TargetMode="External"/><Relationship Id="rId45" Type="http://schemas.openxmlformats.org/officeDocument/2006/relationships/hyperlink" Target="https://www.sec.gov/Archives/edgar/data/1779474/000114036121021785/brhc10025756_ex10-17.htm" TargetMode="External"/><Relationship Id="rId46" Type="http://schemas.openxmlformats.org/officeDocument/2006/relationships/hyperlink" Target="https://www.sec.gov/Archives/edgar/data/1779474/000114036121021785/brhc10025756_ex16-1.htm" TargetMode="External"/><Relationship Id="rId47" Type="http://schemas.openxmlformats.org/officeDocument/2006/relationships/hyperlink" Target="https://www.sec.gov/Archives/edgar/data/1779474/000114036121021785/brhc10025756_ex21-1.htm" TargetMode="External"/><Relationship Id="rId48" Type="http://schemas.openxmlformats.org/officeDocument/2006/relationships/hyperlink" Target="https://www.sec.gov/Archives/edgar/data/1779474/000114036121023775/nt10026588x1_ex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2021-07-15T16:19:30Z</dcterms:created>
  <dcterms:modified xsi:type="dcterms:W3CDTF">2021-07-15T16:19:30Z</dcterms:modified>
</cp:coreProperties>
</file>