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100330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107315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 Filed by a Party other than the Registrant </w:t>
      </w:r>
      <w:r>
        <w:rPr>
          <w:rFonts w:ascii="MS PGothic" w:cs="MS PGothic" w:eastAsia="MS PGothic" w:hAnsi="MS PGothic"/>
          <w:sz w:val="18"/>
          <w:szCs w:val="18"/>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SILVER SPIKE ACQUISITION CORP.</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150495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 (1) and 0-11.</w:t>
      </w:r>
    </w:p>
    <w:p>
      <w:pPr>
        <w:spacing w:after="0" w:line="333"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00" w:right="20" w:hanging="405"/>
        <w:spacing w:after="0" w:line="282" w:lineRule="auto"/>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3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8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3"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531495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197485</wp:posOffset>
            </wp:positionV>
            <wp:extent cx="5666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-161925</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-548005</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-933450</wp:posOffset>
            </wp:positionV>
            <wp:extent cx="5666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-2270760</wp:posOffset>
            </wp:positionV>
            <wp:extent cx="5666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-2656840</wp:posOffset>
            </wp:positionV>
            <wp:extent cx="5666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-3042285</wp:posOffset>
            </wp:positionV>
            <wp:extent cx="5666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-3565525</wp:posOffset>
            </wp:positionV>
            <wp:extent cx="5666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-3950970</wp:posOffset>
            </wp:positionV>
            <wp:extent cx="56661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342900</wp:posOffset>
            </wp:positionV>
            <wp:extent cx="6172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394335</wp:posOffset>
            </wp:positionV>
            <wp:extent cx="617220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660"/>
          </w:cols>
          <w:pgMar w:left="1080" w:top="223" w:right="1159" w:bottom="1440" w:gutter="0" w:footer="0" w:header="0"/>
        </w:sectPr>
      </w:pPr>
    </w:p>
    <w:bookmarkStart w:id="1" w:name="page2"/>
    <w:bookmarkEnd w:id="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SILVER SPIKE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Number 352066)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660 Madison Ave., Suite 1600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10065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IN LIEU OF ANNUAL GENERAL MEETING</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SILVER SPIKE ACQUISITION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10:30 a.m. Eastern Time on January 13, 2021</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OF SILVER SPIKE CAPITAL ACQUISITION CORP.:</w:t>
      </w:r>
    </w:p>
    <w:p>
      <w:pPr>
        <w:spacing w:after="0" w:line="117"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extraordinary general meeting (the “Extraordinary General Meeting”) of Silver Spike Acquisition Corp. (“we,” “us,” “our,” “SSPK” or the “Company”) to be held at 10:30 a.m. Eastern Time on January 13, 2021 at the offices of the Company, located at 660 Madison Ave., Suite 1600, New York, New York 10065. The accompanying proxy statement (the “Proxy Statement”), is dated December 21, 2020, and is first being mailed to shareholders of the Company on or about December 21, 2020. The sole purpose of the Extraordinary General Meeting is to consider and vote upon the following proposals:</w:t>
      </w:r>
    </w:p>
    <w:p>
      <w:pPr>
        <w:spacing w:after="0" w:line="79" w:lineRule="exact"/>
        <w:rPr>
          <w:sz w:val="20"/>
          <w:szCs w:val="20"/>
          <w:color w:val="auto"/>
        </w:rPr>
      </w:pPr>
    </w:p>
    <w:p>
      <w:pPr>
        <w:ind w:left="1000" w:right="319" w:hanging="348"/>
        <w:spacing w:after="0" w:line="253"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Company’s amended and restated memorandum and articles of association (the “Articles”) pursuant to an amendment to the Articles in the form set forth in Annex A to the accompanying Proxy Statement (the “Extension Amendment” and such proposal the “Extension Amendment Proposal”) to extend the date by which, if the Company has not consummated a merger, amalgamation, share exchange, asset acquisition, share purchase, reorganization or similar business combination with one or more businesses (a “business combination”), the Company must (i) cease all operations except for the purpose of winding up; (ii) redeem all of the Company’s Class A ordinary shares included as part of the units sold in the Company’s initial public offering that was consummated on August 12, 2019 (the “IPO”); and (iii) liquidate and dissolve, from February 12, 2021 to July 10, 2021 (the “Extension,” and such later date, the “Extended Date”);</w:t>
      </w:r>
    </w:p>
    <w:p>
      <w:pPr>
        <w:spacing w:after="0" w:line="86"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re-appoint Scott Gordon and William Healy as Class 1 directors, with each such director to serve until the second annual general meeting following this extraordinary general meeting and, in each case, until his successor is appointed and qualified (the “Director Proposal”);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Extraordinary General Meeting to a later date or dates, if necessary, to permit further solicitation and vote of proxies in the event that there are insufficient votes for, or otherwise in connection with, the approval of the Extension Amendment Proposal or the Director Proposal (the “Adjournment Proposal”). The Adjournment Proposal will only be presented at the Extraordinary General Meeting if there are not sufficient votes to approve the Extension Amendment Proposal.</w:t>
      </w:r>
    </w:p>
    <w:p>
      <w:pPr>
        <w:spacing w:after="0" w:line="7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Each of the Extension Amendment Proposal, the Director Proposal and the Adjournment Proposal is more fully described in the accompanying Proxy Statement.</w:t>
      </w:r>
    </w:p>
    <w:p>
      <w:pPr>
        <w:spacing w:after="0" w:line="5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purpose of the Extension Amendment is to allow us more time to complete our proposed initial business combination (the “WM business combination”) with WM Holding Company, LLC (“WMH”) pursuant to the Agreement and Plan of Merger, dated as of December 10, 2020 (as it may be amended, the “Merger Agreement”), by and among the Company, Silver Spike Merger Sub LLC (“Merger Sub”), WMH and Ghost Media Group, LLC, solely in its capacity as the initial Holder Representative. The Articles provide that we have until February 12, 2021 to complete a business combination. While we have entered into the Merger Agreement, our board currently believes that there may not be sufficient time before February 12, 2021 to hold an extraordinary general meeting for shareholder approval of the WM business combination and to consummate the WM business combination. Accordingly, our board believes that in order to be able to consummate the WM business combination, we may need to obtain the Extension. Therefore, our board has determined that it is in the best interests of our shareholders to extend the date that we have to consummate a business combination to the Extended Date.</w:t>
      </w:r>
    </w:p>
    <w:p>
      <w:pPr>
        <w:spacing w:after="0" w:line="84" w:lineRule="exact"/>
        <w:rPr>
          <w:sz w:val="20"/>
          <w:szCs w:val="20"/>
          <w:color w:val="auto"/>
        </w:rPr>
      </w:pPr>
    </w:p>
    <w:p>
      <w:pPr>
        <w:ind w:left="300" w:right="519" w:firstLine="360"/>
        <w:spacing w:after="0" w:line="281" w:lineRule="auto"/>
        <w:rPr>
          <w:sz w:val="20"/>
          <w:szCs w:val="20"/>
          <w:color w:val="auto"/>
        </w:rPr>
      </w:pPr>
      <w:r>
        <w:rPr>
          <w:rFonts w:ascii="Times New Roman" w:cs="Times New Roman" w:eastAsia="Times New Roman" w:hAnsi="Times New Roman"/>
          <w:sz w:val="17"/>
          <w:szCs w:val="17"/>
          <w:color w:val="auto"/>
        </w:rPr>
        <w:t>In connection with the Extension Amendment Proposal, public shareholders may elect to redeem their public shares at a per-share price, payable in cash, equal to the aggregate amount then on deposit in the trust account (the “Trust Account”), including interest (which interest shall be net of taxes payable), divided by the number of then outstanding Class A ordinary shares included as part of the units sold in the IPO (the “public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90170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which election we refer to as the “Election.” An Election can be made regardless of whether such public shareholders vote “FOR” or “AGAINST” the Extension Amendment Proposal and an Election can also be made by public shareholders who do not vote, or do not instruct their broker or bank how to vote, at the Extraordinary General Meeting. Holders of public shares (the “public shareholders”) may make an Election regardless of whether such public shareholders were holders as of the record date. Public shareholders who do not make the Election would be entitled to have their shares redeemed for cash if we have not completed a business combination by the Extended Date. In addition, regardless of whether public shareholders vote “FOR” or “AGAINST” the Extension Amendment Proposal, or do not vote, or do not instruct their broker or bank how to vote, at the Extraordinary General Meeting, if the Extension is implemented and a public shareholder does not make an Election, they will retain the right to vote on the WM business combination in the future and the right to redeem their public shares at a per-share price, payable in cash, equal to the aggregate amount then on deposit in the Trust Account as of two business days prior to the consummation of such business combination, including interest (which interest shall be net of taxes payable), divided by the number of then outstanding public shares, in the event the WM business combination is completed. We are not asking you to vote on the WM business combination at this time.</w:t>
      </w:r>
    </w:p>
    <w:p>
      <w:pPr>
        <w:spacing w:after="0" w:line="8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Based upon the amount in the Trust Account as of September 30, 2020, which was $254,115,791, we anticipate that the per-share price at which public shares will be redeemed from cash held in the Trust Account will be approximately $10.16 at the time of the Extraordinary General Meeting. The closing price of the public shares on The Nasdaq Stock Market LLC on December 21, 2020, the most recent practicable closing price prior to the mailing of this Proxy Statement, was $12.50. We cannot assure shareholders that they will be able to sell their shares in the open market, even if the market price per share is higher than the redemption price stated above, as there may not be sufficient liquidity in our securities when such shareholders wish to sell their shares.</w:t>
      </w:r>
    </w:p>
    <w:p>
      <w:pPr>
        <w:spacing w:after="0" w:line="7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TO DEMAND REDEMPTION, PRIOR TO 5:00 P.M. EASTERN TIME ON JANUARY 11, 2021 (TWO BUSINESS DAYS BEFORE THE EXTRAORDINARY GENERAL MEETING), YOU SHOULD ELECT EITHER TO PHYSICALLY TENDER YOUR SHARE CERTIFICATES TO CONTINENTAL STOCK TRANSFER &amp; TRUST COMPANY OR TO DELIVER YOUR SHARES TO THE TRANSFER AGENT ELECTRONICALLY USING DTC’S DWAC (DEPOSIT/WITHDRAWAL AT CUSTODIAN), AS DESCRIBED HEREIN. YOU SHOULD ENSURE THAT YOUR BANK OR BROKER COMPLIES WITH THE REQUIREMENTS IDENTIFIED ELSEWHERE HEREIN.</w:t>
      </w:r>
    </w:p>
    <w:p>
      <w:pPr>
        <w:spacing w:after="0" w:line="7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Extraordinary General Meeting to a later date or dates to permit further solicitation of proxies. The Adjournment Proposal will only be presented to our shareholders in the event that there are insufficient votes for, or otherwise in connection with, the approval of the Extension Amendment Proposal.</w:t>
      </w:r>
    </w:p>
    <w:p>
      <w:pPr>
        <w:spacing w:after="0" w:line="7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84"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There will be no redemption rights or liquidating distributions with respect to our warrants, which will expire worthless in the event of our winding up. In the event of a liquidation, holders of our Class B ordinary shares (the “founder shares” and, together with the public shares, the “shares” or “ordinary shares”), including Silver Spike Sponsor, LLC (our “Sponsor”), will not receive any monies held in the Trust Account as a result of their ownership of founder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The approval of the Extension Amendment Proposal requires a special resolution under Cayman Islands law, being the affirmative vote of the holders of at least two-thirds of the then issued and outstanding ordinary shares who, being present and entitled to vote at the Extraordinary General Meeting, actually vote at the Extraordinary General Meeting.</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under Cayman Islands law, being the affirmative vote of the holders of a majority of the then issued and outstanding ordinary shares who, being present and entitled to vote at the Extraordinary General Meeting, vote at the Extraordinary General Meeting.</w:t>
      </w:r>
    </w:p>
    <w:p>
      <w:pPr>
        <w:spacing w:after="0" w:line="68" w:lineRule="exact"/>
        <w:rPr>
          <w:sz w:val="20"/>
          <w:szCs w:val="20"/>
          <w:color w:val="auto"/>
        </w:rPr>
      </w:pPr>
    </w:p>
    <w:p>
      <w:pPr>
        <w:ind w:left="300" w:right="719" w:firstLine="360"/>
        <w:spacing w:after="0" w:line="261" w:lineRule="auto"/>
        <w:rPr>
          <w:sz w:val="20"/>
          <w:szCs w:val="20"/>
          <w:color w:val="auto"/>
        </w:rPr>
      </w:pPr>
      <w:r>
        <w:rPr>
          <w:rFonts w:ascii="Times New Roman" w:cs="Times New Roman" w:eastAsia="Times New Roman" w:hAnsi="Times New Roman"/>
          <w:sz w:val="18"/>
          <w:szCs w:val="18"/>
          <w:color w:val="auto"/>
        </w:rPr>
        <w:t>Our board has fixed the close of business on December 18, 2020 as the record date for determining the shareholders entitled to receive notice of and vote at the Extraordinary General Meeting and any adjournment thereof. Only holders of record of the ordinary shares on that date are entitled to have their votes counted at the Extraordinary General Meeting or any adjournment thereof.</w:t>
      </w:r>
    </w:p>
    <w:p>
      <w:pPr>
        <w:spacing w:after="0" w:line="68" w:lineRule="exact"/>
        <w:rPr>
          <w:sz w:val="20"/>
          <w:szCs w:val="20"/>
          <w:color w:val="auto"/>
        </w:rPr>
      </w:pPr>
    </w:p>
    <w:p>
      <w:pPr>
        <w:ind w:left="30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of all relevant factors, our board has determined that the Extension Amendment Proposal and, if presented, the Adjournment Proposal are advisable and recommends that you vote or give instruction to vote “FOR” such proposals.</w:t>
      </w:r>
    </w:p>
    <w:p>
      <w:pPr>
        <w:spacing w:after="0" w:line="67"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Under our amended and restated memorandum and articles of association, no other business may be transacted at the Extraordinary General Meeting.</w:t>
      </w:r>
    </w:p>
    <w:p>
      <w:pPr>
        <w:spacing w:after="0" w:line="54"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Extension Amendment Proposal, the Adjournment Proposal and the Extraordinary General Meeting. Whether or not you plan to attend the Extraordinary General Meeting, we urge you to read this material carefully and vote your ordinary shares.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21, 2020</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113" w:lineRule="exact"/>
        <w:rPr>
          <w:sz w:val="20"/>
          <w:szCs w:val="20"/>
          <w:color w:val="auto"/>
        </w:rPr>
      </w:pPr>
    </w:p>
    <w:p>
      <w:pPr>
        <w:ind w:left="300" w:right="45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Your vote is important. If you are a shareholder of record, please sign, date and return your proxy card as soon as possible to make sure that your shares are represented at the Extraordinary General Meeting.</w:t>
      </w:r>
    </w:p>
    <w:p>
      <w:pPr>
        <w:spacing w:after="0" w:line="1"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b w:val="1"/>
          <w:bCs w:val="1"/>
          <w:color w:val="auto"/>
        </w:rPr>
        <w:t>If you are a shareholder of record, you may also cast your vote in person at the Extraordinary General Meeting. If your shares are held in an account at a brokerage firm or bank, you must instruct your broker or bank how to vote your shares, or you may cast your vote in person at the Extraordinary General Meeting by obtaining a proxy from your brokerage firm or bank. Your failure to vote or instruct your broker or bank how to vote will mean that your ordinary shares will not count towards the quorum requirement for the Extraordinary General Meeting and will not be voted. An abstention or broker non-vote will be counted towards the quorum requirement but will not count as a vote cast at the Extraordinary General Meeting.</w:t>
      </w:r>
    </w:p>
    <w:p>
      <w:pPr>
        <w:spacing w:after="0" w:line="76"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Extraordinary General Meeting to be held on January 13, 2021: This notice of extraordinary general meeting and the accompanying Proxy Statement are available at www.proxyvote.com.</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1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191135</wp:posOffset>
            </wp:positionV>
            <wp:extent cx="1097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1"/>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5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8120" w:type="dxa"/>
            <w:vAlign w:val="bottom"/>
            <w:gridSpan w:val="6"/>
            <w:shd w:val="clear" w:color="auto" w:fill="CCEEFF"/>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Notice of Extraordinary General Meeting in Lieu of Annual General Meeting of Silver Spike Acquisition</w:t>
              </w:r>
            </w:hyperlink>
          </w:p>
        </w:tc>
        <w:tc>
          <w:tcPr>
            <w:tcW w:w="2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38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Corp.</w:t>
              </w:r>
            </w:hyperlink>
          </w:p>
        </w:tc>
        <w:tc>
          <w:tcPr>
            <w:tcW w:w="5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5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6"/>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Proxy Statement</w:t>
              </w:r>
            </w:hyperlink>
          </w:p>
        </w:tc>
        <w:tc>
          <w:tcPr>
            <w:tcW w:w="30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Questions and Answers About the Extraordinary General Meeting</w:t>
              </w:r>
            </w:hyperlink>
          </w:p>
        </w:tc>
        <w:tc>
          <w:tcPr>
            <w:tcW w:w="300" w:type="dxa"/>
            <w:vAlign w:val="bottom"/>
            <w:tcBorders>
              <w:right w:val="single" w:sz="8" w:color="CCEEFF"/>
            </w:tcBorders>
            <w:gridSpan w:val="2"/>
            <w:shd w:val="clear" w:color="auto" w:fill="CCEEFF"/>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5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Forward-Looking Statements</w:t>
              </w:r>
            </w:hyperlink>
          </w:p>
        </w:tc>
        <w:tc>
          <w:tcPr>
            <w:tcW w:w="30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15</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Background</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16</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The Extension Amendment</w:t>
              </w:r>
            </w:hyperlink>
          </w:p>
        </w:tc>
        <w:tc>
          <w:tcPr>
            <w:tcW w:w="30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17</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United States Federal Income Tax Considerations for Shareholders Exercising Redemption Rights</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20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The Extraordinary General Meeting</w:t>
              </w:r>
            </w:hyperlink>
          </w:p>
        </w:tc>
        <w:tc>
          <w:tcPr>
            <w:tcW w:w="30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25</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The Adjournment Proposal</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Beneficial Ownership of Securities</w:t>
              </w:r>
            </w:hyperlink>
          </w:p>
        </w:tc>
        <w:tc>
          <w:tcPr>
            <w:tcW w:w="30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31</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Submission of Shareholder Proposals for the 2021 Annual general meeting</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33</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Householding Information</w:t>
              </w:r>
            </w:hyperlink>
          </w:p>
        </w:tc>
        <w:tc>
          <w:tcPr>
            <w:tcW w:w="30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33</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Where You Can Find More Information</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34</w:t>
              </w:r>
            </w:hyperlink>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120" w:type="dxa"/>
            <w:vAlign w:val="bottom"/>
            <w:gridSpan w:val="6"/>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Annex A Proposed Amendments to the Amended and Restated Memorandum and Articles of Association of</w:t>
              </w:r>
            </w:hyperlink>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Silver Spike Acquisition Corp.</w:t>
              </w:r>
            </w:hyperlink>
          </w:p>
        </w:tc>
        <w:tc>
          <w:tcPr>
            <w:tcW w:w="340" w:type="dxa"/>
            <w:vAlign w:val="bottom"/>
          </w:tcPr>
          <w:p>
            <w:pPr>
              <w:spacing w:after="0"/>
              <w:rPr>
                <w:sz w:val="17"/>
                <w:szCs w:val="17"/>
                <w:color w:val="auto"/>
              </w:rPr>
            </w:pPr>
          </w:p>
        </w:tc>
        <w:tc>
          <w:tcPr>
            <w:tcW w:w="1600" w:type="dxa"/>
            <w:vAlign w:val="bottom"/>
            <w:gridSpan w:val="3"/>
          </w:tcPr>
          <w:p>
            <w:pPr>
              <w:jc w:val="right"/>
              <w:ind w:right="1320"/>
              <w:spacing w:after="0" w:line="196" w:lineRule="exact"/>
              <w:rPr>
                <w:rFonts w:ascii="Times New Roman" w:cs="Times New Roman" w:eastAsia="Times New Roman" w:hAnsi="Times New Roman"/>
                <w:sz w:val="18"/>
                <w:szCs w:val="18"/>
                <w:u w:val="single" w:color="auto"/>
                <w:color w:val="0000EE"/>
                <w:w w:val="92"/>
              </w:rPr>
            </w:pPr>
            <w:hyperlink w:anchor="page40">
              <w:r>
                <w:rPr>
                  <w:rFonts w:ascii="Times New Roman" w:cs="Times New Roman" w:eastAsia="Times New Roman" w:hAnsi="Times New Roman"/>
                  <w:sz w:val="18"/>
                  <w:szCs w:val="18"/>
                  <w:u w:val="single" w:color="auto"/>
                  <w:color w:val="0000EE"/>
                  <w:w w:val="92"/>
                </w:rPr>
                <w:t>A-1</w:t>
              </w:r>
            </w:hyperlink>
          </w:p>
        </w:tc>
      </w:tr>
      <w:tr>
        <w:trPr>
          <w:trHeight w:val="203"/>
        </w:trPr>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top w:val="single" w:sz="8" w:color="0000EE"/>
              <w:bottom w:val="single" w:sz="8" w:color="auto"/>
            </w:tcBorders>
          </w:tcPr>
          <w:p>
            <w:pPr>
              <w:spacing w:after="0"/>
              <w:rPr>
                <w:sz w:val="17"/>
                <w:szCs w:val="17"/>
                <w:color w:val="auto"/>
              </w:rPr>
            </w:pPr>
          </w:p>
        </w:tc>
        <w:tc>
          <w:tcPr>
            <w:tcW w:w="1820" w:type="dxa"/>
            <w:vAlign w:val="bottom"/>
            <w:tcBorders>
              <w:top w:val="single" w:sz="8" w:color="0000EE"/>
              <w:bottom w:val="single" w:sz="8" w:color="auto"/>
            </w:tcBorders>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-3256915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5" w:name="page6"/>
    <w:bookmarkEnd w:id="5"/>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SILVER SPIKE ACQUISITION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Number 352066)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660 Madison Ave., Suite 1600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10065</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EXTRAORDINARY GENERAL MEETING IN LIEU OF ANNUAL GENERAL MEETING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SILVER SPIKE ACQUISITION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at 10:30 a.m. Eastern Time on January 13, 2021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extraordinary general meeting (the “Extraordinary General Meeting”) of Silver Spike Acquisition Corp. (“we,” “us,” “our,” “SSPK” or the “Company”) will be held at 10:30 a.m. Eastern Time on January 13, 2021 at the offices of the Company, located at 660 Madison Ave., Suite 1600, New York, New York 10065, for the sole purpose of considering and voting upon the following proposals:</w:t>
      </w:r>
    </w:p>
    <w:p>
      <w:pPr>
        <w:spacing w:after="0" w:line="72" w:lineRule="exact"/>
        <w:rPr>
          <w:sz w:val="20"/>
          <w:szCs w:val="20"/>
          <w:color w:val="auto"/>
        </w:rPr>
      </w:pPr>
    </w:p>
    <w:p>
      <w:pPr>
        <w:ind w:left="1000" w:right="319" w:hanging="348"/>
        <w:spacing w:after="0" w:line="253"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Company’s amended and restated memorandum and articles of association (the “Articles”) pursuant to an amendment to the Articles in the form set forth in Annex A to the accompanying Proxy Statement (the “Extension Amendment” and such proposal the “Extension Amendment Proposal”) to extend the date by which, if the Company has not consummated a merger, amalgamation, share exchange, asset acquisition, share purchase, reorganization or similar business combination with one or more businesses (a “business combination”), the Company must (i) cease all operations except for the purpose of winding up; (ii) redeem all of the Company’s Class A ordinary shares included as part of the units sold in the Company’s initial public offering that was consummated on August 12, 2019 (the “IPO”); and (iii) liquidate and dissolve, from February 12, 2021 to July 10, 2021 (the “Extension,” and such later date, the “Extended Date”);</w:t>
      </w:r>
    </w:p>
    <w:p>
      <w:pPr>
        <w:spacing w:after="0" w:line="86"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re-appoint Scott Gordon and William Healy as Class 1 directors, with each such director to serve until the second annual general meeting following this extraordinary general meeting and, in each case, until his successor is appointed and qualified (the “Director Proposal”);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Extraordinary General Meeting to a later date or dates, if necessary, to permit further solicitation and vote of proxies in the event that there are insufficient votes for, or otherwise in connection with, the approval of the Extension Amendment Proposal or the Director Proposal (the “Adjournment Proposal”). The Adjournment Proposal will only be presented at the Extraordinary General Meeting if there are not sufficient votes to approve the Extension Amendment Proposal.</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purpose of the Extension Amendment is to allow us more time to complete our proposed business combination (the “WM business combination”) with WM Holding Company, LLC (“WMH”) pursuant to the Agreement and Plan of Merger, dated as of December 10, 2020 (as it may be amended, the “Merger Agreement”), by and among the Company, Silver Spike Merger Sub LLC (“Merger Sub”), WMH and Ghost Media Group, LLC, solely in its capacity as the initial Holder Representative. The Articles provide that we have until February 12, 2021 to complete a business combination. While we have entered into the Merger Agreement, our board currently believes that there may not be sufficient time before February 12, 2021 to hold an extraordinary general meeting for shareholder approval of the WM business combination and to consummate the WM business combination. Accordingly, our board believes that in order to be able to consummate the WM business combination, we may need to obtain the Extension. Therefore, our board has determined that it is in the best interests of our shareholders to extend the date that we have to consummate a business combination to the Extended Date.</w:t>
      </w:r>
    </w:p>
    <w:p>
      <w:pPr>
        <w:spacing w:after="0" w:line="8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Approval of the Extension Amendment Proposal is a condition to the implementation of the Extension. We will not proceed with the Extension if redemptions of our public shares would cause us to have less than $5,000,001 of net tangible assets following approval of the Extension Amendment Proposal.</w:t>
      </w:r>
    </w:p>
    <w:p>
      <w:pPr>
        <w:spacing w:after="0" w:line="68" w:lineRule="exact"/>
        <w:rPr>
          <w:sz w:val="20"/>
          <w:szCs w:val="20"/>
          <w:color w:val="auto"/>
        </w:rPr>
      </w:pPr>
    </w:p>
    <w:p>
      <w:pPr>
        <w:ind w:left="300" w:right="519" w:firstLine="360"/>
        <w:spacing w:after="0" w:line="281" w:lineRule="auto"/>
        <w:rPr>
          <w:sz w:val="20"/>
          <w:szCs w:val="20"/>
          <w:color w:val="auto"/>
        </w:rPr>
      </w:pPr>
      <w:r>
        <w:rPr>
          <w:rFonts w:ascii="Times New Roman" w:cs="Times New Roman" w:eastAsia="Times New Roman" w:hAnsi="Times New Roman"/>
          <w:sz w:val="17"/>
          <w:szCs w:val="17"/>
          <w:color w:val="auto"/>
        </w:rPr>
        <w:t>In connection with the Extension Amendment Proposal, public shareholders may elect to redeem their public shares at a per-share price, payable in cash, equal to the aggregate amount then on deposit in the trust account (the “Trust Account”), including interest (which interest shall be net of taxes payable), divided by the number of then outstanding Class A ordinary shares included as part of the units sold in the IPO (the “public shares”), and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which election we refer to as the “Election.” An Election can be made regardless of whether such public shareholders vote “FOR” or “AGAINST” the Extension Amendment Proposal and an Election can also be made by public shareholders who do not vote, or do not instruct their broker or bank how to vote, at the Extraordinary General Meeting. Holders of public shares (the “public shareholders”) may make an Election regardless of whether such public shareholders were holders as of the record date. Public shareholders who do not make the Election would be entitled to have their shares redeemed for cash if we have not completed a business combination by the Extended Date. In addition, regardless of whether public shareholders vote “FOR” or “AGAINST” the Extension Amendment Proposal, or do not vote, or do not instruct their broker or bank how to vote, at the Extraordinary General Meeting, if the Extension is implemented and a public shareholder does not make an Election, they will retain the right to vote on the WM business combination in the future and the right to redeem their public shares at a per-share price, payable in cash, equal to the aggregate amount then on deposit in the Trust Account as of two business days prior to the consummation of such business combination, including interest (which interest shall be net of taxes payable), divided by the number of then outstanding public shares, in the event such business combination is completed. We are not asking you to vote on any business combination at this time.</w:t>
      </w:r>
    </w:p>
    <w:p>
      <w:pPr>
        <w:spacing w:after="0" w:line="8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withdrawal of funds from the Trust Account in connection with the Election will reduce the amount held in the Trust Account following the Election, and the amount remaining in the Trust Account may be only a small fraction of the approximately $254,115,791 that was in the Trust Account as of September 30, 2020. In such event, we may need to obtain additional funds to complete the WM business combination, including in order to satisfy a condition under the Merger Agreement to WMH’s obligations to consummate the WM business combination that Silver Spike’s Available Cash (as defined in the Merger Agreement) is greater than or equal to $300,000,000, and there can be no assurance that such funds will be available on terms acceptable or at all.</w:t>
      </w:r>
    </w:p>
    <w:p>
      <w:pPr>
        <w:spacing w:after="0" w:line="8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84"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There will be no redemption rights or liquidating distributions with respect to our warrants, which will expire worthless in the event of our winding up. In the event of a liquidation, holders of our Class B ordinary shares (the “founder shares” and, together with the public shares, the “shares” or “ordinary shares”), including Silver Spike Sponsor, LLC (our “Sponsor”), will not receive any monies held in the Trust Account as a result of their ownership of founder shares.</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Based upon the amount in the Trust Account as of September 30, 2020, which was $254,115,791, we anticipate that the per-share price at which public shares will be redeemed from cash held in the Trust Account will be approximately $10.16 at the time of the Extraordinary General Meeting. The closing price of the public shares on The Nasdaq Stock Market LLC (“Nasdaq”) on December 21, 2020, the most recent practicable closing price prior to the mailing of this Proxy Statement, was $12.50. We cannot assure shareholders that they will be able to sell their shares in the open market, even if the market price per share is higher than the redemption price stated above, as there may not be sufficient liquidity in our securities when such shareholders wish to sell their shares.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Approval of the Extension Amendment Proposal will constitute consent for us to instruct the trustee to</w:t>
      </w:r>
    </w:p>
    <w:p>
      <w:pPr>
        <w:spacing w:after="0" w:line="27" w:lineRule="exact"/>
        <w:rPr>
          <w:sz w:val="20"/>
          <w:szCs w:val="20"/>
          <w:color w:val="auto"/>
        </w:rPr>
      </w:pPr>
    </w:p>
    <w:p>
      <w:pPr>
        <w:ind w:left="300" w:right="359" w:hanging="8"/>
        <w:spacing w:after="0" w:line="253" w:lineRule="auto"/>
        <w:tabs>
          <w:tab w:leader="none" w:pos="5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from the Trust Account an amount (the “Withdrawal Amount”) equal to the number of public shares properly redeemed multiplied by the per-share price, equal to the aggregate amount then on deposit in the Trust Account, including interest (which interest shall be net of taxes payable), divided by the number of then outstanding public shares and (ii) deliver to the holders of such redeemed public shares their pro rata portion of the Withdrawal Amount. The remainder of such funds will remain in the Trust Account and will be available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spacing w:after="0" w:line="289" w:lineRule="auto"/>
        <w:rPr>
          <w:sz w:val="20"/>
          <w:szCs w:val="20"/>
          <w:color w:val="auto"/>
        </w:rPr>
      </w:pPr>
      <w:r>
        <w:rPr>
          <w:rFonts w:ascii="Times New Roman" w:cs="Times New Roman" w:eastAsia="Times New Roman" w:hAnsi="Times New Roman"/>
          <w:sz w:val="17"/>
          <w:szCs w:val="17"/>
          <w:color w:val="auto"/>
        </w:rPr>
        <w:t>use by us in connection with consummating the WM business combination on or before the Extended Date. Holders of public shares who do not redeem their public shares now will retain their redemption rights and their ability to vote on any business combination through the Extended Date if the Extension Amendment Proposal is approved.</w:t>
      </w:r>
    </w:p>
    <w:p>
      <w:pPr>
        <w:spacing w:after="0" w:line="50"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Our board has fixed the close of business on December 18, 2020 as the record date for determining the shareholders entitled to receive notice of and vote at the Extraordinary General Meeting and any adjournment thereof. Only holders of record of the ordinary shares on that date are entitled to have their votes counted at the Extraordinary General Meeting or any adjournment thereof. On the record date of the Extraordinary General Meeting, there were 31,250,000 ordinary shares outstanding, of which 25,000,000 were public shares and 6,250,000 were founder shares. The founder shares carry voting rights in connection with the Extension Amendment Proposal and the Adjournment Proposal, and we have been informed by our Sponsor, which holds all 6,250,000 founder shares, that it intends to vote in favor of the Extension Amendment Proposal and the Adjournment Proposal.</w:t>
      </w:r>
    </w:p>
    <w:p>
      <w:pPr>
        <w:spacing w:after="0" w:line="64"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Pursuant to our amended and restated articles of association, until the closing of our initial business combination, only holders of our Class B ordinary shares can appoint or remove directors. Therefore, only holders of Class B ordinary shares will vote on the Director Proposal. The appointment of each director nominee requires the affirmative vote (in person or by proxy) of the holders of a majority of the outstanding Class B ordinary shares entitled to vote and actually cast thereon at the Extraordinary General Meeting, and our Sponsor has informed us that it intends to vote in favor of the Director Proposal.</w:t>
      </w:r>
    </w:p>
    <w:p>
      <w:pPr>
        <w:spacing w:after="0" w:line="79"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contains important information about the Extraordinary General Meeting and the proposals. Please read it carefully and vote your shares.</w:t>
      </w:r>
    </w:p>
    <w:p>
      <w:pPr>
        <w:spacing w:after="0" w:line="5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We will pay for the entire cost of soliciting proxies. We have engaged D.F. King &amp; Co., Inc. (“D.F. King”), to assist in the solicitation of proxies for the Extraordinary General Meeting. We have agreed to pay D.F. King a fee of $10,000. We will also reimburse D.F. King for reasonable out-of-pocket expenses and will indemnify D.F. King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D.F. King &amp; Co., Inc.</w:t>
      </w:r>
    </w:p>
    <w:p>
      <w:pPr>
        <w:jc w:val="center"/>
        <w:spacing w:after="0" w:line="182" w:lineRule="auto"/>
        <w:rPr>
          <w:sz w:val="20"/>
          <w:szCs w:val="20"/>
          <w:color w:val="auto"/>
        </w:rPr>
      </w:pPr>
      <w:r>
        <w:rPr>
          <w:rFonts w:ascii="Times New Roman" w:cs="Times New Roman" w:eastAsia="Times New Roman" w:hAnsi="Times New Roman"/>
          <w:sz w:val="17"/>
          <w:szCs w:val="17"/>
          <w:color w:val="auto"/>
        </w:rPr>
        <w:t>48 Wall Street,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Call Collect: (212) 269-5550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Others Call Toll-Free: (877) 478-5045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SSPK@dfking.com</w:t>
      </w:r>
    </w:p>
    <w:p>
      <w:pPr>
        <w:spacing w:after="0" w:line="99"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is dated December 21, 2020 and is first being mailed to shareholders on or about December 21, 2020.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EXTRAORDINARY GENERAL MEETING</w:t>
      </w:r>
    </w:p>
    <w:p>
      <w:pPr>
        <w:spacing w:after="0" w:line="121"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These Questions and Answers are only summaries of the matters they discuss. They do not contain all of the information that may be important to you. You should read carefully the entire document, including the annexes to this Proxy Statement.</w:t>
      </w:r>
    </w:p>
    <w:p>
      <w:pPr>
        <w:sectPr>
          <w:pgSz w:w="11900" w:h="16838" w:orient="portrait"/>
          <w:cols w:equalWidth="0" w:num="1">
            <w:col w:w="9019"/>
          </w:cols>
          <w:pgMar w:left="1440" w:top="263" w:right="1440" w:bottom="1440" w:gutter="0" w:footer="0" w:header="0"/>
        </w:sectPr>
      </w:pPr>
    </w:p>
    <w:p>
      <w:pPr>
        <w:spacing w:after="0" w:line="266" w:lineRule="exact"/>
        <w:rPr>
          <w:sz w:val="20"/>
          <w:szCs w:val="20"/>
          <w:color w:val="auto"/>
        </w:rPr>
      </w:pPr>
    </w:p>
    <w:p>
      <w:pPr>
        <w:ind w:left="480" w:right="52"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 Why am I receiving this Proxy Statement?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388" w:right="339" w:hanging="388"/>
        <w:spacing w:after="0" w:line="252" w:lineRule="auto"/>
        <w:tabs>
          <w:tab w:leader="none" w:pos="3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blank check company incorporated on June 7, 2019 as a Cayman Islands exempted company and formed for the purpose of effecting a merger, amalgamation, share exchange, asset acquisition, share purchase, reorganization or similar business combination with one or more businesses. On August 12, 2019, we consummated our IPO from which we derived gross proceeds of $250,000,000. Like many blank check companies, our amended and restated memorandum and articles of association (“Articles”) provide for the return of the funds held in trust to the holders of ordinary shares sold in our IPO if there is no qualifying business combination(s) consummated on or before a certain date (in our case, February 12, 2021). Our board has determined that it is in the best interests of our shareholders to extend the date that we have to consummate a business combination to the Extended Date in order to allow us more time to complete the business combination.</w:t>
      </w:r>
    </w:p>
    <w:p>
      <w:pPr>
        <w:spacing w:after="0" w:line="200" w:lineRule="exact"/>
        <w:rPr>
          <w:sz w:val="20"/>
          <w:szCs w:val="20"/>
          <w:color w:val="auto"/>
        </w:rPr>
      </w:pPr>
    </w:p>
    <w:p>
      <w:pPr>
        <w:sectPr>
          <w:pgSz w:w="11900" w:h="16838" w:orient="portrait"/>
          <w:cols w:equalWidth="0" w:num="2">
            <w:col w:w="2812" w:space="720"/>
            <w:col w:w="5487"/>
          </w:cols>
          <w:pgMar w:left="1440" w:top="263" w:right="1440" w:bottom="1440" w:gutter="0" w:footer="0" w:header="0"/>
          <w:type w:val="continuous"/>
        </w:sectPr>
      </w:pP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Q. What is being voted 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388" w:hanging="388"/>
        <w:spacing w:after="0"/>
        <w:tabs>
          <w:tab w:leader="none" w:pos="3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vote on:</w:t>
      </w:r>
    </w:p>
    <w:p>
      <w:pPr>
        <w:spacing w:after="0" w:line="225" w:lineRule="exact"/>
        <w:rPr>
          <w:rFonts w:ascii="Times New Roman" w:cs="Times New Roman" w:eastAsia="Times New Roman" w:hAnsi="Times New Roman"/>
          <w:sz w:val="18"/>
          <w:szCs w:val="18"/>
          <w:color w:val="auto"/>
        </w:rPr>
      </w:pPr>
    </w:p>
    <w:p>
      <w:pPr>
        <w:ind w:left="648" w:right="479" w:hanging="257"/>
        <w:spacing w:after="0" w:line="266" w:lineRule="auto"/>
        <w:tabs>
          <w:tab w:leader="none" w:pos="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our Articles to extend the date by which we have to consummate a business combination from February 12, 2021 to July 10, 2021;</w:t>
      </w:r>
    </w:p>
    <w:p>
      <w:pPr>
        <w:spacing w:after="0" w:line="175" w:lineRule="exact"/>
        <w:rPr>
          <w:rFonts w:ascii="Times New Roman" w:cs="Times New Roman" w:eastAsia="Times New Roman" w:hAnsi="Times New Roman"/>
          <w:sz w:val="18"/>
          <w:szCs w:val="18"/>
          <w:color w:val="auto"/>
        </w:rPr>
      </w:pPr>
    </w:p>
    <w:p>
      <w:pPr>
        <w:ind w:left="648" w:right="519" w:hanging="257"/>
        <w:spacing w:after="0" w:line="258" w:lineRule="auto"/>
        <w:tabs>
          <w:tab w:leader="none" w:pos="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re-appoint Scott Gordon and William Healy as Class 1 directors, with each such director to serve until the second annual general meeting following this extraordinary general meeting and, in each case, until his successor is appointed and qualified; and</w:t>
      </w:r>
    </w:p>
    <w:p>
      <w:pPr>
        <w:spacing w:after="0" w:line="183" w:lineRule="exact"/>
        <w:rPr>
          <w:rFonts w:ascii="Times New Roman" w:cs="Times New Roman" w:eastAsia="Times New Roman" w:hAnsi="Times New Roman"/>
          <w:sz w:val="18"/>
          <w:szCs w:val="18"/>
          <w:color w:val="auto"/>
        </w:rPr>
      </w:pPr>
    </w:p>
    <w:p>
      <w:pPr>
        <w:ind w:left="648" w:right="319" w:hanging="257"/>
        <w:spacing w:after="0" w:line="256" w:lineRule="auto"/>
        <w:tabs>
          <w:tab w:leader="none" w:pos="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Extraordinary General Meeting to a later date or dates, if necessary, to permit further solicitation and vote of proxies in the event that there are insufficient votes for, or otherwise in connection with, the approval of the Extension Amendment Proposal or the Director Proposal.</w:t>
      </w:r>
    </w:p>
    <w:p>
      <w:pPr>
        <w:spacing w:after="0" w:line="349" w:lineRule="exact"/>
        <w:rPr>
          <w:sz w:val="20"/>
          <w:szCs w:val="20"/>
          <w:color w:val="auto"/>
        </w:rPr>
      </w:pPr>
    </w:p>
    <w:p>
      <w:pPr>
        <w:ind w:left="388" w:right="339"/>
        <w:spacing w:after="0" w:line="254" w:lineRule="auto"/>
        <w:rPr>
          <w:sz w:val="20"/>
          <w:szCs w:val="20"/>
          <w:color w:val="auto"/>
        </w:rPr>
      </w:pPr>
      <w:r>
        <w:rPr>
          <w:rFonts w:ascii="Times New Roman" w:cs="Times New Roman" w:eastAsia="Times New Roman" w:hAnsi="Times New Roman"/>
          <w:sz w:val="18"/>
          <w:szCs w:val="18"/>
          <w:color w:val="auto"/>
        </w:rPr>
        <w:t>If the Extension Amendment Proposal is approved, the approval of the Extension Amendment Proposal will constitute consent for us to remove the Withdrawal Amount from the Trust Account and deliver to the holders of redeemed public shares their pro rata portion of the Withdrawal Amount. The remainder of the funds will remain in the Trust Account and will be available for our use in connection with consummating a business combination on or before the Extended Date.</w:t>
      </w:r>
    </w:p>
    <w:p>
      <w:pPr>
        <w:spacing w:after="0" w:line="192" w:lineRule="exact"/>
        <w:rPr>
          <w:sz w:val="20"/>
          <w:szCs w:val="20"/>
          <w:color w:val="auto"/>
        </w:rPr>
      </w:pPr>
    </w:p>
    <w:p>
      <w:pPr>
        <w:ind w:left="388" w:right="459"/>
        <w:spacing w:after="0" w:line="261" w:lineRule="auto"/>
        <w:rPr>
          <w:sz w:val="20"/>
          <w:szCs w:val="20"/>
          <w:color w:val="auto"/>
        </w:rPr>
      </w:pPr>
      <w:r>
        <w:rPr>
          <w:rFonts w:ascii="Times New Roman" w:cs="Times New Roman" w:eastAsia="Times New Roman" w:hAnsi="Times New Roman"/>
          <w:sz w:val="18"/>
          <w:szCs w:val="18"/>
          <w:color w:val="auto"/>
        </w:rPr>
        <w:t>We will not proceed with the Extension if redemptions of our public shares would cause us to have less than $5,000,001 of net tangible assets following approval of the Extension Amendment Proposal.</w:t>
      </w:r>
    </w:p>
    <w:p>
      <w:pPr>
        <w:spacing w:after="0" w:line="180"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812" w:space="720"/>
            <w:col w:w="5487"/>
          </w:cols>
          <w:pgMar w:left="1440" w:top="263" w:right="1440" w:bottom="1440" w:gutter="0" w:footer="0" w:header="0"/>
          <w:type w:val="continuous"/>
        </w:sectPr>
      </w:pPr>
    </w:p>
    <w:bookmarkStart w:id="9" w:name="page10"/>
    <w:bookmarkEnd w:id="9"/>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0" w:hanging="1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Q. Why is the Company proposing the Extension Amendment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388" w:right="399"/>
        <w:spacing w:after="0" w:line="253" w:lineRule="auto"/>
        <w:rPr>
          <w:sz w:val="20"/>
          <w:szCs w:val="20"/>
          <w:color w:val="auto"/>
        </w:rPr>
      </w:pPr>
      <w:r>
        <w:rPr>
          <w:rFonts w:ascii="Times New Roman" w:cs="Times New Roman" w:eastAsia="Times New Roman" w:hAnsi="Times New Roman"/>
          <w:sz w:val="18"/>
          <w:szCs w:val="18"/>
          <w:color w:val="auto"/>
        </w:rPr>
        <w:t>If the Extension Amendment Proposal is approved and the Extension is implemented, the removal of the Withdrawal Amount from the Trust Account in connection with the Election will reduce the amount held in the Trust Account following the Election. We cannot predict the amount that will remain in the Trust Account if the Extension Amendment Proposal is approved and the amount remaining in the Trust Account may be only a small fraction of the approximately $254,115,791 that was in the Trust Account as of September 30, 2020. In such event, we may need to obtain additional funds to complete the WM business combination.</w:t>
      </w:r>
    </w:p>
    <w:p>
      <w:pPr>
        <w:spacing w:after="0" w:line="192" w:lineRule="exact"/>
        <w:rPr>
          <w:sz w:val="20"/>
          <w:szCs w:val="20"/>
          <w:color w:val="auto"/>
        </w:rPr>
      </w:pPr>
    </w:p>
    <w:p>
      <w:pPr>
        <w:ind w:left="388" w:right="339"/>
        <w:spacing w:after="0" w:line="251" w:lineRule="auto"/>
        <w:rPr>
          <w:sz w:val="20"/>
          <w:szCs w:val="20"/>
          <w:color w:val="auto"/>
        </w:rPr>
      </w:pPr>
      <w:r>
        <w:rPr>
          <w:rFonts w:ascii="Times New Roman" w:cs="Times New Roman" w:eastAsia="Times New Roman" w:hAnsi="Times New Roman"/>
          <w:sz w:val="18"/>
          <w:szCs w:val="18"/>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 There will be no redemption rights or liquidating distributions with respect to our warrants, which will expire worthless if we fail to complete a business combination by February 12, 2021. In the event of a liquidation, holders of our founder shares, including our Sponsor, will not receive any monies held in the Trust Account as a result of their ownership of the founder shares.</w:t>
      </w:r>
    </w:p>
    <w:p>
      <w:pPr>
        <w:spacing w:after="0" w:line="367" w:lineRule="exact"/>
        <w:rPr>
          <w:sz w:val="20"/>
          <w:szCs w:val="20"/>
          <w:color w:val="auto"/>
        </w:rPr>
      </w:pPr>
    </w:p>
    <w:p>
      <w:pPr>
        <w:ind w:left="388" w:right="419" w:hanging="388"/>
        <w:spacing w:after="0" w:line="258" w:lineRule="auto"/>
        <w:tabs>
          <w:tab w:leader="none" w:pos="3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provide for the return of the funds held in the Trust Account to the holders of public shares if there is no qualifying business combination(s) consummated on or before February 12, 2021. As we explain below, we may not be able to complete a business combination by that date.</w:t>
      </w:r>
    </w:p>
    <w:p>
      <w:pPr>
        <w:spacing w:after="0" w:line="183" w:lineRule="exact"/>
        <w:rPr>
          <w:rFonts w:ascii="Times New Roman" w:cs="Times New Roman" w:eastAsia="Times New Roman" w:hAnsi="Times New Roman"/>
          <w:sz w:val="18"/>
          <w:szCs w:val="18"/>
          <w:color w:val="auto"/>
        </w:rPr>
      </w:pPr>
    </w:p>
    <w:p>
      <w:pPr>
        <w:ind w:left="388" w:right="5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entered into the Merger Agreement, our board currently believes that there may not be sufficient time before February 12, 2021 to hold an extraordinary general meeting for shareholder approval of the WM business combination and to consummate the WM business combination. Accordingly, our board believes that in order to be able to consummate the</w:t>
      </w:r>
    </w:p>
    <w:p>
      <w:pPr>
        <w:spacing w:after="0" w:line="5" w:lineRule="exact"/>
        <w:rPr>
          <w:rFonts w:ascii="Times New Roman" w:cs="Times New Roman" w:eastAsia="Times New Roman" w:hAnsi="Times New Roman"/>
          <w:sz w:val="18"/>
          <w:szCs w:val="18"/>
          <w:color w:val="auto"/>
        </w:rPr>
      </w:pPr>
    </w:p>
    <w:p>
      <w:pPr>
        <w:ind w:left="3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business combination, we may need to obtain the Extension.</w:t>
      </w:r>
    </w:p>
    <w:p>
      <w:pPr>
        <w:spacing w:after="0" w:line="207"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100" w:space="432"/>
            <w:col w:w="5487"/>
          </w:cols>
          <w:pgMar w:left="1440" w:top="263" w:right="1440" w:bottom="1440" w:gutter="0" w:footer="0" w:header="0"/>
        </w:sectPr>
      </w:pPr>
    </w:p>
    <w:bookmarkStart w:id="10" w:name="page11"/>
    <w:bookmarkEnd w:id="10"/>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0" w:hanging="1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Q. Why should I vote “FOR” the Extension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0" w:right="24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 Why should I vote “FOR” the Adjournment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388" w:right="419"/>
        <w:spacing w:after="0" w:line="268" w:lineRule="auto"/>
        <w:rPr>
          <w:sz w:val="20"/>
          <w:szCs w:val="20"/>
          <w:color w:val="auto"/>
        </w:rPr>
      </w:pPr>
      <w:r>
        <w:rPr>
          <w:rFonts w:ascii="Times New Roman" w:cs="Times New Roman" w:eastAsia="Times New Roman" w:hAnsi="Times New Roman"/>
          <w:sz w:val="17"/>
          <w:szCs w:val="17"/>
          <w:color w:val="auto"/>
        </w:rPr>
        <w:t>Accordingly, our board is proposing the Extension Amendment Proposal to amend our Articles in the form set forth in Annex A hereto to extend the date by which we must (i) consummate a business combination; or (ii) if we fail to consummate a business combination, (A) cease all operations except for the purpose of winding up, (B) redeem all of the Company’s public shares and</w:t>
      </w:r>
    </w:p>
    <w:p>
      <w:pPr>
        <w:spacing w:after="0" w:line="5" w:lineRule="exact"/>
        <w:rPr>
          <w:sz w:val="20"/>
          <w:szCs w:val="20"/>
          <w:color w:val="auto"/>
        </w:rPr>
      </w:pPr>
    </w:p>
    <w:p>
      <w:pPr>
        <w:ind w:left="668" w:hanging="277"/>
        <w:spacing w:after="0"/>
        <w:tabs>
          <w:tab w:leader="none" w:pos="6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and dissolve.</w:t>
      </w:r>
    </w:p>
    <w:p>
      <w:pPr>
        <w:spacing w:after="0" w:line="368" w:lineRule="exact"/>
        <w:rPr>
          <w:rFonts w:ascii="Times New Roman" w:cs="Times New Roman" w:eastAsia="Times New Roman" w:hAnsi="Times New Roman"/>
          <w:sz w:val="18"/>
          <w:szCs w:val="18"/>
          <w:color w:val="auto"/>
        </w:rPr>
      </w:pPr>
    </w:p>
    <w:p>
      <w:pPr>
        <w:ind w:left="388" w:right="359" w:hanging="388"/>
        <w:spacing w:after="0" w:line="255" w:lineRule="auto"/>
        <w:tabs>
          <w:tab w:leader="none" w:pos="3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provide that if our shareholders approve an amendment to our Articles (A) to modify the substance or timing of our obligation to redeem 100% of our public shares if we do not complete a business combination before February 12, 2021 or</w:t>
      </w:r>
    </w:p>
    <w:p>
      <w:pPr>
        <w:spacing w:after="0" w:line="2" w:lineRule="exact"/>
        <w:rPr>
          <w:rFonts w:ascii="Times New Roman" w:cs="Times New Roman" w:eastAsia="Times New Roman" w:hAnsi="Times New Roman"/>
          <w:sz w:val="18"/>
          <w:szCs w:val="18"/>
          <w:color w:val="auto"/>
        </w:rPr>
      </w:pPr>
    </w:p>
    <w:p>
      <w:pPr>
        <w:ind w:left="388" w:right="339" w:firstLine="3"/>
        <w:spacing w:after="0" w:line="251" w:lineRule="auto"/>
        <w:tabs>
          <w:tab w:leader="none" w:pos="67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We believe that this provision of the Articles was included to protect our shareholders from having to sustain their investments for an unreasonably long period if we failed to find a suitable business combination in the timeframe contemplated by the Articles.</w:t>
      </w:r>
    </w:p>
    <w:p>
      <w:pPr>
        <w:spacing w:after="0" w:line="192" w:lineRule="exact"/>
        <w:rPr>
          <w:sz w:val="20"/>
          <w:szCs w:val="20"/>
          <w:color w:val="auto"/>
        </w:rPr>
      </w:pPr>
    </w:p>
    <w:p>
      <w:pPr>
        <w:ind w:left="388" w:right="439"/>
        <w:spacing w:after="0" w:line="257" w:lineRule="auto"/>
        <w:rPr>
          <w:sz w:val="20"/>
          <w:szCs w:val="20"/>
          <w:color w:val="auto"/>
        </w:rPr>
      </w:pPr>
      <w:r>
        <w:rPr>
          <w:rFonts w:ascii="Times New Roman" w:cs="Times New Roman" w:eastAsia="Times New Roman" w:hAnsi="Times New Roman"/>
          <w:sz w:val="18"/>
          <w:szCs w:val="18"/>
          <w:color w:val="auto"/>
        </w:rPr>
        <w:t>Our board believes, however, that given our expenditure of time, effort and money on the WM business combination, circumstances warrant providing those who believe the</w:t>
      </w:r>
    </w:p>
    <w:p>
      <w:pPr>
        <w:spacing w:after="0" w:line="1" w:lineRule="exact"/>
        <w:rPr>
          <w:sz w:val="20"/>
          <w:szCs w:val="20"/>
          <w:color w:val="auto"/>
        </w:rPr>
      </w:pPr>
    </w:p>
    <w:p>
      <w:pPr>
        <w:ind w:left="388" w:right="299"/>
        <w:spacing w:after="0" w:line="252" w:lineRule="auto"/>
        <w:rPr>
          <w:sz w:val="20"/>
          <w:szCs w:val="20"/>
          <w:color w:val="auto"/>
        </w:rPr>
      </w:pPr>
      <w:r>
        <w:rPr>
          <w:rFonts w:ascii="Times New Roman" w:cs="Times New Roman" w:eastAsia="Times New Roman" w:hAnsi="Times New Roman"/>
          <w:sz w:val="18"/>
          <w:szCs w:val="18"/>
          <w:color w:val="auto"/>
        </w:rPr>
        <w:t>WM business combination is an attractive investment with an opportunity to consider such transaction, inasmuch as we are also affording shareholders who wish to redeem their public shares the opportunity to do so, as required under the Articles. If you do not elect to redeem your public shares, you will retain the right to vote on any business combination in the future and the right to redeem your public shares in connection with such business combination.</w:t>
      </w:r>
    </w:p>
    <w:p>
      <w:pPr>
        <w:spacing w:after="0" w:line="188" w:lineRule="exact"/>
        <w:rPr>
          <w:sz w:val="20"/>
          <w:szCs w:val="20"/>
          <w:color w:val="auto"/>
        </w:rPr>
      </w:pPr>
    </w:p>
    <w:p>
      <w:pPr>
        <w:ind w:left="388" w:right="579"/>
        <w:spacing w:after="0" w:line="282" w:lineRule="auto"/>
        <w:rPr>
          <w:sz w:val="20"/>
          <w:szCs w:val="20"/>
          <w:color w:val="auto"/>
        </w:rPr>
      </w:pPr>
      <w:r>
        <w:rPr>
          <w:rFonts w:ascii="Times New Roman" w:cs="Times New Roman" w:eastAsia="Times New Roman" w:hAnsi="Times New Roman"/>
          <w:sz w:val="18"/>
          <w:szCs w:val="18"/>
          <w:color w:val="auto"/>
        </w:rPr>
        <w:t>Our board recommends that you vote in favor of the Extension Amendment Proposal.</w:t>
      </w:r>
    </w:p>
    <w:p>
      <w:pPr>
        <w:spacing w:after="0" w:line="324" w:lineRule="exact"/>
        <w:rPr>
          <w:sz w:val="20"/>
          <w:szCs w:val="20"/>
          <w:color w:val="auto"/>
        </w:rPr>
      </w:pPr>
    </w:p>
    <w:p>
      <w:pPr>
        <w:ind w:left="388" w:right="359" w:hanging="388"/>
        <w:spacing w:after="0" w:line="256" w:lineRule="auto"/>
        <w:tabs>
          <w:tab w:leader="none" w:pos="3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Adjournment Proposal is not approved by our shareholders, our board may not be able to adjourn the Extraordinary General Meeting to a later date or dates in the event that there are insufficient votes for, or otherwise in connection with, the approval of the Extension Amendment Proposal or the Director Proposal.</w:t>
      </w:r>
    </w:p>
    <w:p>
      <w:pPr>
        <w:spacing w:after="0" w:line="200" w:lineRule="exact"/>
        <w:rPr>
          <w:sz w:val="20"/>
          <w:szCs w:val="20"/>
          <w:color w:val="auto"/>
        </w:rPr>
      </w:pPr>
    </w:p>
    <w:p>
      <w:pPr>
        <w:sectPr>
          <w:pgSz w:w="11900" w:h="16838" w:orient="portrait"/>
          <w:cols w:equalWidth="0" w:num="2">
            <w:col w:w="2960" w:space="572"/>
            <w:col w:w="5487"/>
          </w:cols>
          <w:pgMar w:left="1440" w:top="263" w:right="1440" w:bottom="1440" w:gutter="0" w:footer="0" w:header="0"/>
        </w:sectPr>
      </w:pPr>
    </w:p>
    <w:p>
      <w:pPr>
        <w:spacing w:after="0" w:line="145"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 How do the Company insiders intend to vote their shares?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388" w:right="399" w:hanging="388"/>
        <w:spacing w:after="0" w:line="266" w:lineRule="auto"/>
        <w:tabs>
          <w:tab w:leader="none" w:pos="3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owns an aggregate of 6,250,000 founder shares. Such founder shares represent 20% of our issued and outstanding ordinary shares.</w:t>
      </w:r>
    </w:p>
    <w:p>
      <w:pPr>
        <w:spacing w:after="0" w:line="176" w:lineRule="exact"/>
        <w:rPr>
          <w:sz w:val="20"/>
          <w:szCs w:val="20"/>
          <w:color w:val="auto"/>
        </w:rPr>
      </w:pPr>
    </w:p>
    <w:p>
      <w:pPr>
        <w:ind w:left="388" w:right="559"/>
        <w:spacing w:after="0" w:line="282" w:lineRule="auto"/>
        <w:rPr>
          <w:sz w:val="20"/>
          <w:szCs w:val="20"/>
          <w:color w:val="auto"/>
        </w:rPr>
      </w:pPr>
      <w:r>
        <w:rPr>
          <w:rFonts w:ascii="Times New Roman" w:cs="Times New Roman" w:eastAsia="Times New Roman" w:hAnsi="Times New Roman"/>
          <w:sz w:val="18"/>
          <w:szCs w:val="18"/>
          <w:color w:val="auto"/>
        </w:rPr>
        <w:t>The founder shares carry voting rights in connection with the Extension Amendment Proposal, the Director Proposal and the</w:t>
      </w:r>
    </w:p>
    <w:p>
      <w:pPr>
        <w:spacing w:after="0" w:line="162"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60" w:space="272"/>
            <w:col w:w="5487"/>
          </w:cols>
          <w:pgMar w:left="1440" w:top="263" w:right="1440" w:bottom="1440" w:gutter="0" w:footer="0" w:header="0"/>
          <w:type w:val="continuous"/>
        </w:sectPr>
      </w:pPr>
    </w:p>
    <w:bookmarkStart w:id="11" w:name="page12"/>
    <w:bookmarkEnd w:id="1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lef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Q. What vote is required to adopt the Extension Amendment Proposal?</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88" w:right="319"/>
        <w:spacing w:after="0" w:line="261" w:lineRule="auto"/>
        <w:rPr>
          <w:sz w:val="20"/>
          <w:szCs w:val="20"/>
          <w:color w:val="auto"/>
        </w:rPr>
      </w:pPr>
      <w:r>
        <w:rPr>
          <w:rFonts w:ascii="Times New Roman" w:cs="Times New Roman" w:eastAsia="Times New Roman" w:hAnsi="Times New Roman"/>
          <w:sz w:val="18"/>
          <w:szCs w:val="18"/>
          <w:color w:val="auto"/>
        </w:rPr>
        <w:t>Adjournment Proposal, and we have been informed by our Sponsor that it intends to vote in favor of the Extension Amendment Proposal, the Director Proposal and the Adjournment Proposal.</w:t>
      </w:r>
    </w:p>
    <w:p>
      <w:pPr>
        <w:spacing w:after="0" w:line="180" w:lineRule="exact"/>
        <w:rPr>
          <w:sz w:val="20"/>
          <w:szCs w:val="20"/>
          <w:color w:val="auto"/>
        </w:rPr>
      </w:pPr>
    </w:p>
    <w:p>
      <w:pPr>
        <w:ind w:left="388" w:right="319"/>
        <w:spacing w:after="0" w:line="251" w:lineRule="auto"/>
        <w:rPr>
          <w:sz w:val="20"/>
          <w:szCs w:val="20"/>
          <w:color w:val="auto"/>
        </w:rPr>
      </w:pPr>
      <w:r>
        <w:rPr>
          <w:rFonts w:ascii="Times New Roman" w:cs="Times New Roman" w:eastAsia="Times New Roman" w:hAnsi="Times New Roman"/>
          <w:sz w:val="18"/>
          <w:szCs w:val="18"/>
          <w:color w:val="auto"/>
        </w:rPr>
        <w:t>In addition, our Sponsor, directors, officers, advisors or any of their affiliates may purchase public shares in privately negotiated transactions or in the open market prior to the Extraordinary General Meeting. None of our Sponsor, directors, officers, advisors or any of their affiliates have current commitments, plans or intentions to engage in such transactions and have not formulated any terms or conditions for any such transactions. None of the funds in the Trust Account will be used to purchase public shares in such transactions. Any such purchases that are completed after the record date for the Extraordinary General Meeting may include an agreement with a selling shareholder that such shareholder, for so long as it remains the record holder of the shares in question, will vote in favor of the Extension Amendment Proposal and/or will not exercise its redemption rights with respect to the shares so purchased. The purpose of such share purchases and other transactions would be to increase the likelihood that the resolutions to be put to the Extraordinary General Meeting are approved by the requisite number of votes. In the event that such purchases do occur, the purchasers may seek to purchase shares from shareholders who would otherwise have voted against the Extension Amendment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Extension Amendment Proposal.</w:t>
      </w:r>
    </w:p>
    <w:p>
      <w:pPr>
        <w:spacing w:after="0" w:line="365" w:lineRule="exact"/>
        <w:rPr>
          <w:sz w:val="20"/>
          <w:szCs w:val="20"/>
          <w:color w:val="auto"/>
        </w:rPr>
      </w:pPr>
    </w:p>
    <w:p>
      <w:pPr>
        <w:ind w:left="388" w:right="559" w:hanging="388"/>
        <w:spacing w:after="0" w:line="256" w:lineRule="auto"/>
        <w:tabs>
          <w:tab w:leader="none" w:pos="3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Extension Amendment Proposal requires a special resolution under Cayman Islands law, being the affirmative vote of the holders of at least two-thirds of the then issued and outstanding ordinary shares who, being present and entitled to vote at the Extraordinary General Meeting, actually vote at the Extraordinary General Meeting.</w:t>
      </w:r>
    </w:p>
    <w:p>
      <w:pPr>
        <w:spacing w:after="0" w:line="200" w:lineRule="exact"/>
        <w:rPr>
          <w:sz w:val="20"/>
          <w:szCs w:val="20"/>
          <w:color w:val="auto"/>
        </w:rPr>
      </w:pPr>
    </w:p>
    <w:p>
      <w:pPr>
        <w:sectPr>
          <w:pgSz w:w="11900" w:h="16838" w:orient="portrait"/>
          <w:cols w:equalWidth="0" w:num="2">
            <w:col w:w="3020" w:space="512"/>
            <w:col w:w="5487"/>
          </w:cols>
          <w:pgMar w:left="1440" w:top="263" w:right="1440" w:bottom="1440" w:gutter="0" w:footer="0" w:header="0"/>
        </w:sectPr>
      </w:pPr>
    </w:p>
    <w:p>
      <w:pPr>
        <w:spacing w:after="0" w:line="145"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 What vote is required to adopt the Director Proposal?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388" w:right="299" w:hanging="388"/>
        <w:spacing w:after="0" w:line="256" w:lineRule="auto"/>
        <w:tabs>
          <w:tab w:leader="none" w:pos="3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each director nominee requires the affirmative vote (in person or by proxy) of the holders of a majority of the outstanding Class B ordinary shares entitled to vote and actually cast thereon at the Extraordinary General Meeting, and our Sponsor has informed us that it intends to vote in favor of the Director Proposal.</w:t>
      </w:r>
    </w:p>
    <w:p>
      <w:pPr>
        <w:spacing w:after="0" w:line="200" w:lineRule="exact"/>
        <w:rPr>
          <w:sz w:val="20"/>
          <w:szCs w:val="20"/>
          <w:color w:val="auto"/>
        </w:rPr>
      </w:pPr>
    </w:p>
    <w:p>
      <w:pPr>
        <w:sectPr>
          <w:pgSz w:w="11900" w:h="16838" w:orient="portrait"/>
          <w:cols w:equalWidth="0" w:num="2">
            <w:col w:w="3020" w:space="512"/>
            <w:col w:w="5487"/>
          </w:cols>
          <w:pgMar w:left="1440" w:top="263" w:right="1440" w:bottom="1440" w:gutter="0" w:footer="0" w:header="0"/>
          <w:type w:val="continuous"/>
        </w:sectPr>
      </w:pPr>
    </w:p>
    <w:p>
      <w:pPr>
        <w:spacing w:after="0" w:line="145"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 What vote is required to approve the Adjournment Proposal?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388" w:right="339" w:hanging="388"/>
        <w:spacing w:after="0" w:line="256" w:lineRule="auto"/>
        <w:tabs>
          <w:tab w:leader="none" w:pos="3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Proposal requires an ordinary resolution under Cayman Islands law, being the affirmative vote of the holders of a majority of the then issued and outstanding ordinary shares who, being present and entitled to vote at the Extraordinary General Meeting, vote at the Extraordinary General Meeting.</w:t>
      </w:r>
    </w:p>
    <w:p>
      <w:pPr>
        <w:spacing w:after="0" w:line="200" w:lineRule="exact"/>
        <w:rPr>
          <w:sz w:val="20"/>
          <w:szCs w:val="20"/>
          <w:color w:val="auto"/>
        </w:rPr>
      </w:pPr>
    </w:p>
    <w:p>
      <w:pPr>
        <w:spacing w:after="0" w:line="284"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00" w:space="332"/>
            <w:col w:w="5487"/>
          </w:cols>
          <w:pgMar w:left="1440" w:top="263" w:right="1440" w:bottom="1440" w:gutter="0" w:footer="0" w:header="0"/>
          <w:type w:val="continuous"/>
        </w:sectPr>
      </w:pPr>
    </w:p>
    <w:bookmarkStart w:id="12" w:name="page13"/>
    <w:bookmarkEnd w:id="1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33" w:lineRule="exact"/>
        <w:rPr>
          <w:sz w:val="20"/>
          <w:szCs w:val="20"/>
          <w:color w:val="auto"/>
        </w:rPr>
      </w:pPr>
    </w:p>
    <w:p>
      <w:pPr>
        <w:ind w:left="480" w:right="120" w:hanging="1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Q. What if I do not want to vote “FOR” the Extension Agreement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hanging="1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Q. What happens if the Extension Amendment Proposal is not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0" w:right="200" w:hanging="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 If the Extension Amendment Proposal is approved, what happens next?</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88" w:right="339" w:hanging="388"/>
        <w:spacing w:after="0" w:line="254"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the Extension Amendment Proposal to be approved, you must vote “AGAINST” the proposal. If the Extension Amendment Proposal is approved, and the Extension is implemented, then the Withdrawal Amount will be withdrawn from the Trust Account and paid pro rata to the redeeming holders. You will still be entitled to make the Election if you vote against, abstain or do not vote on the Extension Amendment Proposal.</w:t>
      </w:r>
    </w:p>
    <w:p>
      <w:pPr>
        <w:spacing w:after="0" w:line="191" w:lineRule="exact"/>
        <w:rPr>
          <w:rFonts w:ascii="Times New Roman" w:cs="Times New Roman" w:eastAsia="Times New Roman" w:hAnsi="Times New Roman"/>
          <w:sz w:val="18"/>
          <w:szCs w:val="18"/>
          <w:color w:val="auto"/>
        </w:rPr>
      </w:pPr>
    </w:p>
    <w:p>
      <w:pPr>
        <w:ind w:left="388" w:right="6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abstention or broker non-vote will be counted towards the quorum requirement but will not count as a vote cast at the Extraordinary General Meeting.</w:t>
      </w:r>
    </w:p>
    <w:p>
      <w:pPr>
        <w:spacing w:after="0" w:line="337" w:lineRule="exact"/>
        <w:rPr>
          <w:rFonts w:ascii="Times New Roman" w:cs="Times New Roman" w:eastAsia="Times New Roman" w:hAnsi="Times New Roman"/>
          <w:sz w:val="18"/>
          <w:szCs w:val="18"/>
          <w:color w:val="auto"/>
        </w:rPr>
      </w:pPr>
    </w:p>
    <w:p>
      <w:pPr>
        <w:ind w:left="388" w:right="339" w:hanging="388"/>
        <w:spacing w:after="0" w:line="252" w:lineRule="auto"/>
        <w:tabs>
          <w:tab w:leader="none" w:pos="3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191" w:lineRule="exact"/>
        <w:rPr>
          <w:rFonts w:ascii="Times New Roman" w:cs="Times New Roman" w:eastAsia="Times New Roman" w:hAnsi="Times New Roman"/>
          <w:sz w:val="18"/>
          <w:szCs w:val="18"/>
          <w:color w:val="auto"/>
        </w:rPr>
      </w:pPr>
    </w:p>
    <w:p>
      <w:pPr>
        <w:ind w:left="388" w:right="37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349" w:lineRule="exact"/>
        <w:rPr>
          <w:rFonts w:ascii="Times New Roman" w:cs="Times New Roman" w:eastAsia="Times New Roman" w:hAnsi="Times New Roman"/>
          <w:sz w:val="18"/>
          <w:szCs w:val="18"/>
          <w:color w:val="auto"/>
        </w:rPr>
      </w:pPr>
    </w:p>
    <w:p>
      <w:pPr>
        <w:ind w:left="388" w:right="339" w:hanging="388"/>
        <w:spacing w:after="0" w:line="256" w:lineRule="auto"/>
        <w:tabs>
          <w:tab w:leader="none" w:pos="3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approval of the Extension Amendment Proposal by the requisite number of votes, the amendments to our Articles that are set forth in Annex A hereto will become effective. We will remain a reporting company under the Securities Exchange Act of 1934 (the “Exchange Act”) and our units, public shares and warrants will remain publicly traded.</w:t>
      </w:r>
    </w:p>
    <w:p>
      <w:pPr>
        <w:spacing w:after="0" w:line="187" w:lineRule="exact"/>
        <w:rPr>
          <w:rFonts w:ascii="Times New Roman" w:cs="Times New Roman" w:eastAsia="Times New Roman" w:hAnsi="Times New Roman"/>
          <w:sz w:val="18"/>
          <w:szCs w:val="18"/>
          <w:color w:val="auto"/>
        </w:rPr>
      </w:pPr>
    </w:p>
    <w:p>
      <w:pPr>
        <w:ind w:left="388" w:right="3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Amendment Proposal is approved, the removal of the Withdrawal Amount from the Trust Account will reduce the amount remaining in the Trust Account and increase the percentage interest of our ordinary shares held by our Sponsor as a result of its ownership of the founder shares.</w:t>
      </w:r>
    </w:p>
    <w:p>
      <w:pPr>
        <w:spacing w:after="0" w:line="200" w:lineRule="exact"/>
        <w:rPr>
          <w:sz w:val="20"/>
          <w:szCs w:val="20"/>
          <w:color w:val="auto"/>
        </w:rPr>
      </w:pPr>
    </w:p>
    <w:p>
      <w:pPr>
        <w:sectPr>
          <w:pgSz w:w="11900" w:h="16838" w:orient="portrait"/>
          <w:cols w:equalWidth="0" w:num="2">
            <w:col w:w="3340" w:space="192"/>
            <w:col w:w="5487"/>
          </w:cols>
          <w:pgMar w:left="1440" w:top="263" w:right="1440"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3" w:name="page14"/>
    <w:bookmarkEnd w:id="1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0" w:hanging="1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Q. What happens to the Company warrants if the Extension Amendment Proposal is not approved?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88" w:right="419"/>
        <w:spacing w:after="0" w:line="261" w:lineRule="auto"/>
        <w:rPr>
          <w:sz w:val="20"/>
          <w:szCs w:val="20"/>
          <w:color w:val="auto"/>
        </w:rPr>
      </w:pPr>
      <w:r>
        <w:rPr>
          <w:rFonts w:ascii="Times New Roman" w:cs="Times New Roman" w:eastAsia="Times New Roman" w:hAnsi="Times New Roman"/>
          <w:sz w:val="18"/>
          <w:szCs w:val="18"/>
          <w:color w:val="auto"/>
        </w:rPr>
        <w:t>If the Extension Amendment Proposal is approved but we do not complete a business combination by the Extended Date, we will</w:t>
      </w:r>
    </w:p>
    <w:p>
      <w:pPr>
        <w:ind w:left="608" w:hanging="217"/>
        <w:spacing w:after="0"/>
        <w:tabs>
          <w:tab w:leader="none" w:pos="6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w:t>
      </w:r>
    </w:p>
    <w:p>
      <w:pPr>
        <w:spacing w:after="0" w:line="9" w:lineRule="exact"/>
        <w:rPr>
          <w:rFonts w:ascii="Times New Roman" w:cs="Times New Roman" w:eastAsia="Times New Roman" w:hAnsi="Times New Roman"/>
          <w:sz w:val="18"/>
          <w:szCs w:val="18"/>
          <w:color w:val="auto"/>
        </w:rPr>
      </w:pPr>
    </w:p>
    <w:p>
      <w:pPr>
        <w:ind w:left="388" w:right="339" w:firstLine="3"/>
        <w:spacing w:after="0" w:line="251" w:lineRule="auto"/>
        <w:tabs>
          <w:tab w:leader="none" w:pos="6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191" w:lineRule="exact"/>
        <w:rPr>
          <w:sz w:val="20"/>
          <w:szCs w:val="20"/>
          <w:color w:val="auto"/>
        </w:rPr>
      </w:pPr>
    </w:p>
    <w:p>
      <w:pPr>
        <w:ind w:left="388" w:right="379"/>
        <w:spacing w:after="0" w:line="256" w:lineRule="auto"/>
        <w:rPr>
          <w:sz w:val="20"/>
          <w:szCs w:val="20"/>
          <w:color w:val="auto"/>
        </w:rPr>
      </w:pPr>
      <w:r>
        <w:rPr>
          <w:rFonts w:ascii="Times New Roman" w:cs="Times New Roman" w:eastAsia="Times New Roman" w:hAnsi="Times New Roman"/>
          <w:sz w:val="18"/>
          <w:szCs w:val="18"/>
          <w:color w:val="auto"/>
        </w:rPr>
        <w:t>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349" w:lineRule="exact"/>
        <w:rPr>
          <w:sz w:val="20"/>
          <w:szCs w:val="20"/>
          <w:color w:val="auto"/>
        </w:rPr>
      </w:pPr>
    </w:p>
    <w:p>
      <w:pPr>
        <w:ind w:left="388" w:right="339" w:hanging="388"/>
        <w:spacing w:after="0" w:line="252" w:lineRule="auto"/>
        <w:tabs>
          <w:tab w:leader="none" w:pos="3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Amendment Proposal is not approved and we have not consummated a business combination by February 12, 2021,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193" w:lineRule="exact"/>
        <w:rPr>
          <w:rFonts w:ascii="Times New Roman" w:cs="Times New Roman" w:eastAsia="Times New Roman" w:hAnsi="Times New Roman"/>
          <w:sz w:val="18"/>
          <w:szCs w:val="18"/>
          <w:color w:val="auto"/>
        </w:rPr>
      </w:pPr>
    </w:p>
    <w:p>
      <w:pPr>
        <w:ind w:left="388" w:right="37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200" w:lineRule="exact"/>
        <w:rPr>
          <w:sz w:val="20"/>
          <w:szCs w:val="20"/>
          <w:color w:val="auto"/>
        </w:rPr>
      </w:pPr>
    </w:p>
    <w:p>
      <w:pPr>
        <w:sectPr>
          <w:pgSz w:w="11900" w:h="16838" w:orient="portrait"/>
          <w:cols w:equalWidth="0" w:num="2">
            <w:col w:w="3300" w:space="232"/>
            <w:col w:w="5487"/>
          </w:cols>
          <w:pgMar w:left="1440" w:top="263" w:right="1440"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 w:name="page15"/>
    <w:bookmarkEnd w:id="14"/>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33" w:lineRule="exact"/>
        <w:rPr>
          <w:sz w:val="20"/>
          <w:szCs w:val="20"/>
          <w:color w:val="auto"/>
        </w:rPr>
      </w:pPr>
    </w:p>
    <w:p>
      <w:pPr>
        <w:ind w:left="480" w:hanging="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 What happens to the Company warrants if the Extension Amendment Proposal is approved?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88" w:right="339" w:hanging="388"/>
        <w:spacing w:after="0" w:line="253" w:lineRule="auto"/>
        <w:tabs>
          <w:tab w:leader="none" w:pos="3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Amendment Proposal is approved, we will retain the blank check company restrictions previously applicable to us and continue to attempt to consummate the WM business combination until the Extended Date. The public warrants will remain outstanding and only become exercisable 30 days after the completion of a business combination, provided we have an effective registration statement under the Securities Act of 1933 (the “Securities Act”) covering the ordinary shares issuable upon exercise of the warrants and a current prospectus relating to them is available (or we permit holders to exercise warrants on a cashless basis).</w:t>
      </w:r>
    </w:p>
    <w:p>
      <w:pPr>
        <w:spacing w:after="0" w:line="200" w:lineRule="exact"/>
        <w:rPr>
          <w:sz w:val="20"/>
          <w:szCs w:val="20"/>
          <w:color w:val="auto"/>
        </w:rPr>
      </w:pPr>
    </w:p>
    <w:p>
      <w:pPr>
        <w:sectPr>
          <w:pgSz w:w="11900" w:h="16838" w:orient="portrait"/>
          <w:cols w:equalWidth="0" w:num="2">
            <w:col w:w="3300" w:space="232"/>
            <w:col w:w="5487"/>
          </w:cols>
          <w:pgMar w:left="1440" w:top="263" w:right="1440" w:bottom="1440" w:gutter="0" w:footer="0" w:header="0"/>
        </w:sectPr>
      </w:pPr>
    </w:p>
    <w:p>
      <w:pPr>
        <w:spacing w:after="0" w:line="150" w:lineRule="exact"/>
        <w:rPr>
          <w:sz w:val="20"/>
          <w:szCs w:val="20"/>
          <w:color w:val="auto"/>
        </w:rPr>
      </w:pPr>
    </w:p>
    <w:p>
      <w:pPr>
        <w:ind w:left="480" w:hanging="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Q. If I do not exercise my redemption rights now, would I still be able to exercise my redemption rights in connection with any future initial business combination, including the WM business combination?</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 How do I change my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 How are votes counted?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388" w:right="479" w:hanging="388"/>
        <w:spacing w:after="0" w:line="261" w:lineRule="auto"/>
        <w:tabs>
          <w:tab w:leader="none" w:pos="3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elect to redeem your shares at this time, you will be able to exercise redemption rights in respect of any future business combination, including the WM business combination, subject to any limitations set forth in our Articles.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3" w:lineRule="exact"/>
        <w:rPr>
          <w:rFonts w:ascii="Times New Roman" w:cs="Times New Roman" w:eastAsia="Times New Roman" w:hAnsi="Times New Roman"/>
          <w:sz w:val="18"/>
          <w:szCs w:val="18"/>
          <w:color w:val="auto"/>
        </w:rPr>
      </w:pPr>
    </w:p>
    <w:p>
      <w:pPr>
        <w:ind w:left="388" w:right="379" w:hanging="388"/>
        <w:spacing w:after="0" w:line="272" w:lineRule="auto"/>
        <w:tabs>
          <w:tab w:leader="none" w:pos="38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change your vote by sending a later-dated, signed proxy card to our General Counsel at Silver Spike Acquisition Corp., 660 Madison Ave., Suite 1600, New York, New York 10065, so that it is received prior to the Extraordinary General Meeting or by attending the Extraordinary General Meeting in person and voting. You also may revoke your proxy by sending a notice of revocation to the same address, which must be received by our General Counsel prior to the Extraordinary General Meeting.</w:t>
      </w:r>
    </w:p>
    <w:p>
      <w:pPr>
        <w:spacing w:after="0" w:line="171" w:lineRule="exact"/>
        <w:rPr>
          <w:rFonts w:ascii="Times New Roman" w:cs="Times New Roman" w:eastAsia="Times New Roman" w:hAnsi="Times New Roman"/>
          <w:sz w:val="17"/>
          <w:szCs w:val="17"/>
          <w:color w:val="auto"/>
        </w:rPr>
      </w:pPr>
    </w:p>
    <w:p>
      <w:pPr>
        <w:ind w:left="388" w:right="31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Please note, however, that if on the record date your shares were held, not in your name, but rather in an account at a brokerage firm, custodian bank, or other nominee then you are the beneficial owner of shares held in “street name” and these proxy materials are being forwarded to you by that organization. If your shares are held in street name, and you wish to attend the Extraordinary General Meeting and vote at the Extraordinary General Meeting, you must bring to the Extraordinary General Meeting a legal proxy from the broker, bank or other nominee holding your shares, confirming your beneficial ownership of the shares and giving you the right to vote your shares.</w:t>
      </w:r>
    </w:p>
    <w:p>
      <w:pPr>
        <w:spacing w:after="0" w:line="353" w:lineRule="exact"/>
        <w:rPr>
          <w:rFonts w:ascii="Times New Roman" w:cs="Times New Roman" w:eastAsia="Times New Roman" w:hAnsi="Times New Roman"/>
          <w:sz w:val="17"/>
          <w:szCs w:val="17"/>
          <w:color w:val="auto"/>
        </w:rPr>
      </w:pPr>
    </w:p>
    <w:p>
      <w:pPr>
        <w:ind w:left="388" w:right="339" w:hanging="388"/>
        <w:spacing w:after="0" w:line="253" w:lineRule="auto"/>
        <w:tabs>
          <w:tab w:leader="none" w:pos="3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will be counted by the inspector of election appointed for the Extraordinary General Meeting, who will separately count “FOR” and “AGAINST” votes, abstentions and broker non-votes. The Extension Amendment Proposal must be approved as a special resolution under Cayman Islands law, being the affirmative vote of the holders of at least two-thirds of the then issued and outstanding ordinary shares who, being present and entitled to vote at the Extraordinary General Meeting, actually vote at the Extraordinary General Meeting. The appointment of each director nominee requires the affirmative vote (in person or by proxy) of the holders of a majority of the outstanding Class B ordinary shares entitled to vote and actually cast thereon at the Extraordinary General Meeting.</w:t>
      </w:r>
    </w:p>
    <w:p>
      <w:pPr>
        <w:spacing w:after="0" w:line="187" w:lineRule="exact"/>
        <w:rPr>
          <w:sz w:val="20"/>
          <w:szCs w:val="20"/>
          <w:color w:val="auto"/>
        </w:rPr>
      </w:pPr>
    </w:p>
    <w:p>
      <w:pPr>
        <w:ind w:left="888"/>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160" w:space="372"/>
            <w:col w:w="5487"/>
          </w:cols>
          <w:pgMar w:left="1440" w:top="263" w:right="1440" w:bottom="1440" w:gutter="0" w:footer="0" w:header="0"/>
          <w:type w:val="continuous"/>
        </w:sectPr>
      </w:pPr>
    </w:p>
    <w:bookmarkStart w:id="15" w:name="page16"/>
    <w:bookmarkEnd w:id="15"/>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ind w:left="3920" w:right="319"/>
        <w:spacing w:after="0" w:line="267" w:lineRule="auto"/>
        <w:rPr>
          <w:sz w:val="20"/>
          <w:szCs w:val="20"/>
          <w:color w:val="auto"/>
        </w:rPr>
      </w:pPr>
      <w:r>
        <w:rPr>
          <w:rFonts w:ascii="Times New Roman" w:cs="Times New Roman" w:eastAsia="Times New Roman" w:hAnsi="Times New Roman"/>
          <w:sz w:val="17"/>
          <w:szCs w:val="17"/>
          <w:color w:val="auto"/>
        </w:rPr>
        <w:t>Accordingly, a Company shareholder’s failure to vote by proxy or to vote in person at the Extraordinary General Meeting means that such shareholder’s ordinary shares will not count towards the quorum requirement for the Extraordinary General Meeting and will not be voted. An abstention or broker non-vote will be counted towards the quorum requirement but will not count as a vote cast at the Extraordinary General Meeting. The approval of the Adjournment Proposal requires the affirmative vote of holders of a majority of the ordinary shares represented in person or by proxy and entitled to vote thereon at the Extraordinary General Meeting. Accordingly, a Company shareholder’s failure to vote by proxy or to vote in person at the Extraordinary General Meeting will not be counted towards the number of ordinary shares required to validly establish a quorum, and if a valid quorum is otherwise established, it will have no effect on the outcome of any vote on the Adjournment Proposal. An abstention or broker non-vote will be counted towards the quorum requirement but will not count as a vote cast at the Extraordinary General Meeting.</w:t>
      </w:r>
    </w:p>
    <w:p>
      <w:pPr>
        <w:sectPr>
          <w:pgSz w:w="11900" w:h="16838" w:orient="portrait"/>
          <w:cols w:equalWidth="0" w:num="1">
            <w:col w:w="9019"/>
          </w:cols>
          <w:pgMar w:left="1440" w:top="263" w:right="1440" w:bottom="1440" w:gutter="0" w:footer="0" w:header="0"/>
        </w:sectPr>
      </w:pPr>
    </w:p>
    <w:p>
      <w:pPr>
        <w:spacing w:after="0" w:line="347" w:lineRule="exact"/>
        <w:rPr>
          <w:sz w:val="20"/>
          <w:szCs w:val="20"/>
          <w:color w:val="auto"/>
        </w:rPr>
      </w:pPr>
    </w:p>
    <w:p>
      <w:pPr>
        <w:ind w:left="480" w:hanging="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 If my shares are held in “street name,” will my broker automatically vote them for me?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388" w:right="299" w:hanging="388"/>
        <w:spacing w:after="0" w:line="253" w:lineRule="auto"/>
        <w:tabs>
          <w:tab w:leader="none" w:pos="3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Your bank, broker, or other nominee can vote your shares only if you provide instructions on how to vote. You should instruct your broker to vote your shares in accordance with directions you provide. If your shares are held by your broker as your nominee, which we refer to as being held in “street name,” you may need to obtain a proxy form from the institution that holds your shares and follow the instructions included on that form regarding how to instruct your broker to vote your shares.</w:t>
      </w:r>
    </w:p>
    <w:p>
      <w:pPr>
        <w:spacing w:after="0" w:line="200" w:lineRule="exact"/>
        <w:rPr>
          <w:sz w:val="20"/>
          <w:szCs w:val="20"/>
          <w:color w:val="auto"/>
        </w:rPr>
      </w:pPr>
    </w:p>
    <w:p>
      <w:pPr>
        <w:sectPr>
          <w:pgSz w:w="11900" w:h="16838" w:orient="portrait"/>
          <w:cols w:equalWidth="0" w:num="2">
            <w:col w:w="3180" w:space="352"/>
            <w:col w:w="5487"/>
          </w:cols>
          <w:pgMar w:left="1440" w:top="263" w:right="1440" w:bottom="1440" w:gutter="0" w:footer="0" w:header="0"/>
          <w:type w:val="continuous"/>
        </w:sectPr>
      </w:pP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 What is a Quorum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 Who can vote at the Extraordinary General Meeting?</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388" w:right="359" w:hanging="388"/>
        <w:spacing w:after="0" w:line="254" w:lineRule="auto"/>
        <w:tabs>
          <w:tab w:leader="none" w:pos="3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our shareholders is necessary to hold a valid Extraordinary General Meeting. A quorum will be present at the Extraordinary General Meeting if the holders of a majority of the issued and outstanding ordinary shares entitled to vote at the Extraordinary General Meeting are represented in person or by proxy. As of the record date for the Extraordinary General Meeting, the holders of at least 15,625,000 ordinary shares would be required to achieve a quorum.</w:t>
      </w:r>
    </w:p>
    <w:p>
      <w:pPr>
        <w:spacing w:after="0" w:line="191" w:lineRule="exact"/>
        <w:rPr>
          <w:rFonts w:ascii="Times New Roman" w:cs="Times New Roman" w:eastAsia="Times New Roman" w:hAnsi="Times New Roman"/>
          <w:sz w:val="18"/>
          <w:szCs w:val="18"/>
          <w:color w:val="auto"/>
        </w:rPr>
      </w:pPr>
    </w:p>
    <w:p>
      <w:pPr>
        <w:ind w:left="388" w:right="3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Extraordinary General Meeting. An abstention or broker non-vote will be counted towards the quorum requirement but will not count as a vote cast at the Extraordinary General Meeting. In the absence of a quorum, the chairman of the meeting has power to adjourn the Extraordinary General Meeting.</w:t>
      </w:r>
    </w:p>
    <w:p>
      <w:pPr>
        <w:spacing w:after="0" w:line="353" w:lineRule="exact"/>
        <w:rPr>
          <w:rFonts w:ascii="Times New Roman" w:cs="Times New Roman" w:eastAsia="Times New Roman" w:hAnsi="Times New Roman"/>
          <w:sz w:val="18"/>
          <w:szCs w:val="18"/>
          <w:color w:val="auto"/>
        </w:rPr>
      </w:pPr>
    </w:p>
    <w:p>
      <w:pPr>
        <w:ind w:left="388" w:right="659" w:hanging="388"/>
        <w:spacing w:after="0" w:line="266" w:lineRule="auto"/>
        <w:tabs>
          <w:tab w:leader="none" w:pos="3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our ordinary shares at the close of business on December 18, 2020 are entitled to have their vote counted at the Extraordinary General Meeting and any</w:t>
      </w:r>
    </w:p>
    <w:p>
      <w:pPr>
        <w:spacing w:after="0" w:line="176" w:lineRule="exact"/>
        <w:rPr>
          <w:sz w:val="20"/>
          <w:szCs w:val="20"/>
          <w:color w:val="auto"/>
        </w:rPr>
      </w:pPr>
    </w:p>
    <w:p>
      <w:pPr>
        <w:ind w:left="888"/>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080" w:space="452"/>
            <w:col w:w="5487"/>
          </w:cols>
          <w:pgMar w:left="1440" w:top="263" w:right="1440" w:bottom="1440" w:gutter="0" w:footer="0" w:header="0"/>
          <w:type w:val="continuous"/>
        </w:sectPr>
      </w:pPr>
    </w:p>
    <w:bookmarkStart w:id="16" w:name="page17"/>
    <w:bookmarkEnd w:id="16"/>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0" w:hanging="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Q. Does the board recommend voting for the approval of the Extension Amendment Proposal and the Adjournment Proposal?</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88" w:right="379"/>
        <w:spacing w:after="0" w:line="282" w:lineRule="auto"/>
        <w:rPr>
          <w:sz w:val="20"/>
          <w:szCs w:val="20"/>
          <w:color w:val="auto"/>
        </w:rPr>
      </w:pPr>
      <w:r>
        <w:rPr>
          <w:rFonts w:ascii="Times New Roman" w:cs="Times New Roman" w:eastAsia="Times New Roman" w:hAnsi="Times New Roman"/>
          <w:sz w:val="18"/>
          <w:szCs w:val="18"/>
          <w:color w:val="auto"/>
        </w:rPr>
        <w:t>adjournments or postponements thereof. On this record date, 31,250,000 ordinary shares were outstanding and entitled to vote.</w:t>
      </w:r>
    </w:p>
    <w:p>
      <w:pPr>
        <w:spacing w:after="0" w:line="160" w:lineRule="exact"/>
        <w:rPr>
          <w:sz w:val="20"/>
          <w:szCs w:val="20"/>
          <w:color w:val="auto"/>
        </w:rPr>
      </w:pPr>
    </w:p>
    <w:p>
      <w:pPr>
        <w:ind w:left="388" w:right="319"/>
        <w:spacing w:after="0" w:line="255" w:lineRule="auto"/>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r>
        <w:rPr>
          <w:rFonts w:ascii="Times New Roman" w:cs="Times New Roman" w:eastAsia="Times New Roman" w:hAnsi="Times New Roman"/>
          <w:sz w:val="18"/>
          <w:szCs w:val="18"/>
          <w:color w:val="auto"/>
        </w:rPr>
        <w:t>. If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date your shares were registered directly in your name with our transfer agent, Continental Stock Transfer &amp; Trust Company, then you are a shareholder of record. As a shareholder of record, you may vote in person at the Extraordinary General Meeting or vote by proxy. Whether or not you plan to attend the Extraordinary General Meeting in person, we urge you to fill out and return the enclosed proxy card to ensure your vote is counted.</w:t>
      </w:r>
    </w:p>
    <w:p>
      <w:pPr>
        <w:spacing w:after="0" w:line="185" w:lineRule="exact"/>
        <w:rPr>
          <w:sz w:val="20"/>
          <w:szCs w:val="20"/>
          <w:color w:val="auto"/>
        </w:rPr>
      </w:pPr>
    </w:p>
    <w:p>
      <w:pPr>
        <w:ind w:left="388" w:right="359"/>
        <w:spacing w:after="0" w:line="253" w:lineRule="auto"/>
        <w:rPr>
          <w:sz w:val="20"/>
          <w:szCs w:val="20"/>
          <w:color w:val="auto"/>
        </w:rPr>
      </w:pP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Shares Registered in the Name of a Broker or Bank</w:t>
      </w:r>
      <w:r>
        <w:rPr>
          <w:rFonts w:ascii="Times New Roman" w:cs="Times New Roman" w:eastAsia="Times New Roman" w:hAnsi="Times New Roman"/>
          <w:sz w:val="18"/>
          <w:szCs w:val="18"/>
          <w:color w:val="auto"/>
        </w:rPr>
        <w:t>. If on the record date your shares were held, not in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Extraordinary General Meeting. However, since you are not the shareholder of record, you may not vote your shares in person at the Extraordinary General Meeting unless you request and obtain a valid proxy from your broker or other agent.</w:t>
      </w:r>
    </w:p>
    <w:p>
      <w:pPr>
        <w:spacing w:after="0" w:line="354" w:lineRule="exact"/>
        <w:rPr>
          <w:sz w:val="20"/>
          <w:szCs w:val="20"/>
          <w:color w:val="auto"/>
        </w:rPr>
      </w:pPr>
    </w:p>
    <w:p>
      <w:pPr>
        <w:ind w:left="388" w:right="319" w:hanging="388"/>
        <w:spacing w:after="0" w:line="255" w:lineRule="auto"/>
        <w:tabs>
          <w:tab w:leader="none" w:pos="3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After careful consideration of the terms and conditions of these proposals, our board has determined that the Extension Amendment, the Director Proposal and, if presented, the Adjournment Proposal are in the best interests of the Company and its shareholders. The board recommends that our shareholders vote “FOR” the Extension Amendment Proposal, the Director Proposal and the Adjournment Proposal.</w:t>
      </w:r>
    </w:p>
    <w:p>
      <w:pPr>
        <w:spacing w:after="0" w:line="200" w:lineRule="exact"/>
        <w:rPr>
          <w:sz w:val="20"/>
          <w:szCs w:val="20"/>
          <w:color w:val="auto"/>
        </w:rPr>
      </w:pPr>
    </w:p>
    <w:p>
      <w:pPr>
        <w:sectPr>
          <w:pgSz w:w="11900" w:h="16838" w:orient="portrait"/>
          <w:cols w:equalWidth="0" w:num="2">
            <w:col w:w="3320" w:space="212"/>
            <w:col w:w="5487"/>
          </w:cols>
          <w:pgMar w:left="1440" w:top="263" w:right="1440" w:bottom="1440" w:gutter="0" w:footer="0" w:header="0"/>
        </w:sectPr>
      </w:pPr>
    </w:p>
    <w:p>
      <w:pPr>
        <w:spacing w:after="0" w:line="147" w:lineRule="exact"/>
        <w:rPr>
          <w:sz w:val="20"/>
          <w:szCs w:val="20"/>
          <w:color w:val="auto"/>
        </w:rPr>
      </w:pPr>
    </w:p>
    <w:p>
      <w:pPr>
        <w:ind w:left="480" w:hanging="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 What interests do the Company’s Sponsor, directors and officers have in the approval of the proposals?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388" w:right="339" w:hanging="388"/>
        <w:spacing w:after="0" w:line="253" w:lineRule="auto"/>
        <w:tabs>
          <w:tab w:leader="none" w:pos="3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directors and officers have interests in the proposals that may be different from, or in addition to, your interests as a shareholder. These interests include (i) in the case of the Sponsor, ownership of founder shares and warrants that may become exercisable in the future, (ii) in the event any funds are loaned to fund working capital deficiencies or finance transaction costs in connection with the WM business combination, loans by them, a portion of which may not be repaid in the event of our winding up and (iii) the possibility of future compensatory arrangements. See the section entitled “The Extension Amendment Proposal — Interests of our Sponsor, Directors and Officers.”</w:t>
      </w:r>
    </w:p>
    <w:p>
      <w:pPr>
        <w:spacing w:after="0" w:line="200" w:lineRule="exact"/>
        <w:rPr>
          <w:sz w:val="20"/>
          <w:szCs w:val="20"/>
          <w:color w:val="auto"/>
        </w:rPr>
      </w:pPr>
    </w:p>
    <w:p>
      <w:pPr>
        <w:sectPr>
          <w:pgSz w:w="11900" w:h="16838" w:orient="portrait"/>
          <w:cols w:equalWidth="0" w:num="2">
            <w:col w:w="3320" w:space="212"/>
            <w:col w:w="5487"/>
          </w:cols>
          <w:pgMar w:left="1440" w:top="263" w:right="1440" w:bottom="1440" w:gutter="0" w:footer="0" w:header="0"/>
          <w:type w:val="continuous"/>
        </w:sectPr>
      </w:pPr>
    </w:p>
    <w:p>
      <w:pPr>
        <w:spacing w:after="0" w:line="150" w:lineRule="exact"/>
        <w:rPr>
          <w:sz w:val="20"/>
          <w:szCs w:val="20"/>
          <w:color w:val="auto"/>
        </w:rPr>
      </w:pPr>
    </w:p>
    <w:p>
      <w:pPr>
        <w:ind w:left="480" w:hanging="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 Do I have appraisal rights if I object to the Extension Amendment Proposal?</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 What do I need to do now?</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388" w:right="439" w:hanging="388"/>
        <w:spacing w:after="0" w:line="282" w:lineRule="auto"/>
        <w:tabs>
          <w:tab w:leader="none" w:pos="3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do not have appraisal rights in connection with the Extension Amendment Proposal under Cayman Islands law.</w:t>
      </w:r>
    </w:p>
    <w:p>
      <w:pPr>
        <w:spacing w:after="0" w:line="200" w:lineRule="exact"/>
        <w:rPr>
          <w:rFonts w:ascii="Times New Roman" w:cs="Times New Roman" w:eastAsia="Times New Roman" w:hAnsi="Times New Roman"/>
          <w:sz w:val="18"/>
          <w:szCs w:val="18"/>
          <w:color w:val="auto"/>
        </w:rPr>
      </w:pPr>
    </w:p>
    <w:p>
      <w:pPr>
        <w:spacing w:after="0" w:line="339" w:lineRule="exact"/>
        <w:rPr>
          <w:rFonts w:ascii="Times New Roman" w:cs="Times New Roman" w:eastAsia="Times New Roman" w:hAnsi="Times New Roman"/>
          <w:sz w:val="18"/>
          <w:szCs w:val="18"/>
          <w:color w:val="auto"/>
        </w:rPr>
      </w:pPr>
    </w:p>
    <w:p>
      <w:pPr>
        <w:ind w:left="388" w:right="459" w:hanging="388"/>
        <w:spacing w:after="0" w:line="261"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urge you to read carefully and consider the information contained in this Proxy Statement, including the annexes, and to consider how the proposals will affect you as a shareholder. You should then vote as soon as possible in accordance with the</w:t>
      </w:r>
    </w:p>
    <w:p>
      <w:pPr>
        <w:spacing w:after="0" w:line="180" w:lineRule="exact"/>
        <w:rPr>
          <w:sz w:val="20"/>
          <w:szCs w:val="20"/>
          <w:color w:val="auto"/>
        </w:rPr>
      </w:pPr>
    </w:p>
    <w:p>
      <w:pPr>
        <w:ind w:left="888"/>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00" w:space="332"/>
            <w:col w:w="5487"/>
          </w:cols>
          <w:pgMar w:left="1440" w:top="263" w:right="1440" w:bottom="1440" w:gutter="0" w:footer="0" w:header="0"/>
          <w:type w:val="continuous"/>
        </w:sectPr>
      </w:pPr>
    </w:p>
    <w:bookmarkStart w:id="17" w:name="page18"/>
    <w:bookmarkEnd w:id="17"/>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 How do I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right="72"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 How do I redeem my ordinary shares?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88" w:right="379"/>
        <w:spacing w:after="0" w:line="282" w:lineRule="auto"/>
        <w:rPr>
          <w:sz w:val="20"/>
          <w:szCs w:val="20"/>
          <w:color w:val="auto"/>
        </w:rPr>
      </w:pPr>
      <w:r>
        <w:rPr>
          <w:rFonts w:ascii="Times New Roman" w:cs="Times New Roman" w:eastAsia="Times New Roman" w:hAnsi="Times New Roman"/>
          <w:sz w:val="18"/>
          <w:szCs w:val="18"/>
          <w:color w:val="auto"/>
        </w:rPr>
        <w:t>instructions provided in this Proxy Statement and on the enclosed proxy card.</w:t>
      </w:r>
    </w:p>
    <w:p>
      <w:pPr>
        <w:spacing w:after="0" w:line="324" w:lineRule="exact"/>
        <w:rPr>
          <w:sz w:val="20"/>
          <w:szCs w:val="20"/>
          <w:color w:val="auto"/>
        </w:rPr>
      </w:pPr>
    </w:p>
    <w:p>
      <w:pPr>
        <w:ind w:left="388" w:right="319" w:hanging="388"/>
        <w:spacing w:after="0" w:line="253" w:lineRule="auto"/>
        <w:tabs>
          <w:tab w:leader="none" w:pos="3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record of our ordinary shares, you may vote in person at the Extraordinary General Meeting or by submitting a proxy for the Extraordinary General Meeting. Whether or not you plan to attend the Extraordinary General Meeting in person, we urge you to vote by proxy to ensure your vote is counted. You may submit your proxy by completing, signing, dating and returning the enclosed proxy card in the accompanying pre-addressed postage paid envelope. You may still attend the Extraordinary General Meeting and vote in person if you have already voted by proxy.</w:t>
      </w:r>
    </w:p>
    <w:p>
      <w:pPr>
        <w:spacing w:after="0" w:line="194" w:lineRule="exact"/>
        <w:rPr>
          <w:rFonts w:ascii="Times New Roman" w:cs="Times New Roman" w:eastAsia="Times New Roman" w:hAnsi="Times New Roman"/>
          <w:sz w:val="18"/>
          <w:szCs w:val="18"/>
          <w:color w:val="auto"/>
        </w:rPr>
      </w:pPr>
    </w:p>
    <w:p>
      <w:pPr>
        <w:ind w:left="388" w:right="2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ordinary shares are held in “street name” by a broker or other agent, you have the right to direct your broker or other agent on how to vote the shares in your account. You are also invited to attend the Extraordinary General Meeting. However, since you are not the shareholder of record, you may not vote your shares in person at the Extraordinary General Meeting unless you request and obtain a valid proxy from your broker or other agent.</w:t>
      </w:r>
    </w:p>
    <w:p>
      <w:pPr>
        <w:spacing w:after="0" w:line="350" w:lineRule="exact"/>
        <w:rPr>
          <w:rFonts w:ascii="Times New Roman" w:cs="Times New Roman" w:eastAsia="Times New Roman" w:hAnsi="Times New Roman"/>
          <w:sz w:val="18"/>
          <w:szCs w:val="18"/>
          <w:color w:val="auto"/>
        </w:rPr>
      </w:pPr>
    </w:p>
    <w:p>
      <w:pPr>
        <w:ind w:left="388" w:right="359" w:hanging="388"/>
        <w:spacing w:after="0" w:line="253" w:lineRule="auto"/>
        <w:tabs>
          <w:tab w:leader="none" w:pos="3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public shareholders who are not founders, officers or directors may submit an election that, if the Extension is implemented, such public shareholder elects to redeem all or a portion of such public shareholder’s public shares upon such approval at a per-share price, payable in cash, equal to the aggregate amount then on deposit in the Trust Account, including interest (which interest shall be net of taxes payable), divided by the number of then issued and outstanding public shares. You will also be able to redeem your public shares in connection with any business combination, or if we have not consummated a business combination by the Extended Date.</w:t>
      </w:r>
    </w:p>
    <w:p>
      <w:pPr>
        <w:spacing w:after="0" w:line="191" w:lineRule="exact"/>
        <w:rPr>
          <w:rFonts w:ascii="Times New Roman" w:cs="Times New Roman" w:eastAsia="Times New Roman" w:hAnsi="Times New Roman"/>
          <w:sz w:val="18"/>
          <w:szCs w:val="18"/>
          <w:color w:val="auto"/>
        </w:rPr>
      </w:pPr>
    </w:p>
    <w:p>
      <w:pPr>
        <w:ind w:left="388"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tender your ordinary shares for redemption, you must elect either to physically tender your share certificates to Continental Stock Transfer &amp; Trust Company, the Company’s transfer agent, at Continental Stock Transfer &amp; Trust Company, 1 State Street 30th Floor, New York, New York, 10004, Attn: Mark Zimkind, mzimkind@continentalstock.com, or to deliver your shares to the transfer agent electronically using DTC’s DWAC (Deposit/Withdrawal At Custodian) system, which election would likely be determined based on the manner in which you hold your shares. You should tender your ordinary shares in the manner described above prior to 5:00 p.m. Eastern Time on January 11, 2021 (two business days before the Extraordinary General Meeting).</w:t>
      </w:r>
    </w:p>
    <w:p>
      <w:pPr>
        <w:spacing w:after="0" w:line="200" w:lineRule="exact"/>
        <w:rPr>
          <w:sz w:val="20"/>
          <w:szCs w:val="20"/>
          <w:color w:val="auto"/>
        </w:rPr>
      </w:pPr>
    </w:p>
    <w:p>
      <w:pPr>
        <w:spacing w:after="0" w:line="284" w:lineRule="exact"/>
        <w:rPr>
          <w:sz w:val="20"/>
          <w:szCs w:val="20"/>
          <w:color w:val="auto"/>
        </w:rPr>
      </w:pPr>
    </w:p>
    <w:p>
      <w:pPr>
        <w:ind w:left="888"/>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812" w:space="720"/>
            <w:col w:w="5487"/>
          </w:cols>
          <w:pgMar w:left="1440" w:top="263" w:right="1440" w:bottom="1440" w:gutter="0" w:footer="0" w:header="0"/>
        </w:sectPr>
      </w:pPr>
    </w:p>
    <w:bookmarkStart w:id="18" w:name="page19"/>
    <w:bookmarkEnd w:id="18"/>
    <w:p>
      <w:pPr>
        <w:ind w:left="1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33" w:lineRule="exact"/>
        <w:rPr>
          <w:sz w:val="20"/>
          <w:szCs w:val="20"/>
          <w:color w:val="auto"/>
        </w:rPr>
      </w:pPr>
    </w:p>
    <w:p>
      <w:pPr>
        <w:ind w:left="1480" w:hanging="1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Q. What should I do if I receive more than one set of voting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80" w:right="44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 Who is paying for this proxy solicitation?</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88" w:right="1400" w:hanging="388"/>
        <w:spacing w:after="0" w:line="253" w:lineRule="auto"/>
        <w:tabs>
          <w:tab w:leader="none" w:pos="3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or voting instruction cards, if your shares are registered in more than one name or are registered in different accounts. For example, if you hold your shares in more than one brokerage account, you will receive a separate voting instruction card for each brokerage account in which you hold shares. Please complete, sign, date and return each proxy card and voting instruction card that you receive in order to cast a vote with respect to all of your shares.</w:t>
      </w:r>
    </w:p>
    <w:p>
      <w:pPr>
        <w:spacing w:after="0" w:line="356" w:lineRule="exact"/>
        <w:rPr>
          <w:rFonts w:ascii="Times New Roman" w:cs="Times New Roman" w:eastAsia="Times New Roman" w:hAnsi="Times New Roman"/>
          <w:sz w:val="18"/>
          <w:szCs w:val="18"/>
          <w:color w:val="auto"/>
        </w:rPr>
      </w:pPr>
    </w:p>
    <w:p>
      <w:pPr>
        <w:ind w:left="388" w:right="1320" w:hanging="388"/>
        <w:spacing w:after="0" w:line="253" w:lineRule="auto"/>
        <w:tabs>
          <w:tab w:leader="none" w:pos="3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for the entire cost of soliciting proxies. We have engaged D.F. King to assist in the solicitation of proxies for the Extraordinary General Meeting. We have agreed to pay D.F. King a fee of $10,000. We will also reimburse D.F. King for reasonable out-of-pocket expenses and will indemnify D.F. King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w:t>
      </w:r>
    </w:p>
    <w:p>
      <w:pPr>
        <w:spacing w:after="0" w:line="200" w:lineRule="exact"/>
        <w:rPr>
          <w:sz w:val="20"/>
          <w:szCs w:val="20"/>
          <w:color w:val="auto"/>
        </w:rPr>
      </w:pPr>
    </w:p>
    <w:p>
      <w:pPr>
        <w:sectPr>
          <w:pgSz w:w="11900" w:h="16838" w:orient="portrait"/>
          <w:cols w:equalWidth="0" w:num="2">
            <w:col w:w="4060" w:space="472"/>
            <w:col w:w="6488"/>
          </w:cols>
          <w:pgMar w:left="440" w:top="263" w:right="439" w:bottom="1440" w:gutter="0" w:footer="0" w:header="0"/>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Q. Who can help answer my questions?</w:t>
            </w:r>
          </w:p>
        </w:tc>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If you have questions about the proposals or if you need</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additional copies of the Proxy Statement or the enclosed proxy</w:t>
            </w:r>
          </w:p>
        </w:tc>
      </w:tr>
      <w:tr>
        <w:trPr>
          <w:trHeight w:val="234"/>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card you should contact our proxy solicitor:</w:t>
            </w:r>
          </w:p>
        </w:tc>
      </w:tr>
      <w:tr>
        <w:trPr>
          <w:trHeight w:val="404"/>
        </w:trPr>
        <w:tc>
          <w:tcPr>
            <w:tcW w:w="4380" w:type="dxa"/>
            <w:vAlign w:val="bottom"/>
          </w:tcPr>
          <w:p>
            <w:pPr>
              <w:spacing w:after="0"/>
              <w:rPr>
                <w:sz w:val="24"/>
                <w:szCs w:val="24"/>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D.F. King &amp; Co., Inc.</w:t>
            </w:r>
          </w:p>
        </w:tc>
      </w:tr>
      <w:tr>
        <w:trPr>
          <w:trHeight w:val="226"/>
        </w:trPr>
        <w:tc>
          <w:tcPr>
            <w:tcW w:w="4380" w:type="dxa"/>
            <w:vAlign w:val="bottom"/>
          </w:tcPr>
          <w:p>
            <w:pPr>
              <w:spacing w:after="0"/>
              <w:rPr>
                <w:sz w:val="19"/>
                <w:szCs w:val="19"/>
                <w:color w:val="auto"/>
              </w:rPr>
            </w:pPr>
          </w:p>
        </w:tc>
        <w:tc>
          <w:tcPr>
            <w:tcW w:w="6640" w:type="dxa"/>
            <w:vAlign w:val="bottom"/>
          </w:tcPr>
          <w:p>
            <w:pPr>
              <w:ind w:left="540"/>
              <w:spacing w:after="0" w:line="226" w:lineRule="exact"/>
              <w:rPr>
                <w:sz w:val="20"/>
                <w:szCs w:val="20"/>
                <w:color w:val="auto"/>
              </w:rPr>
            </w:pPr>
            <w:r>
              <w:rPr>
                <w:rFonts w:ascii="Times New Roman" w:cs="Times New Roman" w:eastAsia="Times New Roman" w:hAnsi="Times New Roman"/>
                <w:sz w:val="16"/>
                <w:szCs w:val="16"/>
                <w:color w:val="auto"/>
              </w:rPr>
              <w:t>48 Wall Street,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Floor</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NY 10005</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Banks and Brokers Call Collect: (212) 269-5550</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 Others Call Toll-Free: (877) 478-5045</w:t>
            </w:r>
          </w:p>
        </w:tc>
      </w:tr>
      <w:tr>
        <w:trPr>
          <w:trHeight w:val="234"/>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Email: SSPK@dfking.com</w:t>
            </w:r>
          </w:p>
        </w:tc>
      </w:tr>
      <w:tr>
        <w:trPr>
          <w:trHeight w:val="414"/>
        </w:trPr>
        <w:tc>
          <w:tcPr>
            <w:tcW w:w="4380" w:type="dxa"/>
            <w:vAlign w:val="bottom"/>
          </w:tcPr>
          <w:p>
            <w:pPr>
              <w:spacing w:after="0"/>
              <w:rPr>
                <w:sz w:val="24"/>
                <w:szCs w:val="24"/>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If you have questions regarding the certification of your position</w:t>
            </w:r>
          </w:p>
        </w:tc>
      </w:tr>
      <w:tr>
        <w:trPr>
          <w:trHeight w:val="234"/>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or delivery of your ordinary shares, please contact:</w:t>
            </w:r>
          </w:p>
        </w:tc>
      </w:tr>
      <w:tr>
        <w:trPr>
          <w:trHeight w:val="414"/>
        </w:trPr>
        <w:tc>
          <w:tcPr>
            <w:tcW w:w="4380" w:type="dxa"/>
            <w:vAlign w:val="bottom"/>
          </w:tcPr>
          <w:p>
            <w:pPr>
              <w:spacing w:after="0"/>
              <w:rPr>
                <w:sz w:val="24"/>
                <w:szCs w:val="24"/>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Continental Stock Transfer &amp; Trust Company</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 State Street 30th Floor</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New York, New York 10004</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Attention: Mark Zimkind</w:t>
            </w:r>
          </w:p>
        </w:tc>
      </w:tr>
      <w:tr>
        <w:trPr>
          <w:trHeight w:val="234"/>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E-mail: mzimkind@continentalstock.com</w:t>
            </w:r>
          </w:p>
        </w:tc>
      </w:tr>
      <w:tr>
        <w:trPr>
          <w:trHeight w:val="414"/>
        </w:trPr>
        <w:tc>
          <w:tcPr>
            <w:tcW w:w="4380" w:type="dxa"/>
            <w:vAlign w:val="bottom"/>
          </w:tcPr>
          <w:p>
            <w:pPr>
              <w:spacing w:after="0"/>
              <w:rPr>
                <w:sz w:val="24"/>
                <w:szCs w:val="24"/>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You may also obtain additional information about us from</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documents we file with the SEC by following the instructions in</w:t>
            </w:r>
          </w:p>
        </w:tc>
      </w:tr>
      <w:tr>
        <w:trPr>
          <w:trHeight w:val="234"/>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section entitled “Where You Can Find More Information”</w:t>
            </w:r>
          </w:p>
        </w:tc>
      </w:tr>
      <w:tr>
        <w:trPr>
          <w:trHeight w:val="432"/>
        </w:trPr>
        <w:tc>
          <w:tcPr>
            <w:tcW w:w="4380" w:type="dxa"/>
            <w:vAlign w:val="bottom"/>
          </w:tcPr>
          <w:p>
            <w:pPr>
              <w:spacing w:after="0"/>
              <w:rPr>
                <w:sz w:val="24"/>
                <w:szCs w:val="24"/>
                <w:color w:val="auto"/>
              </w:rPr>
            </w:pPr>
          </w:p>
        </w:tc>
        <w:tc>
          <w:tcPr>
            <w:tcW w:w="66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14</w:t>
            </w:r>
          </w:p>
        </w:tc>
      </w:tr>
      <w:tr>
        <w:trPr>
          <w:trHeight w:val="196"/>
        </w:trPr>
        <w:tc>
          <w:tcPr>
            <w:tcW w:w="438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19" w:name="page20"/>
    <w:bookmarkEnd w:id="19"/>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This Proxy Statement and the documents to which we refer you in this Proxy Statement contain “forward-looking statements” as that term is defined by the Private Securities Litigation Reform Act of 1995 and the federal securities laws. Any statements that do not relate to historical or current facts or matters are forward-looking statements. You can identify some of the forward-looking statements by the use of forward-looking words such as “anticipate,” “believe,” “plan,” “could,” “estimate,” “expect,” “intend,” “may,” “might,” “plan,” “possible,” “potential,” “predict,” “project,” “should,” “strive,” “would,” “may” and other similar expressions, although not all forward-looking statements contain these identifying words. There can be no assurance that actual results will not materially differ from expectations. Such statements include, but are not limited to, any statements relating to our ability to consummate a business combination, and any other statements that are not statements of current or historical facts. These forward-looking statements are based on information available to the Company as of the date of the proxy materials and current expectations, forecasts and assumptions and involve a number of risks and uncertainties. Accordingly, forward-looking statements should not be relied upon as representing the Company’s views as of any subsequent date and the Company undertakes no obligation to update forward-looking statements to reflect events or circumstances after the date they were made. These forward-looking statements involve a number of known and unknown risks and uncertainties or other assumptions that may cause actual results or performance to be materially different from those expressed or implied by these forward-looking statements. Some factors that could cause actual results to differ include:</w:t>
      </w:r>
    </w:p>
    <w:p>
      <w:pPr>
        <w:spacing w:after="0" w:line="85" w:lineRule="exact"/>
        <w:rPr>
          <w:sz w:val="20"/>
          <w:szCs w:val="20"/>
          <w:color w:val="auto"/>
        </w:rPr>
      </w:pPr>
    </w:p>
    <w:p>
      <w:pPr>
        <w:ind w:left="1000" w:right="12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 the Extension Amendment Proposal or consummate a business combination, including the WM business combination;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the distribution of the funds from the trust account;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third parties against the trust account;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finance and consummate a business combination.</w:t>
      </w:r>
    </w:p>
    <w:p>
      <w:pPr>
        <w:spacing w:after="0" w:line="11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these risks, in addition to the risk factors set forth in our other filings with the SEC, including the final prospectus related to the IPO dated August 7, 2019 (File No. 333-232734) and the Company’s Annual Report on Form 10-K for the fiscal year ended December 31, 2019. The documents we file with the SEC, including those referred to above, also discuss some of the risks that could cause actual results to differ from those contained or implied in the forward-looking statements. See “Where You Can Find More Information” for additional information about our filings.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w:t>
      </w:r>
    </w:p>
    <w:p>
      <w:pPr>
        <w:spacing w:after="0" w:line="121"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on June 7, 2019 as a Cayman Islands exempted company for the purpose of effecting a merger, amalgamation, share exchange, asset acquisition, share purchase, reorganization or similar business combination with one or more businesses.</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August 12, 2019, we consummated the IPO of our units (the “units”), with each unit consisting of one Class A ordinary share, par value $0.0001 per share, which we refer to as the “public shares,” and one-half of one warrant. Simultaneously with the closing of the IPO, we completed the private sale of 7,000,000 warrants (the “private placement warrants”) at a purchase price of $1.00 per private placement warrant, to our Sponsor generating gross proceeds to us of $7,000,000. The private placement warrants are substantially identical to the warrants sold as part of the units in the IPO, except that our Sponsor has agreed not to transfer, assign or sell any of the private placement warrants (except to certain permitted transferees) until 30 days after the completion of our business combination. The private placement warrants are also not redeemable by us so long as they are held by our Sponsor or its permitted transferees, and they may be exercised by our Sponsor and its permitted transferees on a cashless basis.</w:t>
      </w:r>
    </w:p>
    <w:p>
      <w:pPr>
        <w:spacing w:after="0" w:line="296"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Following the closing of the IPO, a total of $250,000,000 from the net proceeds of the sale of the units in the IPO and the private placement warrants was placed in a Trust Account. The Trust Account may be invested only in U.S. government treasury bills with a maturity of one hundred and eighty-five (185) days or less or in money market funds investing solely in United States Treasuries and meeting certain conditions under Rule 2a-7 under the Investment Company Act of 1940, as amended, which invest only in direct U.S. government obligations. At September 30, 2020, funds in the Trust Account totaled $254,115,791 and were held in money market funds.</w:t>
      </w:r>
    </w:p>
    <w:p>
      <w:pPr>
        <w:spacing w:after="0" w:line="7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Our Sponsor, directors and officers have interests in the proposals that may be different from, or in addition to, your interests as a shareholder. These interests include (i) in the case of the Sponsor, ownership of founder shares and warrants that may become exercisable in the future, (ii) in the event any funds are loaned to fund working capital deficiencies or finance transaction costs in connection with the WM business combination, loans by them, a portion of which may not be repaid in the event of our winding up and (iii) the possibility of future compensatory arrangements. See the section entitled “The Extension Amendment Proposal — Interests of our Sponsor, Directors and Officers.”</w:t>
      </w:r>
    </w:p>
    <w:p>
      <w:pPr>
        <w:spacing w:after="0" w:line="8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On the record date of the Extraordinary General Meeting, there were 31,250,000 ordinary shares outstanding, of which 25,000,000 were public shares and 6,250,000 were founder shares. The founder shares carry voting rights in connection with the Extension Amendment Proposal and the Adjournment Proposal, and we have been informed by our Sponsor, which holds all 6,250,000 founder shares, that it intends to vote in favor of the Extension Amendment Proposal and the Adjournment Proposal.</w:t>
      </w:r>
    </w:p>
    <w:p>
      <w:pPr>
        <w:spacing w:after="0" w:line="75"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660 Madison Ave., Suite 1600, New York, New York 10065 and our telephone number is (212) 905-4923.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WM Business Combination</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WM business combination qualifies as an initial business combination under our Articles, but Silver Spike believes it may not be able to complete the WM business combination by February 12, 2021. The Extension Amendment Proposal is essential to allowing Silver Spike more time to obtain approval for the WM business combination at an extraordinary general meeting of its shareholders and consummate the WM business combination prior to the Extended Date. Approval of the Extension Amendment Proposal is a condition to the implementation of the Extension. Silver Spike believes that, given Silver Spike’s expenditure of time, effort and money on the WM business combination, circumstances warrant providing public shareholders an opportunity to consider the WM business combination.</w:t>
      </w:r>
    </w:p>
    <w:p>
      <w:pPr>
        <w:spacing w:after="0" w:line="80"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WM business combination or any other business combination at this time. If the Extension is implemented and you do not elect to redeem your public shares, you will retain the right to vote on the WM business combination (or any other proposed business combination) if and when it is submitted to shareholders and the right to redeem your public shares for a pro rata portion of the Trust Account in the event such business combination is approved and completed or Silver Spike has not consummated a business combination by the Extended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EXTENSION AMENDMENT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Extension Amendment Proposal</w:t>
      </w:r>
    </w:p>
    <w:p>
      <w:pPr>
        <w:spacing w:after="0" w:line="121"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We are proposing to amend our Articles to extend the date by which we have to consummate a business combination to the Extended Date.</w:t>
      </w:r>
    </w:p>
    <w:p>
      <w:pPr>
        <w:spacing w:after="0" w:line="54" w:lineRule="exact"/>
        <w:rPr>
          <w:sz w:val="20"/>
          <w:szCs w:val="20"/>
          <w:color w:val="auto"/>
        </w:rPr>
      </w:pPr>
    </w:p>
    <w:p>
      <w:pPr>
        <w:ind w:left="300" w:right="459" w:firstLine="360"/>
        <w:spacing w:after="0" w:line="268" w:lineRule="auto"/>
        <w:rPr>
          <w:sz w:val="20"/>
          <w:szCs w:val="20"/>
          <w:color w:val="auto"/>
        </w:rPr>
      </w:pPr>
      <w:r>
        <w:rPr>
          <w:rFonts w:ascii="Times New Roman" w:cs="Times New Roman" w:eastAsia="Times New Roman" w:hAnsi="Times New Roman"/>
          <w:sz w:val="17"/>
          <w:szCs w:val="17"/>
          <w:color w:val="auto"/>
        </w:rPr>
        <w:t>If the Extension Amendment Proposal is not approved and we have not consummated a business combination by February 12, 2021,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w:t>
      </w:r>
    </w:p>
    <w:p>
      <w:pPr>
        <w:spacing w:after="0" w:line="2" w:lineRule="exact"/>
        <w:rPr>
          <w:sz w:val="20"/>
          <w:szCs w:val="20"/>
          <w:color w:val="auto"/>
        </w:rPr>
      </w:pPr>
    </w:p>
    <w:p>
      <w:pPr>
        <w:ind w:left="300" w:right="339" w:hanging="8"/>
        <w:spacing w:after="0" w:line="252" w:lineRule="auto"/>
        <w:tabs>
          <w:tab w:leader="none" w:pos="6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following such redemption, subject to the approval of our remaining shareholders and our board, liquidate and dissolve, subject to our obligations under Cayman Islands law to provide for claims of creditors and other requirements of applicable law. 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8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purpose of the Extension Amendment is to allow the Company more time to complete the WM business combination pursuant to the Merger Agreement. The Articles provide that we have until February 12, 2021 to complete a business combination. While we have entered into the Merger Agreement, our board currently believes that there may not be sufficient time before February 12, 2021 to hold an extraordinary general meeting for shareholder approval of the WM business combination and to consummate the WM business combination. Accordingly, our board believes that in order to be able to consummate the WM business combination, we may need to obtain the Extension. Therefore, our board has determined that it is in the best interests of our shareholders to extend the date that we have to consummate a business combination to the Extended Date.</w:t>
      </w:r>
    </w:p>
    <w:p>
      <w:pPr>
        <w:spacing w:after="0" w:line="84"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A copy of the proposed amendments to the Articles of the Company is attached to this Proxy Statement in Annex A.</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Redemption Rights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Articles provide that if our shareholders approve an amendment to our Articles (A) to modify the substance or timing of our obligation to redeem 100% of our public shares if we do not complete a business combination before February 12, 2021 (B) with respect to any other provision relating to shareholders’ rights or pre-business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We believe that this provision of the Articles was included to protect our shareholders from having to sustain their investments for an unreasonably long period if we failed to find a suitable business combination in the timeframe contemplated by the Articles.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the Extension Amendment Proposal is Not Approved</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459" w:firstLine="360"/>
        <w:spacing w:after="0" w:line="289" w:lineRule="auto"/>
        <w:rPr>
          <w:sz w:val="20"/>
          <w:szCs w:val="20"/>
          <w:color w:val="auto"/>
        </w:rPr>
      </w:pPr>
      <w:r>
        <w:rPr>
          <w:rFonts w:ascii="Times New Roman" w:cs="Times New Roman" w:eastAsia="Times New Roman" w:hAnsi="Times New Roman"/>
          <w:sz w:val="17"/>
          <w:szCs w:val="17"/>
          <w:color w:val="auto"/>
        </w:rPr>
        <w:t>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the Extension Amendment Proposal is Approved</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Upon approval of the Extension Amendment Proposal by the requisite number of votes, the amendments to our Articles that are set forth in Annex A hereto will become effective. We will remain a reporting company under the Exchange Act, and our units, public shares and warrants will remain publicly traded.</w:t>
      </w:r>
    </w:p>
    <w:p>
      <w:pPr>
        <w:spacing w:after="0" w:line="68"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If the Extension Amendment Proposal is approved and the Extension is implemented, the removal of the Withdrawal Amount from the Trust Account in connection with the Election will reduce the amount held in the Trust Account following the Election. We cannot predict the amount that will remain in the Trust Account if the Extension Amendment Proposal is approved and the amount remaining in the Trust Account may be only a small fraction of the approximately $254,115,791 that was in the Trust Account as of September 30, 2020. In such event, we may need to obtain additional funds to complete the WM business combination, including in order to satisfy a condition under the Merger Agreement to WMH’s obligations to consummate the WM business combination that Silver Spike’s Available Cash (as defined in the Merger Agreement) is greater than or equal to $300,000,000, and there can be no assurance that such funds will be available on terms acceptable or at all.</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Extension Amendment Proposal is approved but we do not consummate a business combination by the Extended Date,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86"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cannot assure you that the per share distribution from the Trust Account, if we liquidate, will not be less than $10.00 due to unforeseen claims of creditors. There will be no redemption rights or liquidating distributions with respect to our warrants, which will expire worthless in the event of our winding up. In the event of a liquidation, our Sponsor, the sole holder of our founder shares, will not receive any monies held in the Trust Account as a result of its ownership of the founder shares.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If the Extension Amendment Proposal is approved and the Extension is implemented, each of our public shareholders may submit an election that, if the Extension is implemented, such public shareholder elects to redeem all or a portion of his public shares at a per-share price, payable in cash, equal to the aggregate amount then on deposit in the Trust Account, including interest earned (net of taxes payable, if any), divided by the number of then outstanding public shares. You will also be able to redeem your public shares in connection with any business combination, or if we have not consummated a business combination by the Extended Date.</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TO DEMAND REDEMPTION, PRIOR TO 5:00 P.M. EASTERN TIME ON JANUARY 11, 2021 (TWO BUSINESS DAYS BEFORE THE EXTRAORDINARY GENERAL MEETING), YOU SHOULD ELECT EITHER TO PHYSICALLY TENDER YOUR SHARE CERTIFICATES TO CONTINENTAL STOCK TRANSFER &amp; TRUST COMPANY OR TO DELIVER YOUR SHARES TO THE TRANSFER AGENT ELECTRONICALLY USING DTC’S DWAC (DEPOSIT/WITHDRAWAL AT CUSTODIAN), AS DESCRIBED HEREIN. YOU SHOULD ENSURE THAT YOUR BANK OR BROKER COMPLIES WITH THE REQUIREMENTS IDENTIFIED ELSEWHERE HEREIN.</w:t>
      </w:r>
    </w:p>
    <w:p>
      <w:pPr>
        <w:spacing w:after="0" w:line="79" w:lineRule="exact"/>
        <w:rPr>
          <w:sz w:val="20"/>
          <w:szCs w:val="20"/>
          <w:color w:val="auto"/>
        </w:rPr>
      </w:pPr>
    </w:p>
    <w:p>
      <w:pPr>
        <w:ind w:left="300" w:right="619" w:firstLine="360"/>
        <w:spacing w:after="0" w:line="281" w:lineRule="auto"/>
        <w:rPr>
          <w:sz w:val="20"/>
          <w:szCs w:val="20"/>
          <w:color w:val="auto"/>
        </w:rPr>
      </w:pPr>
      <w:r>
        <w:rPr>
          <w:rFonts w:ascii="Times New Roman" w:cs="Times New Roman" w:eastAsia="Times New Roman" w:hAnsi="Times New Roman"/>
          <w:sz w:val="17"/>
          <w:szCs w:val="17"/>
          <w:color w:val="auto"/>
        </w:rPr>
        <w:t>In order to tender your ordinary shares for redemption, you must elect either to physically tender your share certificates to Continental Stock Transfer &amp; Trust Company, the Company’s transfer agent, at Continental Stock Transfer &amp; Trust Company, 1 State Street 30th Floor, New York, New York, 10004, Attn: Mark Zimkind, mzimkind@continentalstock.com, or to deliver your shares to the transfer agent electronically using DTC’s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39"/>
        <w:spacing w:after="0" w:line="289" w:lineRule="auto"/>
        <w:rPr>
          <w:sz w:val="20"/>
          <w:szCs w:val="20"/>
          <w:color w:val="auto"/>
        </w:rPr>
      </w:pPr>
      <w:r>
        <w:rPr>
          <w:rFonts w:ascii="Times New Roman" w:cs="Times New Roman" w:eastAsia="Times New Roman" w:hAnsi="Times New Roman"/>
          <w:sz w:val="17"/>
          <w:szCs w:val="17"/>
          <w:color w:val="auto"/>
        </w:rPr>
        <w:t xml:space="preserve">DWAC (Deposit/Withdrawal At Custodian) system, which election would likely be determined based on the manner in which you hold your shares. </w:t>
      </w:r>
      <w:r>
        <w:rPr>
          <w:rFonts w:ascii="Times New Roman" w:cs="Times New Roman" w:eastAsia="Times New Roman" w:hAnsi="Times New Roman"/>
          <w:sz w:val="17"/>
          <w:szCs w:val="17"/>
          <w:b w:val="1"/>
          <w:bCs w:val="1"/>
          <w:color w:val="auto"/>
        </w:rPr>
        <w:t>You should tender your ordinary shares in the manner described above prior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5:00 p.m. Eastern Time on January 11, 2021 (two business days before the Extraordinary General Meeting).</w:t>
      </w:r>
    </w:p>
    <w:p>
      <w:pPr>
        <w:spacing w:after="0" w:line="50"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Through the DWAC system, this electronic delivery process can be accomplished by the shareholder, whether or not it is a record holder or its shares are held in “street name,” by contacting the transfer agent or its broker and requesting delivery of its shares through the DWAC system. Delivering shares physically may take significantly longer. In order to obtain a physical share certificate, a shareholder’s broker and/or clearing broker, DTC, and our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$80 and the broker would determine whether or not to pass this cost on to the redeeming holder. It is our understanding that shareholders should generally allot at least two weeks to obtain physical certificates from the transfer agent. We do not have any control over this process or over the brokers or DTC, and it may take longer than two weeks to obtain a physical share certificate. Such shareholders will have less time to make their investment decision than those shareholders that deliver their shares through the DWAC system. Shareholders who request physical share certificates and wish to redeem may be unable to meet the deadline for tendering their shares before exercising their redemption rights and thus will be unable to redeem their shares.</w:t>
      </w:r>
    </w:p>
    <w:p>
      <w:pPr>
        <w:spacing w:after="0" w:line="8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Certificates that have not been tendered in accordance with these procedures prior to the vote on the Extension Amendment Proposal at the Extraordinary General Meeting will not be redeemed for cash held in the Trust Account on the redemption date. In the event that a public shareholder tenders its shares and decides prior to the vote at the Extraordinary General Meeting that it does not want to redeem its shares, the shareholder may withdraw the tender. If you delivered your ordinary shares for redemption to our transfer agent and decide prior to the vote at the Extraordinary General Meeting not to redeem your shares, you may request that our transfer agent return the shares (physically or electronically). You may make such request by contacting our transfer agent at the address listed above. In the event that a public shareholder tenders shares and the Extension Amendment Proposal is not approved, these shares will not be redeemed and the physical certificates representing these shares will be returned to the shareholder promptly following the determination that the Extension Amendment Proposal will not be approved. The transfer agent will hold the certificates of public shareholders that make the Election until such shares are redeemed for cash or returned to such shareholders.</w:t>
      </w:r>
    </w:p>
    <w:p>
      <w:pPr>
        <w:spacing w:after="0" w:line="8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properly demanded, we will redeem each public share for a per-share price, payable in cash, equal to the aggregate amount then on deposit in the Trust Account, including interest earned (net of taxes payable, if any), divided by the number of then outstanding public shares. Based upon the amount in the Trust Account as of September 30, 2020 which was $254,115,791, we anticipate that the per-share price at which public shares will be redeemed from cash held in the Trust Account will be approximately $10.16 at the time of the Extraordinary General Meeting. The closing price of the public shares on Nasdaq on December 21, 2020, the most recent practicable closing price prior to the mailing of this Proxy Statement, was $12.50. We cannot assure shareholders that they will be able to sell their shares in the open market, even if the market price per share is higher than the redemption price stated above, as there may not be sufficient liquidity in our securities when such shareholders wish to sell their shares.</w:t>
      </w:r>
    </w:p>
    <w:p>
      <w:pPr>
        <w:spacing w:after="0" w:line="86"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you exercise your redemption rights, you will be exchanging your ordinary shares for cash and will no longer own the shares. You will be entitled to receive cash for these shares only if you properly demand redemption and tender your share certificate(s) to our transfer agent prior to the vote on the Extension Amendment Proposal at the Extraordinary General Meeting. We anticipate that a public shareholder who tenders ordinary shares for redemption in connection with the vote to approve the Extension Amendment Proposal would receive payment of the redemption price for such shares soon after the completion of the Extension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UNITED STATES FEDERAL INCOME TAX CONSIDERATIONS FOR SHAREHOLDERS EXERCISING REDEMPTION RIGHTS</w:t>
      </w:r>
    </w:p>
    <w:p>
      <w:pPr>
        <w:spacing w:after="0" w:line="51"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certain United States federal income tax considerations generally applicable to U.S. Holders (as defined below) who elect to have their Class A ordinary shares redeemed for cash pursuant to the exercise of a right to redemption in connection with an Election.</w:t>
      </w:r>
    </w:p>
    <w:p>
      <w:pPr>
        <w:spacing w:after="0" w:line="68"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This discussion is limited to certain United States federal income tax considerations to such U.S. Holders who hold Class A ordinary shares as a capital asset under the U.S. Internal Revenue Code of 1986, as amended (the “Code”). This discussion is a summary only and does not consider all aspects of United States federal income taxation that may be relevant to a U.S. Holder exercising its right to redemption in light of such holder’s particular circumstances, including:</w:t>
      </w:r>
    </w:p>
    <w:p>
      <w:pPr>
        <w:spacing w:after="0" w:line="75"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 or ten percent or more of the total value of our shares;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5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hedging, conversion or other integrated or similar transaction;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United States federal income tax consequences different from those discussed below. Furthermore, this discussion does not address any aspect of United States federal non-income tax laws, such as gift, estate or Medicare contribution tax laws, or state, local or non-U.S. tax laws.</w:t>
      </w:r>
    </w:p>
    <w:p>
      <w:pPr>
        <w:spacing w:after="0" w:line="79" w:lineRule="exact"/>
        <w:rPr>
          <w:sz w:val="20"/>
          <w:szCs w:val="20"/>
          <w:color w:val="auto"/>
        </w:rPr>
      </w:pPr>
    </w:p>
    <w:p>
      <w:pPr>
        <w:ind w:left="300" w:right="539" w:firstLine="360"/>
        <w:spacing w:after="0" w:line="281" w:lineRule="auto"/>
        <w:rPr>
          <w:sz w:val="20"/>
          <w:szCs w:val="20"/>
          <w:color w:val="auto"/>
        </w:rPr>
      </w:pPr>
      <w:r>
        <w:rPr>
          <w:rFonts w:ascii="Times New Roman" w:cs="Times New Roman" w:eastAsia="Times New Roman" w:hAnsi="Times New Roman"/>
          <w:sz w:val="17"/>
          <w:szCs w:val="17"/>
          <w:color w:val="auto"/>
        </w:rPr>
        <w:t>We have not sought, and will not seek, a ruling from the Internal Revenue Service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spacing w:after="0" w:line="5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75" w:lineRule="exact"/>
        <w:rPr>
          <w:sz w:val="20"/>
          <w:szCs w:val="20"/>
          <w:color w:val="auto"/>
        </w:rPr>
      </w:pPr>
    </w:p>
    <w:p>
      <w:pPr>
        <w:ind w:left="300" w:right="499"/>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UNITED STATES FEDERAL INCOME TAX CONSIDERATIONS ASSOCIATED WITH AN ELECTION. EACH REDEEMING U.S. HOLDER IS URGED TO CONSULT ITS OWN TAX ADVISOR WITH RESPECT TO THE PARTICULAR TAX CONSEQUENCES TO SUCH U.S. HOLDER OF THE EXERCISE OF REDEMPTION RIGHTS THROUGH AN ELECTION, INCLUDING THE APPLICABILITY AND EFFECT OF ANY STATE, LOCAL, AND NON-U.S. TAX LAWS.</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Redemption as Sale or Distribution</w:t>
      </w:r>
    </w:p>
    <w:p>
      <w:pPr>
        <w:spacing w:after="0" w:line="119"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color w:val="auto"/>
        </w:rPr>
        <w:t>Subject to the PFIC rules discussed below, in the event that a U.S. Holder’s Class A ordinary shares are redeemed pursuant to an Election, the treatment of the transaction for United States federal income tax purposes will depend on whether the redemption qualifies as a sale of the Class A ordinary shares under Section 302 of the Code. If the redemption qualifies as a sale of Class A ordinary shares, a U.S. Holder generally will recognize capital gain or loss and any such capital gain or loss generally will be long-term capital gain or loss if the U.S. Holder’s holding period for such Class A ordinary shares exceeds one year. It is unclear, however, whether certain redemption rights described in the IPO prospectus may suspend the running of the applicable holding period for this purpose. If the redemption does not qualify as a sale of Class A ordinary shares, the U.S. Holder generally will be required to include in gross income as a dividend the amount of the distribution to the extent the distribution is paid out of our current or accumulated earnings and profits (as determined under United States federal income tax principles).</w:t>
      </w:r>
    </w:p>
    <w:p>
      <w:pPr>
        <w:spacing w:after="0" w:line="6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Whether a redemption pursuant to an Election qualifies for sale treatment will depend largely on the total number of our Class A ordinary shares treated as held by the U.S. Holder (including any Class A ordinary shares constructively owned by the U.S. Holder as a result of owning warrants) relative to all of our shares outstanding both before and after such redemption. The redemption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8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a business combination the ordinary shares may not be treated as voting shares for this purpose and, consequently, this substantially disproportionate test may not be applicable. There will be a complete termination of a U.S. Holder’s interest if either (i) all of our Class A ordinary shares actually and constructively owned by the U.S. Holder are redeemed or (ii) all of our Class A ordinary shares actually owned by the U.S. Holder are redeemed and the U.S. Holder is eligible to waive, and effectively waives in accordance with specific rules, the attribution of Class A ordinary shares owned by certain family members and the U.S. Holder does not constructively own any other shares of ours.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w:t>
      </w:r>
    </w:p>
    <w:p>
      <w:pPr>
        <w:spacing w:after="0" w:line="68"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corporate distribution as described above. A U.S. Holder considering exercising its redemption right should consult its own tax advisor as to whether the redemption will be treated as a sale or as a corporate distribution under the Code.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(“PFIC”) Rules</w:t>
      </w:r>
    </w:p>
    <w:p>
      <w:pPr>
        <w:spacing w:after="0" w:line="11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Because we are a blank check company, with no current active business, we believe that it is likely that we met the PFIC asset or income test for our initial taxable year ending December 31, 2019 and that we will meet the PFIC asset or income test for our current taxable year ending December 31, 2020. Accordingly, if a U.S. Holder did not make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which would include a redemption pursuant to an Election if such redemption is treated as a sale under the rules discussed above,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 which may include a redemption pursuant to an Election if such redemption is treated as a corporate distribution under the rules discussed above.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17" w:lineRule="exact"/>
        <w:rPr>
          <w:sz w:val="20"/>
          <w:szCs w:val="20"/>
          <w:color w:val="auto"/>
        </w:rPr>
      </w:pPr>
    </w:p>
    <w:p>
      <w:pPr>
        <w:ind w:left="1000" w:right="7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 or warrants;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QEF Election</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 U.S. Holder has made a QEF election with respect to our Class A ordinary shares for our first taxable year as a PFIC in which the U.S. Holder holds (or is deemed to hold) such shares, (i) any gain recognized as a result of a redemption pursuant to an Election (if such redemption is treated as a sale under the rules discussed above) generally will be taxable as capital gain and no additional tax will be imposed under the PFIC rules, and (ii) to the extent such redemption is treated as a distribution under the rules discussed above, any distribution of ordinary earnings that were previously included in income generally should not be taxable as a dividend to such U.S. Holder.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86"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may not make a QEF election with respect to its warrants to acquire our Class A ordinary shares.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a U.S. Holder makes a QEF election after our first taxable year as a PFIC in which the U.S. Holder held (or was deemed to hold) Class A ordinary shares, the adverse PFIC tax consequences (with adjustments to take into account any current income inclusions resulting from the QEF election) will continue to apply with respect to such Class A ordinary shares unless the U.S. Holder makes a purging election under the PFIC rules. Under the purging election, the U.S. Holder will be deemed to have sold such Class A ordinary shares at their fair market value and any gain recognized on such deemed sale will be treated as an excess distribution, taxed under the PFIC rules described above. As a result of the purging election, the U.S. Holder will have a new basis and holding period in such Class A ordinary shares for purposes of the PFIC rules.</w:t>
      </w:r>
    </w:p>
    <w:p>
      <w:pPr>
        <w:spacing w:after="0" w:line="84" w:lineRule="exact"/>
        <w:rPr>
          <w:sz w:val="20"/>
          <w:szCs w:val="20"/>
          <w:color w:val="auto"/>
        </w:rPr>
      </w:pPr>
    </w:p>
    <w:p>
      <w:pPr>
        <w:jc w:val="both"/>
        <w:ind w:left="300" w:right="939" w:firstLine="360"/>
        <w:spacing w:after="0" w:line="312" w:lineRule="auto"/>
        <w:rPr>
          <w:sz w:val="20"/>
          <w:szCs w:val="20"/>
          <w:color w:val="auto"/>
        </w:rPr>
      </w:pPr>
      <w:r>
        <w:rPr>
          <w:rFonts w:ascii="Times New Roman" w:cs="Times New Roman" w:eastAsia="Times New Roman" w:hAnsi="Times New Roman"/>
          <w:sz w:val="17"/>
          <w:szCs w:val="17"/>
          <w:color w:val="auto"/>
        </w:rPr>
        <w:t>In order to comply with the requirements of a QEF election, a U.S. Holder must receive a PFIC annual information statement from us. There is no assurance that we will timely provide such required information.</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Mark-to Market Election</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8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ordinary shares under their particular circumstances.</w:t>
      </w:r>
    </w:p>
    <w:p>
      <w:pPr>
        <w:spacing w:after="0" w:line="79"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under their particular circumstances.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EXTRAORDINARY GENERAL MEETING</w:t>
      </w:r>
    </w:p>
    <w:p>
      <w:pPr>
        <w:spacing w:after="0" w:line="119" w:lineRule="exact"/>
        <w:rPr>
          <w:sz w:val="20"/>
          <w:szCs w:val="20"/>
          <w:color w:val="auto"/>
        </w:rPr>
      </w:pPr>
    </w:p>
    <w:p>
      <w:pPr>
        <w:ind w:left="300" w:right="6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Date, Time and Place</w:t>
      </w:r>
      <w:r>
        <w:rPr>
          <w:rFonts w:ascii="Times New Roman" w:cs="Times New Roman" w:eastAsia="Times New Roman" w:hAnsi="Times New Roman"/>
          <w:sz w:val="18"/>
          <w:szCs w:val="18"/>
          <w:color w:val="auto"/>
        </w:rPr>
        <w:t>. The Extraordinary General Meeting of our shareholders will be held at 10:30 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Eastern Time on January 13, 2021 at our offices, located at 660 Madison Ave., Suite 1600, New York, New York 10065.</w:t>
      </w:r>
    </w:p>
    <w:p>
      <w:pPr>
        <w:spacing w:after="0" w:line="5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Voting Power; Record Date</w:t>
      </w:r>
      <w:r>
        <w:rPr>
          <w:rFonts w:ascii="Times New Roman" w:cs="Times New Roman" w:eastAsia="Times New Roman" w:hAnsi="Times New Roman"/>
          <w:sz w:val="18"/>
          <w:szCs w:val="18"/>
          <w:color w:val="auto"/>
        </w:rPr>
        <w:t>. You will be entitled to vote or direct votes to be cast at the Extraordinary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if you owned the ordinary shares at the close of business on December 18, 2020, the record date for the Extraordinary General Meeting. You will have one vote per proposal for each share of ordinary shares you owned at that time. The Company warrants do not carry voting rights.</w:t>
      </w:r>
    </w:p>
    <w:p>
      <w:pPr>
        <w:spacing w:after="0" w:line="58"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Votes Required</w:t>
      </w:r>
      <w:r>
        <w:rPr>
          <w:rFonts w:ascii="Times New Roman" w:cs="Times New Roman" w:eastAsia="Times New Roman" w:hAnsi="Times New Roman"/>
          <w:sz w:val="18"/>
          <w:szCs w:val="18"/>
          <w:color w:val="auto"/>
        </w:rPr>
        <w:t>. The approval of the Extension Amendment Proposal requires a special resolution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law, being the affirmative vote of the holders of at least two-thirds of the then issued and outstanding ordinary shares who, being present and entitled to vote at the Extraordinary General Meeting, actually vote at the Extraordinary General Meeting.</w:t>
      </w:r>
    </w:p>
    <w:p>
      <w:pPr>
        <w:spacing w:after="0" w:line="47" w:lineRule="exact"/>
        <w:rPr>
          <w:sz w:val="20"/>
          <w:szCs w:val="20"/>
          <w:color w:val="auto"/>
        </w:rPr>
      </w:pPr>
    </w:p>
    <w:p>
      <w:pPr>
        <w:jc w:val="both"/>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the record date of the Extraordinary General Meeting, there were 31,250,000 ordinary shares outstanding, of which 25,000,000 were public shares and 6,250,000 were founder shares. The founder shares carry voting rights in connection with the Extension Amendment Proposal and the Adjournment Proposal, and we have been informed by our Sponsor, that holds 6,250,000 founder shares in the aggregate, that it intends to vote in favor of the Extension Amendment Proposal and the Adjournment Proposal.</w:t>
      </w:r>
    </w:p>
    <w:p>
      <w:pPr>
        <w:spacing w:after="0" w:line="6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If you do not want the Extension Amendment Proposal to be approved, you must vote “AGAINST” the proposal. If the Extension Amendment Proposal is approved, and the Extension is implemented, then the Withdrawal Amount will be withdrawn from the Trust Account and paid pro rata to the redeeming holders. You will still be entitled to make the Election if you vote for or against, abstain or do not vote on the Extension Amendment Proposal.</w:t>
      </w:r>
    </w:p>
    <w:p>
      <w:pPr>
        <w:spacing w:after="0" w:line="62"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An abstention or broker non-vote will be counted towards the quorum requirement but will not count as a vote cast at the Extraordinary General Meeting.</w:t>
      </w:r>
    </w:p>
    <w:p>
      <w:pPr>
        <w:spacing w:after="0" w:line="25" w:lineRule="exact"/>
        <w:rPr>
          <w:sz w:val="20"/>
          <w:szCs w:val="20"/>
          <w:color w:val="auto"/>
        </w:rPr>
      </w:pPr>
    </w:p>
    <w:p>
      <w:pPr>
        <w:ind w:left="300" w:right="399" w:firstLine="360"/>
        <w:spacing w:after="0" w:line="275" w:lineRule="auto"/>
        <w:rPr>
          <w:sz w:val="20"/>
          <w:szCs w:val="20"/>
          <w:color w:val="auto"/>
        </w:rPr>
      </w:pPr>
      <w:r>
        <w:rPr>
          <w:rFonts w:ascii="Times New Roman" w:cs="Times New Roman" w:eastAsia="Times New Roman" w:hAnsi="Times New Roman"/>
          <w:sz w:val="17"/>
          <w:szCs w:val="17"/>
          <w:i w:val="1"/>
          <w:iCs w:val="1"/>
          <w:color w:val="auto"/>
        </w:rPr>
        <w:t>Proxies; Board Solicitation; Proxy Solicitor</w:t>
      </w:r>
      <w:r>
        <w:rPr>
          <w:rFonts w:ascii="Times New Roman" w:cs="Times New Roman" w:eastAsia="Times New Roman" w:hAnsi="Times New Roman"/>
          <w:sz w:val="17"/>
          <w:szCs w:val="17"/>
          <w:color w:val="auto"/>
        </w:rPr>
        <w:t>. Your proxy is being solicited by our board on the proposals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approve the Extension Amendment Proposal being presented to shareholders at the Extraordinary General Meeting. We have engaged D.F. King to assist in the solicitation of proxies for the Extraordinary General Meeting. No recommendation is being made as to whether you should elect to redeem your shares. Proxies may be solicited in person or by telephone. If you grant a proxy, you may still revoke your proxy and vote your shares in person at the Extraordinary General Meeting if you are a holder of record of the ordinary shares. You may contact D.F. King at:</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D.F. King &amp; Co., Inc.</w:t>
      </w:r>
    </w:p>
    <w:p>
      <w:pPr>
        <w:ind w:left="660"/>
        <w:spacing w:after="0" w:line="182" w:lineRule="auto"/>
        <w:rPr>
          <w:sz w:val="20"/>
          <w:szCs w:val="20"/>
          <w:color w:val="auto"/>
        </w:rPr>
      </w:pPr>
      <w:r>
        <w:rPr>
          <w:rFonts w:ascii="Times New Roman" w:cs="Times New Roman" w:eastAsia="Times New Roman" w:hAnsi="Times New Roman"/>
          <w:sz w:val="17"/>
          <w:szCs w:val="17"/>
          <w:color w:val="auto"/>
        </w:rPr>
        <w:t>48 Wall Street,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Banks and Brokers Call Collect: (212) 269-5550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Others Call Toll-Free: (877) 478-5045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SSPK@dfking.com</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The approval of the Extension Amendment Proposal requires a special resolution under Cayman Islands law, being the affirmative vote of the holders of at least two-thirds of the then issued and outstanding ordinary shares who, being present and entitled to vote at the Extraordinary General Meeting, actually vote at the Extraordinary General Meeting.</w:t>
      </w:r>
    </w:p>
    <w:p>
      <w:pPr>
        <w:spacing w:after="0" w:line="5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board, liquidate and dissolve, subject to our obligations under Cayman Islands law to provide for claims of creditors and other requirements of applicable law. There will be no redemption rights or liquidating distributions with respect to our warrants, which will expire worthless if we fail to complete a business combination by February 12, 2021. In the event of a liquidation, holders of our founder shares, including our Sponsor, will not receive any monies held in the Trust Account as a result of their ownership of the founder shares.</w:t>
      </w:r>
    </w:p>
    <w:p>
      <w:pPr>
        <w:spacing w:after="0" w:line="62"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In addition, our Sponsor, directors, officers, advisors or any of their affiliates may purchase public shares in privately negotiated transactions or in the open market either prior to the Extraordinary General Meeting. None of our Sponsor, directors, officers, advisors or any of their affiliates have current commitments, plans or intentions to engage in such transactions and have not formulated any terms or conditions for any such transactions. None of the funds in the Trust Account will be used to purchase public shares in such transactions. Any such purchases that are completed after the record date for the Extraordinary General Meeting may include an agreement with a selling shareholder that such shareholder, for so long as it remains the record holder of the shares in question, will vote in favor of the Extension Amendment Proposal and/or will not exercise its redemption rights with respect to the shares so purchased. The purpose of such share purchases and other transactions would be to increase the likelihood that the resolutions to be put to the Extraordinary General Meeting are approved by the requisite number of votes. In the event that such purchases do occur, the purchasers may seek to purchase shares from shareholders who would otherwise have voted against the Extension Amendment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Extension Amendment Proposal. None of our Sponsor, directors, officers, advisors or their affiliates may make any such purchases when they are in possession of any material non-public information not disclosed to the seller or during a restricted period under Regulation M under the Exchange Act.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our Sponsor, Directors and Officers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our Sponsor, directors and officers have interests that may be different from, or in addition to, your interests as a shareholder. These interests include, among other things, the interests listed below:</w:t>
      </w:r>
    </w:p>
    <w:p>
      <w:pPr>
        <w:spacing w:after="0" w:line="54" w:lineRule="exact"/>
        <w:rPr>
          <w:sz w:val="20"/>
          <w:szCs w:val="20"/>
          <w:color w:val="auto"/>
        </w:rPr>
      </w:pPr>
    </w:p>
    <w:p>
      <w:pPr>
        <w:ind w:left="1000" w:right="359" w:hanging="348"/>
        <w:spacing w:after="0" w:line="25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consummate a business combination transaction by February 12, 2021, which is 18 months from the closing of our IPO, or by the Extended Date if the Extension Amendment Proposal is approved by the requisite number of votes, we would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 In such event, the founder shares, including the 6,250,000 founder shares owned by our Sponsor, would be worthless because following the redemption of the public shares, we would likely have few, if any, net assets and because the holder of our founder shares has agreed to waive its rights to liquidating distributions from the Trust Account with respect to the founder shares if we fail to complete a business combination within the required period.</w:t>
      </w:r>
    </w:p>
    <w:p>
      <w:pPr>
        <w:spacing w:after="0" w:line="73"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simultaneously with the closing of our IPO, we consummated the sale of 7,000,000 private placement warrants at a price of $1.00 per warrant in a private placement to our Sponsor. The warrants are each exercisable for one ordinary share at $11.50 per share. If we do not consummate a business combination by February 12, 2021, or by the Extended Date if the Extension Amendment Proposal is approved by the requisite number of votes, then the proceeds from the sale of the private placement warrants will be part of the liquidating distribution to the public shareholders and the warrants held by our Sponsor and its affiliate will be worthless.</w:t>
      </w:r>
    </w:p>
    <w:p>
      <w:pPr>
        <w:spacing w:after="0" w:line="80" w:lineRule="exact"/>
        <w:rPr>
          <w:rFonts w:ascii="Times New Roman" w:cs="Times New Roman" w:eastAsia="Times New Roman" w:hAnsi="Times New Roman"/>
          <w:sz w:val="18"/>
          <w:szCs w:val="18"/>
          <w:color w:val="auto"/>
        </w:rPr>
      </w:pPr>
    </w:p>
    <w:p>
      <w:pPr>
        <w:ind w:left="1000" w:right="619" w:hanging="348"/>
        <w:spacing w:after="0" w:line="312"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directors and executive officers may continue to be directors and officers of any acquired business after the consummation of a business combination. As such, in the future they will receive any cash</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79"/>
        <w:spacing w:after="0" w:line="312" w:lineRule="auto"/>
        <w:rPr>
          <w:sz w:val="20"/>
          <w:szCs w:val="20"/>
          <w:color w:val="auto"/>
        </w:rPr>
      </w:pPr>
      <w:r>
        <w:rPr>
          <w:rFonts w:ascii="Times New Roman" w:cs="Times New Roman" w:eastAsia="Times New Roman" w:hAnsi="Times New Roman"/>
          <w:sz w:val="17"/>
          <w:szCs w:val="17"/>
          <w:color w:val="auto"/>
        </w:rPr>
        <w:t>fees, stock options or stock awards that a post-business combination board of directors determines to pay to its directors and officers if they continue as directors and officers following such business combination.</w:t>
      </w:r>
    </w:p>
    <w:p>
      <w:pPr>
        <w:spacing w:after="0" w:line="32" w:lineRule="exact"/>
        <w:rPr>
          <w:sz w:val="20"/>
          <w:szCs w:val="20"/>
          <w:color w:val="auto"/>
        </w:rPr>
      </w:pPr>
    </w:p>
    <w:p>
      <w:pPr>
        <w:ind w:left="1000" w:right="299" w:hanging="348"/>
        <w:spacing w:after="0" w:line="25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the IPO against certain liabilities, including liabilities under the Securities Act.</w:t>
      </w:r>
    </w:p>
    <w:p>
      <w:pPr>
        <w:spacing w:after="0" w:line="80" w:lineRule="exact"/>
        <w:rPr>
          <w:rFonts w:ascii="Times New Roman" w:cs="Times New Roman" w:eastAsia="Times New Roman" w:hAnsi="Times New Roman"/>
          <w:sz w:val="18"/>
          <w:szCs w:val="18"/>
          <w:color w:val="auto"/>
        </w:rPr>
      </w:pPr>
    </w:p>
    <w:p>
      <w:pPr>
        <w:ind w:left="1000" w:right="399" w:hanging="348"/>
        <w:spacing w:after="0" w:line="25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consummation of a business combination, our Sponsor, our officers and directors and their respective affiliates will be reimbursed for any out-of-pocket expenses incurred in connection with activities on our behalf such as identifying, investigating potential target businesses and performing due diligence on and completing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 However, if we fail to consummate a business combination within the applicable period, our Sponsor and our officers and directors and their respective affiliates will not have any claim against the Trust Account for reimbursement, and we may not otherwise be able to reimburse them. In addition, our Sponsor or an affiliate of our Sponsor or certain of our officers and directors may, but are not obligated to, loan us funds as may be required to finance transaction costs in connection with an intended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Board’s Reasons for the Extension Amendment Proposal and Its Recommendation</w:t>
      </w:r>
    </w:p>
    <w:p>
      <w:pPr>
        <w:spacing w:after="0" w:line="121" w:lineRule="exact"/>
        <w:rPr>
          <w:sz w:val="20"/>
          <w:szCs w:val="20"/>
          <w:color w:val="auto"/>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As discussed below, after careful consideration of all relevant factors, our board has determined that the Extension Amendment is in the best interests of the Company and its shareholders. Our board has approved and declared advisable adoption of the Extension Amendment Proposal, and recommends that you vote “FOR” such proposal.</w:t>
      </w:r>
    </w:p>
    <w:p>
      <w:pPr>
        <w:spacing w:after="0" w:line="72"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Our Articles provide that we have until February 12, 2021 to complete a business combination under its terms. Our Articles provide that if our shareholders approve an amendment to our Articles (A) to modify the substance or timing of our obligation to redeem all of our public shares if we do not complete a business combination before February 12, 2021 (B) with respect to any other provision relating to shareholders’ rights or pre-business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We believe that this provision of the Articles was included to protect our shareholders from having to sustain their investments for an unreasonably long period if we failed to find a suitable business combination in the timeframe contemplated by the Articles. Our board believes, however, that given our expenditure of time, effort and money on the WM business combination, circumstances warrant providing those who believe the WM business combination to be an attractive investment with an opportunity to consider such transaction, inasmuch as we are also affording shareholders who wish to redeem their public shares the opportunity to do so, as required under the Articles. If you do not elect to redeem your public shares, you will retain the right to vote on any business combination in the future and the right to redeem your public shares in connection with such business combination. After careful consideration of all relevant factors, our board determined that the Extension Amendment is in the best interests of the Company and its shareholders.</w:t>
      </w:r>
    </w:p>
    <w:p>
      <w:pPr>
        <w:spacing w:after="0" w:line="81" w:lineRule="exact"/>
        <w:rPr>
          <w:sz w:val="20"/>
          <w:szCs w:val="20"/>
          <w:color w:val="auto"/>
        </w:rPr>
      </w:pPr>
    </w:p>
    <w:p>
      <w:pPr>
        <w:ind w:left="300" w:right="4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that our shareholders vote “FOR” the approval of the Extension Amendment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APPOINTMENT PROPOSAL</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the Extraordinary General Meeting, the Class B shareholders are being asked to re-appoint Scott Gordon and William Healy as Class 1 directors, with each such director to serve until the second annual general meeting following this Extraordinary General Meeting and, in each case, until his successor is appointed and qualified (the “Director Proposal”).</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Pursuant to our amended and restated memorandum and articles of association, until the closing of our initial business combination, only holders of our Class B ordinary shares can appoint or remove directors. Therefore, only holders of Class B ordinary shares will vote on the Director Proposal. The appointment of each director nominee requires the affirmative vote (in person or by proxy) of the holders of a majority of the outstanding Class B ordinary shares entitled to vote and actually cast thereon at the Extraordinary General Meeting, and our Sponsor has informed us that it intends to vote in favor of the Director Proposal.</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information regarding each of our director nominees:</w:t>
      </w:r>
    </w:p>
    <w:p>
      <w:pPr>
        <w:spacing w:after="0" w:line="113"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Scott Gordon</w:t>
      </w:r>
      <w:r>
        <w:rPr>
          <w:rFonts w:ascii="Times New Roman" w:cs="Times New Roman" w:eastAsia="Times New Roman" w:hAnsi="Times New Roman"/>
          <w:sz w:val="18"/>
          <w:szCs w:val="18"/>
          <w:color w:val="auto"/>
        </w:rPr>
        <w:t>, 58, has been the Chairman of our board of directors and has served as our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our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7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William Healy</w:t>
      </w:r>
      <w:r>
        <w:rPr>
          <w:rFonts w:ascii="Times New Roman" w:cs="Times New Roman" w:eastAsia="Times New Roman" w:hAnsi="Times New Roman"/>
          <w:sz w:val="18"/>
          <w:szCs w:val="18"/>
          <w:color w:val="auto"/>
        </w:rPr>
        <w:t>, 57, has been a member of our board of directors and has served as our President since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Since 1986, Mr. Healy has advised and 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17" w:lineRule="exact"/>
        <w:rPr>
          <w:sz w:val="20"/>
          <w:szCs w:val="20"/>
          <w:color w:val="auto"/>
        </w:rPr>
      </w:pPr>
    </w:p>
    <w:p>
      <w:pPr>
        <w:ind w:left="300" w:right="55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Orrin Devinsky</w:t>
      </w:r>
      <w:r>
        <w:rPr>
          <w:rFonts w:ascii="Times New Roman" w:cs="Times New Roman" w:eastAsia="Times New Roman" w:hAnsi="Times New Roman"/>
          <w:sz w:val="18"/>
          <w:szCs w:val="18"/>
          <w:color w:val="auto"/>
        </w:rPr>
        <w:t>, 63, has served as a member of our board of directors since August 2019. Since 1989,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Devinsky has directed the NYU 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 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w:t>
      </w:r>
    </w:p>
    <w:p>
      <w:pPr>
        <w:spacing w:after="0" w:line="3" w:lineRule="exact"/>
        <w:rPr>
          <w:sz w:val="20"/>
          <w:szCs w:val="20"/>
          <w:color w:val="auto"/>
        </w:rPr>
      </w:pPr>
    </w:p>
    <w:p>
      <w:pPr>
        <w:ind w:left="300" w:right="579"/>
        <w:spacing w:after="0" w:line="260" w:lineRule="auto"/>
        <w:rPr>
          <w:sz w:val="20"/>
          <w:szCs w:val="20"/>
          <w:color w:val="auto"/>
        </w:rPr>
      </w:pPr>
      <w:r>
        <w:rPr>
          <w:rFonts w:ascii="Times New Roman" w:cs="Times New Roman" w:eastAsia="Times New Roman" w:hAnsi="Times New Roman"/>
          <w:sz w:val="18"/>
          <w:szCs w:val="18"/>
          <w:color w:val="auto"/>
        </w:rPr>
        <w:t>a biopharmaceutical company developing a new rescue therapy for people who experience uncontrolled epileptic seizures; since 2018, Dr. Devinsky has served as the Chief Medical Officer for Receptor Life Sciences,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w:t>
      </w:r>
    </w:p>
    <w:p>
      <w:pPr>
        <w:spacing w:after="0" w:line="68" w:lineRule="exact"/>
        <w:rPr>
          <w:sz w:val="20"/>
          <w:szCs w:val="20"/>
          <w:color w:val="auto"/>
        </w:rPr>
      </w:pPr>
    </w:p>
    <w:p>
      <w:pPr>
        <w:ind w:left="300" w:right="439" w:firstLine="3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Richard M. Goldman</w:t>
      </w:r>
      <w:r>
        <w:rPr>
          <w:rFonts w:ascii="Times New Roman" w:cs="Times New Roman" w:eastAsia="Times New Roman" w:hAnsi="Times New Roman"/>
          <w:sz w:val="17"/>
          <w:szCs w:val="17"/>
          <w:color w:val="auto"/>
        </w:rPr>
        <w:t>, 59, has served as a member of our board of directors since August 2019. Since 2012,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Goldman has been the 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w:t>
      </w:r>
    </w:p>
    <w:p>
      <w:pPr>
        <w:spacing w:after="0" w:line="8" w:lineRule="exact"/>
        <w:rPr>
          <w:sz w:val="20"/>
          <w:szCs w:val="20"/>
          <w:color w:val="auto"/>
        </w:rPr>
      </w:pPr>
    </w:p>
    <w:p>
      <w:pPr>
        <w:ind w:left="300" w:right="379"/>
        <w:spacing w:after="0" w:line="260" w:lineRule="auto"/>
        <w:rPr>
          <w:sz w:val="20"/>
          <w:szCs w:val="20"/>
          <w:color w:val="auto"/>
        </w:rPr>
      </w:pPr>
      <w:r>
        <w:rPr>
          <w:rFonts w:ascii="Times New Roman" w:cs="Times New Roman" w:eastAsia="Times New Roman" w:hAnsi="Times New Roman"/>
          <w:sz w:val="18"/>
          <w:szCs w:val="18"/>
          <w:color w:val="auto"/>
        </w:rPr>
        <w:t>Mr. Goldman received a bachelor's degree from Bowdoin College in 1983. We believe Mr. Goldman's experience in the investment management business make him well qualified to serve as a director.</w:t>
      </w:r>
    </w:p>
    <w:p>
      <w:pPr>
        <w:spacing w:after="0" w:line="69"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Kenneth H. Landis</w:t>
      </w:r>
      <w:r>
        <w:rPr>
          <w:rFonts w:ascii="Times New Roman" w:cs="Times New Roman" w:eastAsia="Times New Roman" w:hAnsi="Times New Roman"/>
          <w:sz w:val="18"/>
          <w:szCs w:val="18"/>
          <w:color w:val="auto"/>
        </w:rPr>
        <w:t>, 69, has served as a member of our board of directors since August 2019. Since 2000,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Landis has been the CEO of Landis Capital, LLC, a provider of capital for seed, early stage and later 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 stage private companies and as a Trustee of Suffield Academy. Mr. Landis obtained a BS in Economics degree from the University of Pennsylvania in 1972 and an MBA from New York University in 1973. We believe that Mr. Landis’ extensive managerial, financial and accounting experience makes him well qualified to serve as a member of our board of directors.</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 to be Approved</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“RESOLVED, as an ordinary resolution of the holders of Class B ordinary shares of the Company THAT, Scott Gordon and William Healy be re-appointed as a director of the Company, each to hold office until the second annual general meeting following this Extraordinary General Meeting in accordance with the amended and restated memorandum and articles of association of the Company.”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Director Proposal must be approved as an ordinary resolution of the holders of Class B ordinary shares under Cayman Islands law, being the affirmative vote of the holders of a majority of the then issued and outstanding Class B ordinary shares who, being present and entitled to vote at the Extraordinary General Meeting, vote at the Extraordinary General Meeting. An abstention or broker non-vote will be counted towards the quorum requirement but will not count as a vote cast at the Extraordinary General Meeting.</w:t>
      </w:r>
    </w:p>
    <w:p>
      <w:pPr>
        <w:spacing w:after="0" w:line="71" w:lineRule="exact"/>
        <w:rPr>
          <w:sz w:val="20"/>
          <w:szCs w:val="20"/>
          <w:color w:val="auto"/>
        </w:rPr>
      </w:pPr>
    </w:p>
    <w:p>
      <w:pPr>
        <w:ind w:left="30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that our Class B shareholders vote “FOR” the approval of the Director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Extraordinary General Meeting to a later date or dates to permit further solicitation of proxies. The Adjournment Proposal will only be presented to our shareholders in the event that there are insufficient votes for, or otherwise in connection with, the approval of the Extension Amendment Proposal. In no event will our board adjourn the Extraordinary General Meeting beyond February 12, 2021.</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our shareholders, our board may not be able to adjourn the Extraordinary General Meeting to a later date in the event that there are insufficient votes for, or otherwise in connection with, the approval of the Extension Amendment Proposal.</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Full Text of the Resolution to be Approved</w:t>
      </w:r>
    </w:p>
    <w:p>
      <w:pPr>
        <w:spacing w:after="0" w:line="121"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“RESOLVED, as an ordinary resolution THAT, the adjournment of the Extraordinary General Meeting to a later date or dates to permit further solicitation of proxies to be determined by the chairman of the Extraordinary General Meeting be confirmed, adopted, approved and ratified in all respects.”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Adjournment Proposal must be approved as an ordinary resolution under Cayman Islands law, being the affirmative vote of the holders of a majority of the then issued and outstanding ordinary shares who, being present and entitled to vote at the Extraordinary General Meeting, vote at the Extraordinary General Meeting. An abstention or broker non-vote will be counted towards the quorum requirement but will not count as a vote cast at the Extraordinary General Meeting.</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300" w:right="3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If presented, our board unanimously recommends that our shareholders vote “FOR” the approval of the Adjournment Proposal.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ordinary shares as of December 21, 2020, based on information obtained from the persons named below, with respect to the beneficial ownership of shares of the ordinary shares, by:</w:t>
      </w:r>
    </w:p>
    <w:p>
      <w:pPr>
        <w:spacing w:after="0" w:line="68" w:lineRule="exact"/>
        <w:rPr>
          <w:sz w:val="20"/>
          <w:szCs w:val="20"/>
          <w:color w:val="auto"/>
        </w:rPr>
      </w:pPr>
    </w:p>
    <w:p>
      <w:pPr>
        <w:ind w:left="1000" w:right="87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ordinary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officers and directors as a group.</w:t>
      </w:r>
    </w:p>
    <w:p>
      <w:pPr>
        <w:spacing w:after="0" w:line="117"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December 21, 2020.</w:t>
      </w:r>
    </w:p>
    <w:p>
      <w:pPr>
        <w:spacing w:after="0" w:line="25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Class B</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Class A</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Shares</w:t>
            </w:r>
            <w:r>
              <w:rPr>
                <w:rFonts w:ascii="Times New Roman" w:cs="Times New Roman" w:eastAsia="Times New Roman" w:hAnsi="Times New Roman"/>
                <w:sz w:val="23"/>
                <w:szCs w:val="23"/>
                <w:b w:val="1"/>
                <w:bCs w:val="1"/>
                <w:color w:val="auto"/>
                <w:w w:val="92"/>
                <w:vertAlign w:val="superscript"/>
              </w:rPr>
              <w:t>(2)</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331"/>
        </w:trPr>
        <w:tc>
          <w:tcPr>
            <w:tcW w:w="3900" w:type="dxa"/>
            <w:vAlign w:val="bottom"/>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Anthony A. Yoseloff</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1,900,000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324"/>
        </w:trPr>
        <w:tc>
          <w:tcPr>
            <w:tcW w:w="390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Polar Asset Management Partners, Inc.</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2,573,000</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0" w:type="dxa"/>
            <w:vAlign w:val="bottom"/>
          </w:tcPr>
          <w:p>
            <w:pPr>
              <w:spacing w:after="0"/>
              <w:rPr>
                <w:sz w:val="1"/>
                <w:szCs w:val="1"/>
                <w:color w:val="auto"/>
              </w:rPr>
            </w:pPr>
          </w:p>
        </w:tc>
      </w:tr>
      <w:tr>
        <w:trPr>
          <w:trHeight w:val="324"/>
        </w:trPr>
        <w:tc>
          <w:tcPr>
            <w:tcW w:w="390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RP Investment Advisors LP</w:t>
            </w:r>
            <w:r>
              <w:rPr>
                <w:rFonts w:ascii="Times New Roman" w:cs="Times New Roman" w:eastAsia="Times New Roman" w:hAnsi="Times New Roman"/>
                <w:sz w:val="29"/>
                <w:szCs w:val="29"/>
                <w:color w:val="auto"/>
                <w:vertAlign w:val="superscript"/>
              </w:rPr>
              <w:t>(5)</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1,050,000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324"/>
        </w:trPr>
        <w:tc>
          <w:tcPr>
            <w:tcW w:w="390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Silver Spike Sponsor, LLC</w:t>
            </w:r>
            <w:r>
              <w:rPr>
                <w:rFonts w:ascii="Times New Roman" w:cs="Times New Roman" w:eastAsia="Times New Roman" w:hAnsi="Times New Roman"/>
                <w:sz w:val="29"/>
                <w:szCs w:val="29"/>
                <w:color w:val="auto"/>
                <w:vertAlign w:val="superscript"/>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tcPr>
          <w:p>
            <w:pPr>
              <w:spacing w:after="0"/>
              <w:rPr>
                <w:sz w:val="24"/>
                <w:szCs w:val="24"/>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324"/>
        </w:trPr>
        <w:tc>
          <w:tcPr>
            <w:tcW w:w="390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Basso SPAC Fund LLC</w:t>
            </w:r>
            <w:r>
              <w:rPr>
                <w:rFonts w:ascii="Times New Roman" w:cs="Times New Roman" w:eastAsia="Times New Roman" w:hAnsi="Times New Roman"/>
                <w:sz w:val="29"/>
                <w:szCs w:val="29"/>
                <w:color w:val="auto"/>
                <w:vertAlign w:val="superscript"/>
              </w:rPr>
              <w:t>(7)</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1,287,224</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324"/>
        </w:trPr>
        <w:tc>
          <w:tcPr>
            <w:tcW w:w="390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Weiss Asset Management KO</w:t>
            </w:r>
            <w:r>
              <w:rPr>
                <w:rFonts w:ascii="Times New Roman" w:cs="Times New Roman" w:eastAsia="Times New Roman" w:hAnsi="Times New Roman"/>
                <w:sz w:val="29"/>
                <w:szCs w:val="29"/>
                <w:color w:val="auto"/>
                <w:vertAlign w:val="superscript"/>
              </w:rPr>
              <w:t>(8)</w:t>
            </w: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1,890,387</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William Healy</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Gentile</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Orrin Devinsky</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Goldman</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Kenneth Landis</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officers as a group (nine</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-2794000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-2794000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-2794000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-2794000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-2794000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42" w:lineRule="exact"/>
        <w:rPr>
          <w:sz w:val="20"/>
          <w:szCs w:val="20"/>
          <w:color w:val="auto"/>
        </w:rPr>
      </w:pPr>
    </w:p>
    <w:p>
      <w:pPr>
        <w:ind w:left="640" w:right="47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660 Madison Ave., Suite 1600, New York, New York 10065, United States of America.</w:t>
      </w:r>
    </w:p>
    <w:p>
      <w:pPr>
        <w:ind w:left="640" w:right="41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Interests shown consist solely of founder shares, classified as Class B ordinary shares. Such shares will automatically convert into Class A ordinary shares on the first business day following a business combination on a one-for-one basis.</w:t>
      </w:r>
    </w:p>
    <w:p>
      <w:pPr>
        <w:ind w:left="640" w:right="319" w:hanging="348"/>
        <w:spacing w:after="0" w:line="23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357,960 Class A ordinary shares held by Davidson Kempner Partners (“DKP”); 755,630 Class A ordinary shares held by Davidson Kempner Institutional Partners, L.P. (“DKIP”) and 786,410 Class A ordinary shares held by Davidson Kempner International, Ltd. (“DKIL”). Davidson Kempner Capital Management LP (“DKCM”) acts as investment advisor to each of DKP, DKIP and DKIL either directly or by virtue of a sub-advisory agreement with the investment manager of the relevant fund. Mr. Anthony Yoseloff, though DKCM, is responsible for the voting and investment decisions related to the Class A ordinary shares held by DKP, DKIP and DKIL. The address of Mr. Yoseloff is c/o Davidson Kempner Capital Management LP, 520 Madison Avenue, 30th Floor, New York, New York 10022.</w:t>
      </w:r>
    </w:p>
    <w:p>
      <w:pPr>
        <w:spacing w:after="0" w:line="15"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held by Polar Multi-Strategy Master Fund and certain managed accounts, for which Polar Asset Management Partners, Inc. serves as the investment advisor and has sole voting and dispositive power. The address of Polar Asset Management Partners, Inc. is 401 Bay Street, Suite 1900, PO Box 19, Toronto, Ontario M5H 2Y4, Canada.</w:t>
      </w:r>
    </w:p>
    <w:p>
      <w:pPr>
        <w:spacing w:after="0" w:line="14"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837,500 Class A ordinary shares held by RP Select Opportunities Master Fund Ltd. and 212,500 Class A ordinary shares held by RP Debt Opportunities Fund Ltd. RP Investment Advisors LP is the investment advisor of RP Select Opportunities Master Funder Ltd. and RP Debt Opportunities Fund Ltd. The address of RP Investment Advisors LP is 39 Hazelton Avenue, Toronto, Ontario, Canada, M5R 2E3.</w:t>
      </w:r>
    </w:p>
    <w:p>
      <w:pPr>
        <w:spacing w:after="0" w:line="14"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executive officers are the three managers of our sponsor’s board of managers. Any action by our Sponsor with respect to our company or the founders shares, including voting and dispositive decisions, requires a majority vote of the managers of the board 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right="379"/>
        <w:spacing w:after="0" w:line="236" w:lineRule="auto"/>
        <w:rPr>
          <w:sz w:val="20"/>
          <w:szCs w:val="20"/>
          <w:color w:val="auto"/>
        </w:rPr>
      </w:pPr>
      <w:r>
        <w:rPr>
          <w:rFonts w:ascii="Times New Roman" w:cs="Times New Roman" w:eastAsia="Times New Roman" w:hAnsi="Times New Roman"/>
          <w:sz w:val="14"/>
          <w:szCs w:val="14"/>
          <w:color w:val="auto"/>
        </w:rPr>
        <w:t>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pacing w:after="0" w:line="15" w:lineRule="exact"/>
        <w:rPr>
          <w:sz w:val="20"/>
          <w:szCs w:val="20"/>
          <w:color w:val="auto"/>
        </w:rPr>
      </w:pPr>
    </w:p>
    <w:p>
      <w:pPr>
        <w:ind w:left="640" w:right="319" w:hanging="348"/>
        <w:spacing w:after="0" w:line="229"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Class A ordinary shares directly beneficially owned by Basso SPAC Fund LLC. Basso Management, LLC is the manager of Basso SPAC Fund LLC. Basso Capital Management, L.P. serves as the investment manager of Basso SPAC Fund LLC. Basso GP, LLC is the general partner of Basso Capital Management, L.P.. Mr. Howard I. Fischer is the principal portfolio manager for Basso SPAC Fund LLC, the Chief Executive Officer and a Founding Managing Partner of Basso Capital Management, L.P., and a member of each of Basso Management, LLC and Basso GP, LLC. Accordingly, each of Basso Management, LLC Basso Capital Management, L.P., Basso GP, LLC and Mr. Howard I. Fischer may be deemed to indirectly beneficially own the Shares reported herein. The address of Basso SPAC Fund LLC 1266 East Main Street, Fourth Floor, Stamford, Connecticut 06902.</w:t>
      </w:r>
    </w:p>
    <w:p>
      <w:pPr>
        <w:spacing w:after="0" w:line="18"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Class A ordinary shares beneficially owned by a private investment partnership (the “Partnership”) of which BIP GP LLC is the sole general partner. Weiss Asset Management LP is the sole investment manager to the Partnership. WAM GP is the sole general partner of Weiss Asset Management LP. Andrew Weiss is the managing member of WAM GP and BIP GP. Shares reported for WAM GP, Mr. Andrew Weiss, Ph.D. and Weiss Asset Management include shares beneficially owned by the Partnership (and reported above for BIP GP LLC). BIP GP LLC, Weiss Asset Management LP, WAM GP LLC, and Andrew M. Weiss, Ph.D. have a business address of 222 Berkeley St., 16th floor, Boston, Massachusetts 02116.</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SHAREHOLDER PROPOSALS FOR THE 2021 ANNUAL GENERAL MEETING</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the Extension Amendment Proposal is approved, we anticipate that the 2021 annual general meeting will be held no later than December 30, 2021. For any proposal to be considered for inclusion in our proxy statement and form of proxy for submission to the shareholders at our 2021 annual general meeting, it must have been submitted in writing and comply with the requirements of Rule 14a-8 of the Exchange Act and our Articles. Assuming the meeting is held on December 30, 2021, such proposals must have been received by us at our offices at 660 Madison Ave., Suite 1600, New York, New York 10065 no later than September 9, 2021.</w:t>
      </w:r>
    </w:p>
    <w:p>
      <w:pPr>
        <w:spacing w:after="0" w:line="79"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In addition, Article 20.8 of our Articles provides notice procedures for shareholders to nominate candidates for appointment as directors at an annual general meeting or to propose business to be considered by shareholders at an annual general meeting. To be timely, a shareholder’s notice must be delivered to us at our principal executive offices not later than the close of business on the 90th day nor earlier than the close of business on the 120th day prior to the scheduled date of the annual general meeting. The Chairman of our Board may refuse to acknowledge the introduction of any shareholder proposal not made in compliance with the foregoing procedures. Assuming the meeting is held on December 30, 2021, such proposals must have been received by us at our offices at 660 Madison Ave., Suite 1600, New York, New York 10065 no later than October 1, 2021 and no earlier than September 1, 2021.</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Extension Amendment Proposal is not approved, there will be no annual general meeting in 2021.</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to any household at which two or more shareholders reside if we believe the shareholders are members of the same family. This process, known as “householding,” reduces the volume of duplicate information received at any one household and helps to reduce our expenses. However, if shareholders prefer to receive multiple sets of our disclosure documents at the same address this year or in future years, the shareholders should follow the instructions described below. Similarly, if an address is shared with another shareholder and together both of the shareholders would like to receive only a single set of our disclosure documents, the shareholders should follow these instructions:</w:t>
      </w:r>
    </w:p>
    <w:p>
      <w:pPr>
        <w:spacing w:after="0" w:line="81" w:lineRule="exact"/>
        <w:rPr>
          <w:sz w:val="20"/>
          <w:szCs w:val="20"/>
          <w:color w:val="auto"/>
        </w:rPr>
      </w:pPr>
    </w:p>
    <w:p>
      <w:pPr>
        <w:jc w:val="both"/>
        <w:ind w:left="1000" w:right="41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shareholder, the shareholder should contact us at our offices at 660 Madison Ave., Suite 1600, New York, New York 10065, to inform us of the shareholder’s request; or</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the shareholder should contact the bank, broker or other nominee directly.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as required by the Exchange Act. You can read our SEC filings, including this Proxy Statement, at the SEC’s website at http://www.sec.gov. You may also read and copy any document we file with the SEC at the SEC public reference room located at 100 F Street, N.E., Room 1580 Washington, D.C., 20549. You may obtain information on the operation of the Public Reference Room by calling the SEC at 1-800-SEC-0330. You may also obtain copies of the materials described above at prescribed rates by writing to the SEC, Public Reference Section, 100 F Street, N.E., Washington, D.C. 20549.</w:t>
      </w:r>
    </w:p>
    <w:p>
      <w:pPr>
        <w:spacing w:after="0" w:line="79"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proposals to be presented at the Extraordinary General Meeting, you should contact our proxy solicitation agent at the following address and telephone number: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D.F. King &amp; Co., Inc.</w:t>
      </w:r>
    </w:p>
    <w:p>
      <w:pPr>
        <w:jc w:val="center"/>
        <w:spacing w:after="0" w:line="182" w:lineRule="auto"/>
        <w:rPr>
          <w:sz w:val="20"/>
          <w:szCs w:val="20"/>
          <w:color w:val="auto"/>
        </w:rPr>
      </w:pPr>
      <w:r>
        <w:rPr>
          <w:rFonts w:ascii="Times New Roman" w:cs="Times New Roman" w:eastAsia="Times New Roman" w:hAnsi="Times New Roman"/>
          <w:sz w:val="17"/>
          <w:szCs w:val="17"/>
          <w:color w:val="auto"/>
        </w:rPr>
        <w:t>48 Wall Street,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Call Collect: (212) 269-5550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Others Call Toll-Free: (877) 478-5045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SSPK@dfking.com</w:t>
      </w:r>
    </w:p>
    <w:p>
      <w:pPr>
        <w:spacing w:after="0" w:line="99"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You may also obtain these documents by requesting them in writing from us by addressing such request to our General Counsel at Silver Spike Acquisition Corp., 660 Madison Ave., Suite 1600, New York, New York 10065.</w:t>
      </w:r>
    </w:p>
    <w:p>
      <w:pPr>
        <w:spacing w:after="0" w:line="28" w:lineRule="exact"/>
        <w:rPr>
          <w:sz w:val="20"/>
          <w:szCs w:val="20"/>
          <w:color w:val="auto"/>
        </w:rPr>
      </w:pPr>
    </w:p>
    <w:p>
      <w:pPr>
        <w:ind w:left="300" w:right="8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you are a shareholder of the Company and would like to request documents, please do so by January 6, 2021, in order to receive them before the Extraordinary General Meeting</w:t>
      </w:r>
      <w:r>
        <w:rPr>
          <w:rFonts w:ascii="Times New Roman" w:cs="Times New Roman" w:eastAsia="Times New Roman" w:hAnsi="Times New Roman"/>
          <w:sz w:val="18"/>
          <w:szCs w:val="18"/>
          <w:color w:val="auto"/>
        </w:rPr>
        <w:t>. If you request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from us, we will mail them to you by first class mail, or another equally prompt means.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PROPOSED AMENDMENTS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SILVER SPIKE ACQUISITION CORP.</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RESOLUTIONS OF THE SHAREHOLDERS OF THE COMPANY</w:t>
      </w:r>
    </w:p>
    <w:p>
      <w:pPr>
        <w:spacing w:after="0" w:line="99"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RESOLVED, as a special resolution THAT, effective immediately, the Amended and Restated Memorandum and Articles of Association of the Company be amended by:</w:t>
      </w:r>
    </w:p>
    <w:p>
      <w:pPr>
        <w:spacing w:after="0" w:line="54"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Article 49.6(a) by deleting the following introduction of such sub-section:</w:t>
      </w:r>
    </w:p>
    <w:p>
      <w:pPr>
        <w:spacing w:after="0" w:line="117" w:lineRule="exact"/>
        <w:rPr>
          <w:rFonts w:ascii="Times New Roman" w:cs="Times New Roman" w:eastAsia="Times New Roman" w:hAnsi="Times New Roman"/>
          <w:sz w:val="18"/>
          <w:szCs w:val="18"/>
          <w:color w:val="auto"/>
        </w:rPr>
      </w:pPr>
    </w:p>
    <w:p>
      <w:pPr>
        <w:ind w:left="1020" w:right="5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consummate a Business Combination by 18 months after the closing of the IPO the Company shall:” and replacing it with the following:</w:t>
      </w:r>
    </w:p>
    <w:p>
      <w:pPr>
        <w:spacing w:after="0" w:line="10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consummate a Business Combination by July 10, 2021; and</w:t>
      </w:r>
    </w:p>
    <w:p>
      <w:pPr>
        <w:spacing w:after="0" w:line="117" w:lineRule="exact"/>
        <w:rPr>
          <w:rFonts w:ascii="Times New Roman" w:cs="Times New Roman" w:eastAsia="Times New Roman" w:hAnsi="Times New Roman"/>
          <w:sz w:val="18"/>
          <w:szCs w:val="18"/>
          <w:color w:val="auto"/>
        </w:rPr>
      </w:pPr>
    </w:p>
    <w:p>
      <w:pPr>
        <w:ind w:left="1020" w:right="4039" w:hanging="368"/>
        <w:spacing w:after="0" w:line="427" w:lineRule="auto"/>
        <w:tabs>
          <w:tab w:leader="none" w:pos="101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Article 49.6(b) by deleting the words: “within 18 months from the consummation of the IPO” and replacing them with the words:</w:t>
      </w:r>
    </w:p>
    <w:p>
      <w:pPr>
        <w:spacing w:after="0" w:line="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July 10,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 FOR CLASS A ORDINARY SHARES</w:t>
      </w:r>
    </w:p>
    <w:p>
      <w:pPr>
        <w:spacing w:after="0" w:line="225" w:lineRule="exact"/>
        <w:rPr>
          <w:sz w:val="20"/>
          <w:szCs w:val="20"/>
          <w:color w:val="auto"/>
        </w:rPr>
      </w:pPr>
    </w:p>
    <w:p>
      <w:pPr>
        <w:jc w:val="center"/>
        <w:ind w:left="1800" w:right="1260"/>
        <w:spacing w:after="0" w:line="265" w:lineRule="auto"/>
        <w:rPr>
          <w:sz w:val="20"/>
          <w:szCs w:val="20"/>
          <w:color w:val="auto"/>
        </w:rPr>
      </w:pPr>
      <w:r>
        <w:rPr>
          <w:rFonts w:ascii="Times New Roman" w:cs="Times New Roman" w:eastAsia="Times New Roman" w:hAnsi="Times New Roman"/>
          <w:sz w:val="18"/>
          <w:szCs w:val="18"/>
          <w:b w:val="1"/>
          <w:bCs w:val="1"/>
          <w:color w:val="auto"/>
        </w:rPr>
        <w:t>SILVER SPIKE ACQUISITION CORP. THIS PROXY IS SOLICITED BY THE BOARD OF DIRECTORS FOR THE EXTRAORDINARY GENERAL MEETING TO BE HELD ON January 13, 2021</w:t>
      </w:r>
    </w:p>
    <w:p>
      <w:pPr>
        <w:spacing w:after="0" w:line="290"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undersigned holder of Class A ordinary shares, revoking any previous proxies relating to these shares with respect to the Extension Amendment Proposal and the Adjournment Proposal hereby acknowledges receipt of the notice and Proxy Statement, dated December 21, 2020 in connection with the Extraordinary General Meeting to be held at 10:30 a.m. Eastern Time on January 13, 2021 at the offices of Silver Spike Acquisition Corp. (the “Company”), located at 660 Madison Ave., Suite 1600, New York, New York 10065, for the sole purpose of considering and voting upon the following proposals, and hereby appoints Scott Gordon as the Chairman of the Extraordinary General Meeting, and each of them (with full power to act alone), the attorneys and proxies of the undersigned, with power of substitution to each, to vote all shares of the ordinary shares of the Company registered in the name provided, which the undersigned is entitled to vote at the Extraordinary General Meeting, and at any adjournments thereof, with all the powers the undersigned would have if personally present. Without limiting the general authorization hereby given, said proxies are, and each of them is, instructed to vote or act as follows on the proposals set forth in this Proxy Statement.</w:t>
      </w:r>
    </w:p>
    <w:p>
      <w:pPr>
        <w:spacing w:after="0" w:line="78" w:lineRule="exact"/>
        <w:rPr>
          <w:sz w:val="20"/>
          <w:szCs w:val="20"/>
          <w:color w:val="auto"/>
        </w:rPr>
      </w:pPr>
    </w:p>
    <w:p>
      <w:pPr>
        <w:ind w:left="30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SHARES REPRESENTED BY THIS PROXY WHEN PROPERLY EXECUTED WILL BE VOTED IN THE MANNER DIRECTED HEREIN BY THE UNDERSIGNED SHAREHOLDER. PLEASE MARK, SIGN, DATE AND RETURN THE PROXY CARD PROMPTLY</w:t>
      </w:r>
    </w:p>
    <w:p>
      <w:pPr>
        <w:spacing w:after="0" w:line="63"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Extraordinary General Meeting to be held on January 13, 2021: This notice of extraordinary general meeting and the accompanying Proxy Statement are available at www.proxyvote.com.</w:t>
      </w:r>
    </w:p>
    <w:p>
      <w:pPr>
        <w:sectPr>
          <w:pgSz w:w="11900" w:h="16838" w:orient="portrait"/>
          <w:cols w:equalWidth="0" w:num="1">
            <w:col w:w="9019"/>
          </w:cols>
          <w:pgMar w:left="1440" w:top="263" w:right="1440" w:bottom="1440" w:gutter="0" w:footer="0" w:header="0"/>
        </w:sectPr>
      </w:pPr>
    </w:p>
    <w:p>
      <w:pPr>
        <w:spacing w:after="0" w:line="263" w:lineRule="exact"/>
        <w:rPr>
          <w:sz w:val="20"/>
          <w:szCs w:val="20"/>
          <w:color w:val="auto"/>
        </w:rPr>
      </w:pPr>
    </w:p>
    <w:p>
      <w:pPr>
        <w:ind w:left="300"/>
        <w:spacing w:after="0" w:line="264" w:lineRule="auto"/>
        <w:rPr>
          <w:sz w:val="20"/>
          <w:szCs w:val="20"/>
          <w:color w:val="auto"/>
        </w:rPr>
      </w:pPr>
      <w:r>
        <w:rPr>
          <w:rFonts w:ascii="Times New Roman" w:cs="Times New Roman" w:eastAsia="Times New Roman" w:hAnsi="Times New Roman"/>
          <w:sz w:val="14"/>
          <w:szCs w:val="14"/>
          <w:b w:val="1"/>
          <w:bCs w:val="1"/>
          <w:color w:val="auto"/>
        </w:rPr>
        <w:t>THE BOARD OF DIRECTORS RECOMMENDS A VOTE “FOR” PROPOSAL 1, PROPOSAL 2 AND PROPOSAL 3</w:t>
      </w:r>
    </w:p>
    <w:p>
      <w:pPr>
        <w:spacing w:after="0" w:line="25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Proposal 1 – Extension of Corporate Life</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r>
      <w:tr>
        <w:trPr>
          <w:trHeight w:val="50"/>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 the Company’s amended</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restated memorandum and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association to extend the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that the Company has to</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consummate a business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from February 12,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to July 10, 2021.</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1757045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819"/>
        <w:spacing w:after="0" w:line="261" w:lineRule="auto"/>
        <w:rPr>
          <w:sz w:val="20"/>
          <w:szCs w:val="20"/>
          <w:color w:val="auto"/>
        </w:rPr>
      </w:pPr>
      <w:r>
        <w:rPr>
          <w:rFonts w:ascii="Times New Roman" w:cs="Times New Roman" w:eastAsia="Times New Roman" w:hAnsi="Times New Roman"/>
          <w:sz w:val="14"/>
          <w:szCs w:val="14"/>
          <w:color w:val="auto"/>
        </w:rPr>
        <w:t>Please mark votes as indicated in this example</w:t>
      </w:r>
    </w:p>
    <w:p>
      <w:pPr>
        <w:spacing w:after="0" w:line="80" w:lineRule="exact"/>
        <w:rPr>
          <w:sz w:val="20"/>
          <w:szCs w:val="20"/>
          <w:color w:val="auto"/>
        </w:rPr>
      </w:pPr>
    </w:p>
    <w:p>
      <w:pPr>
        <w:ind w:right="659"/>
        <w:spacing w:after="0" w:line="183" w:lineRule="exact"/>
        <w:rPr>
          <w:sz w:val="20"/>
          <w:szCs w:val="20"/>
          <w:color w:val="auto"/>
        </w:rPr>
      </w:pPr>
      <w:r>
        <w:rPr>
          <w:rFonts w:ascii="Times New Roman" w:cs="Times New Roman" w:eastAsia="Times New Roman" w:hAnsi="Times New Roman"/>
          <w:sz w:val="14"/>
          <w:szCs w:val="14"/>
          <w:b w:val="1"/>
          <w:bCs w:val="1"/>
          <w:color w:val="auto"/>
        </w:rPr>
        <w:t xml:space="preserve">Check here for address change and indicate the correct address below: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-106045</wp:posOffset>
            </wp:positionV>
            <wp:extent cx="69215" cy="70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80" w:lineRule="exact"/>
        <w:rPr>
          <w:sz w:val="20"/>
          <w:szCs w:val="20"/>
          <w:color w:val="auto"/>
        </w:rPr>
      </w:pPr>
    </w:p>
    <w:p>
      <w:pPr>
        <w:ind w:right="779"/>
        <w:spacing w:after="0" w:line="261" w:lineRule="auto"/>
        <w:rPr>
          <w:sz w:val="20"/>
          <w:szCs w:val="20"/>
          <w:color w:val="auto"/>
        </w:rPr>
      </w:pPr>
      <w:r>
        <w:rPr>
          <w:rFonts w:ascii="Times New Roman" w:cs="Times New Roman" w:eastAsia="Times New Roman" w:hAnsi="Times New Roman"/>
          <w:sz w:val="18"/>
          <w:szCs w:val="18"/>
          <w:color w:val="auto"/>
        </w:rPr>
        <w:t>Date: , 202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-19050</wp:posOffset>
            </wp:positionV>
            <wp:extent cx="11995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spacing w:after="0" w:line="205" w:lineRule="exact"/>
        <w:rPr>
          <w:sz w:val="20"/>
          <w:szCs w:val="20"/>
          <w:color w:val="auto"/>
        </w:rPr>
      </w:pPr>
    </w:p>
    <w:p>
      <w:pPr>
        <w:ind w:right="299"/>
        <w:spacing w:after="0" w:line="267" w:lineRule="auto"/>
        <w:rPr>
          <w:sz w:val="20"/>
          <w:szCs w:val="20"/>
          <w:color w:val="auto"/>
        </w:rPr>
      </w:pPr>
      <w:r>
        <w:rPr>
          <w:rFonts w:ascii="Times New Roman" w:cs="Times New Roman" w:eastAsia="Times New Roman" w:hAnsi="Times New Roman"/>
          <w:sz w:val="17"/>
          <w:szCs w:val="17"/>
          <w:color w:val="auto"/>
        </w:rPr>
        <w:t xml:space="preserve">Signature (if held jointly) Signature should agree with name printed hereon. If shares are held in the name of more than one person, EACH joint owner should sign. Executors, administrators, trustees, guardians and attorneys should indicate the capacity in which they sign. Attorneys should submit powers of attorney. </w:t>
      </w:r>
      <w:r>
        <w:rPr>
          <w:rFonts w:ascii="Times New Roman" w:cs="Times New Roman" w:eastAsia="Times New Roman" w:hAnsi="Times New Roman"/>
          <w:sz w:val="17"/>
          <w:szCs w:val="17"/>
          <w:b w:val="1"/>
          <w:bCs w:val="1"/>
          <w:color w:val="auto"/>
        </w:rPr>
        <w:t>PLEASE SIGN,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 AND RETURN THE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IN THE ENVELOPE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ENCLOSED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CONTINENTAL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&amp;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THIS PROXY WILL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w:t>
      </w:r>
    </w:p>
    <w:p>
      <w:pPr>
        <w:sectPr>
          <w:pgSz w:w="11900" w:h="16838" w:orient="portrait"/>
          <w:cols w:equalWidth="0" w:num="2">
            <w:col w:w="5860" w:space="200"/>
            <w:col w:w="2959"/>
          </w:cols>
          <w:pgMar w:left="1440" w:top="263"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gridSpan w:val="2"/>
          </w:tcPr>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392"/>
        </w:trPr>
        <w:tc>
          <w:tcPr>
            <w:tcW w:w="1300" w:type="dxa"/>
            <w:vAlign w:val="bottom"/>
          </w:tcPr>
          <w:p>
            <w:pPr>
              <w:spacing w:after="0"/>
              <w:rPr>
                <w:sz w:val="24"/>
                <w:szCs w:val="24"/>
                <w:color w:val="auto"/>
              </w:rPr>
            </w:pPr>
          </w:p>
        </w:tc>
        <w:tc>
          <w:tcPr>
            <w:tcW w:w="28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Proposal 3 – Adjournment</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4160" w:type="dxa"/>
            <w:vAlign w:val="bottom"/>
          </w:tcPr>
          <w:p>
            <w:pPr>
              <w:spacing w:after="0"/>
              <w:rPr>
                <w:sz w:val="24"/>
                <w:szCs w:val="24"/>
                <w:color w:val="auto"/>
              </w:rPr>
            </w:pPr>
          </w:p>
        </w:tc>
      </w:tr>
      <w:tr>
        <w:trPr>
          <w:trHeight w:val="51"/>
        </w:trPr>
        <w:tc>
          <w:tcPr>
            <w:tcW w:w="130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160" w:type="dxa"/>
            <w:vAlign w:val="bottom"/>
          </w:tcPr>
          <w:p>
            <w:pPr>
              <w:spacing w:after="0"/>
              <w:rPr>
                <w:sz w:val="4"/>
                <w:szCs w:val="4"/>
                <w:color w:val="auto"/>
              </w:rPr>
            </w:pPr>
          </w:p>
        </w:tc>
      </w:tr>
      <w:tr>
        <w:trPr>
          <w:trHeight w:val="241"/>
        </w:trPr>
        <w:tc>
          <w:tcPr>
            <w:tcW w:w="130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 the Extraordinary General</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VOTED IN THE MANNER</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 to a later date or dates, if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DIRECTED HEREIN BY THE</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necessary, to permit further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ABOVE SIGNED</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solicitation and vote of proxies 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SHAREHOLDER. IF YOU</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event that there are insufficient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RETURN A SIGNED AND</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for, or otherwise 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DATED PROXY BUT NO</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 the approval of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DIRECTION IS MADE, YOUR</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ORDINARY SHARES WILL BE</w:t>
            </w:r>
          </w:p>
        </w:tc>
      </w:tr>
      <w:tr>
        <w:trPr>
          <w:trHeight w:val="216"/>
        </w:trPr>
        <w:tc>
          <w:tcPr>
            <w:tcW w:w="1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VOTED FOR THE PROPOSALS</w:t>
            </w:r>
          </w:p>
        </w:tc>
      </w:tr>
      <w:tr>
        <w:trPr>
          <w:trHeight w:val="238"/>
        </w:trPr>
        <w:tc>
          <w:tcPr>
            <w:tcW w:w="1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SET FORTH ABOVE.</w:t>
            </w:r>
          </w:p>
        </w:tc>
      </w:tr>
      <w:tr>
        <w:trPr>
          <w:trHeight w:val="196"/>
        </w:trPr>
        <w:tc>
          <w:tcPr>
            <w:tcW w:w="13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42" w:name="page43"/>
    <w:bookmarkEnd w:id="4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 FOR CLASS B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SILVER SPIKE ACQUISITION CORP.</w:t>
      </w:r>
    </w:p>
    <w:p>
      <w:pPr>
        <w:spacing w:after="0" w:line="225" w:lineRule="exact"/>
        <w:rPr>
          <w:sz w:val="20"/>
          <w:szCs w:val="20"/>
          <w:color w:val="auto"/>
        </w:rPr>
      </w:pPr>
    </w:p>
    <w:p>
      <w:pPr>
        <w:jc w:val="center"/>
        <w:ind w:left="18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THIS PROXY IS SOLICITED BY THE BOARD OF DIRECTORS FOR THE EXTRAORDINARY GENERAL MEETING TO BE HELD ON January 13, 2021</w:t>
      </w:r>
    </w:p>
    <w:p>
      <w:pPr>
        <w:spacing w:after="0" w:line="6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undersigned holder of Class B ordinary shares, revoking any previous proxies relating to these shares with respect to the Extension Amendment Proposal and the Adjournment Proposal hereby acknowledges receipt of the notice and Proxy Statement, dated December 21, 2020, in connection with the Extraordinary General Meeting to be held at 10:30 a.m. Eastern Time on January 13, 2021 at the offices of Silver Spike Acquisition Corp. (the “Company”), located at 660 Madison Ave., Suite 1600, New York, New York 10065, for the sole purpose of considering and voting upon the following proposals, and hereby appoints Scott Gordon as the Chairman of the Extraordinary General Meeting, and each of them (with full power to act alone), the attorneys and proxies of the undersigned, with power of substitution to each, to vote all shares of the ordinary shares of the Company registered in the name provided, which the undersigned is entitled to vote at the Extraordinary General Meeting, and at any adjournments thereof, with all the powers the undersigned would have if personally present. Without limiting the general authorization hereby given, said proxies are, and each of them is, instructed to vote or act as follows on the proposals set forth in this Proxy Statement.</w:t>
      </w:r>
    </w:p>
    <w:p>
      <w:pPr>
        <w:spacing w:after="0" w:line="78" w:lineRule="exact"/>
        <w:rPr>
          <w:sz w:val="20"/>
          <w:szCs w:val="20"/>
          <w:color w:val="auto"/>
        </w:rPr>
      </w:pPr>
    </w:p>
    <w:p>
      <w:pPr>
        <w:ind w:left="30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SHARES REPRESENTED BY THIS PROXY WHEN PROPERLY EXECUTED WILL BE VOTED IN THE MANNER DIRECTED HEREIN BY THE UNDERSIGNED SHAREHOLDER. PLEASE MARK, SIGN, DATE AND RETURN THE PROXY CARD PROMPTLY</w:t>
      </w:r>
    </w:p>
    <w:p>
      <w:pPr>
        <w:spacing w:after="0" w:line="63"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Extraordinary General Meeting to be held on January 13, 2021: This notice of extraordinary general meeting and the accompanying Proxy Statement are available at www.proxyvote.com.</w:t>
      </w:r>
    </w:p>
    <w:p>
      <w:pPr>
        <w:sectPr>
          <w:pgSz w:w="11900" w:h="16838" w:orient="portrait"/>
          <w:cols w:equalWidth="0" w:num="1">
            <w:col w:w="9019"/>
          </w:cols>
          <w:pgMar w:left="1440" w:top="263" w:right="1440" w:bottom="1440" w:gutter="0" w:footer="0" w:header="0"/>
        </w:sectPr>
      </w:pPr>
    </w:p>
    <w:p>
      <w:pPr>
        <w:spacing w:after="0" w:line="263" w:lineRule="exact"/>
        <w:rPr>
          <w:sz w:val="20"/>
          <w:szCs w:val="20"/>
          <w:color w:val="auto"/>
        </w:rPr>
      </w:pPr>
    </w:p>
    <w:p>
      <w:pPr>
        <w:ind w:left="300"/>
        <w:spacing w:after="0" w:line="264" w:lineRule="auto"/>
        <w:rPr>
          <w:sz w:val="20"/>
          <w:szCs w:val="20"/>
          <w:color w:val="auto"/>
        </w:rPr>
      </w:pPr>
      <w:r>
        <w:rPr>
          <w:rFonts w:ascii="Times New Roman" w:cs="Times New Roman" w:eastAsia="Times New Roman" w:hAnsi="Times New Roman"/>
          <w:sz w:val="14"/>
          <w:szCs w:val="14"/>
          <w:b w:val="1"/>
          <w:bCs w:val="1"/>
          <w:color w:val="auto"/>
        </w:rPr>
        <w:t>THE BOARD OF DIRECTORS RECOMMENDS A VOTE “FOR” PROPOSAL 1, PROPOSAL 2 AND PROPOSAL 3</w:t>
      </w:r>
    </w:p>
    <w:p>
      <w:pPr>
        <w:spacing w:after="0" w:line="25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Proposal 1 – Extension of Corporate Life</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r>
      <w:tr>
        <w:trPr>
          <w:trHeight w:val="50"/>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 the Company’s amended</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restated memorandum and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association to extend the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that the Company has to</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consummate a business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from February 12,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to July 10, 2021.</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1757045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819"/>
        <w:spacing w:after="0" w:line="261" w:lineRule="auto"/>
        <w:rPr>
          <w:sz w:val="20"/>
          <w:szCs w:val="20"/>
          <w:color w:val="auto"/>
        </w:rPr>
      </w:pPr>
      <w:r>
        <w:rPr>
          <w:rFonts w:ascii="Times New Roman" w:cs="Times New Roman" w:eastAsia="Times New Roman" w:hAnsi="Times New Roman"/>
          <w:sz w:val="14"/>
          <w:szCs w:val="14"/>
          <w:color w:val="auto"/>
        </w:rPr>
        <w:t>Please mark votes as indicated in this example</w:t>
      </w:r>
    </w:p>
    <w:p>
      <w:pPr>
        <w:spacing w:after="0" w:line="80" w:lineRule="exact"/>
        <w:rPr>
          <w:sz w:val="20"/>
          <w:szCs w:val="20"/>
          <w:color w:val="auto"/>
        </w:rPr>
      </w:pPr>
    </w:p>
    <w:p>
      <w:pPr>
        <w:ind w:right="659"/>
        <w:spacing w:after="0" w:line="183" w:lineRule="exact"/>
        <w:rPr>
          <w:sz w:val="20"/>
          <w:szCs w:val="20"/>
          <w:color w:val="auto"/>
        </w:rPr>
      </w:pPr>
      <w:r>
        <w:rPr>
          <w:rFonts w:ascii="Times New Roman" w:cs="Times New Roman" w:eastAsia="Times New Roman" w:hAnsi="Times New Roman"/>
          <w:sz w:val="14"/>
          <w:szCs w:val="14"/>
          <w:b w:val="1"/>
          <w:bCs w:val="1"/>
          <w:color w:val="auto"/>
        </w:rPr>
        <w:t xml:space="preserve">Check here for address change and indicate the correct address below: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-106045</wp:posOffset>
            </wp:positionV>
            <wp:extent cx="69215" cy="70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80" w:lineRule="exact"/>
        <w:rPr>
          <w:sz w:val="20"/>
          <w:szCs w:val="20"/>
          <w:color w:val="auto"/>
        </w:rPr>
      </w:pPr>
    </w:p>
    <w:p>
      <w:pPr>
        <w:ind w:right="779"/>
        <w:spacing w:after="0" w:line="261" w:lineRule="auto"/>
        <w:rPr>
          <w:sz w:val="20"/>
          <w:szCs w:val="20"/>
          <w:color w:val="auto"/>
        </w:rPr>
      </w:pPr>
      <w:r>
        <w:rPr>
          <w:rFonts w:ascii="Times New Roman" w:cs="Times New Roman" w:eastAsia="Times New Roman" w:hAnsi="Times New Roman"/>
          <w:sz w:val="18"/>
          <w:szCs w:val="18"/>
          <w:color w:val="auto"/>
        </w:rPr>
        <w:t>Date: , 202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-19050</wp:posOffset>
            </wp:positionV>
            <wp:extent cx="1199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205" w:lineRule="exact"/>
        <w:rPr>
          <w:sz w:val="20"/>
          <w:szCs w:val="20"/>
          <w:color w:val="auto"/>
        </w:rPr>
      </w:pPr>
    </w:p>
    <w:p>
      <w:pPr>
        <w:ind w:right="299"/>
        <w:spacing w:after="0" w:line="267" w:lineRule="auto"/>
        <w:rPr>
          <w:sz w:val="20"/>
          <w:szCs w:val="20"/>
          <w:color w:val="auto"/>
        </w:rPr>
      </w:pPr>
      <w:r>
        <w:rPr>
          <w:rFonts w:ascii="Times New Roman" w:cs="Times New Roman" w:eastAsia="Times New Roman" w:hAnsi="Times New Roman"/>
          <w:sz w:val="17"/>
          <w:szCs w:val="17"/>
          <w:color w:val="auto"/>
        </w:rPr>
        <w:t xml:space="preserve">Signature (if held jointly) Signature should agree with name printed hereon. If shares are held in the name of more than one person, EACH joint owner should sign. Executors, administrators, trustees, guardians and attorneys should indicate the capacity in which they sign. Attorneys should submit powers of attorney. </w:t>
      </w:r>
      <w:r>
        <w:rPr>
          <w:rFonts w:ascii="Times New Roman" w:cs="Times New Roman" w:eastAsia="Times New Roman" w:hAnsi="Times New Roman"/>
          <w:sz w:val="17"/>
          <w:szCs w:val="17"/>
          <w:b w:val="1"/>
          <w:bCs w:val="1"/>
          <w:color w:val="auto"/>
        </w:rPr>
        <w:t>PLEASE SIGN,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 AND RETURN THE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IN THE ENVELOPE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ENCLOSED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CONTINENTAL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&amp;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THIS PROXY WILL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w:t>
      </w:r>
    </w:p>
    <w:p>
      <w:pPr>
        <w:sectPr>
          <w:pgSz w:w="11900" w:h="16838" w:orient="portrait"/>
          <w:cols w:equalWidth="0" w:num="2">
            <w:col w:w="5860" w:space="200"/>
            <w:col w:w="2959"/>
          </w:cols>
          <w:pgMar w:left="1440" w:top="263" w:right="1440" w:bottom="1440" w:gutter="0" w:footer="0" w:header="0"/>
          <w:type w:val="continuous"/>
        </w:sectPr>
      </w:pPr>
    </w:p>
    <w:bookmarkStart w:id="43" w:name="page44"/>
    <w:bookmarkEnd w:id="43"/>
    <w:tbl>
      <w:tblPr>
        <w:tblLayout w:type="fixed"/>
        <w:tblInd w:w="300" w:type="dxa"/>
        <w:tblCellMar>
          <w:top w:w="0" w:type="dxa"/>
          <w:left w:w="0" w:type="dxa"/>
          <w:bottom w:w="0" w:type="dxa"/>
          <w:right w:w="0" w:type="dxa"/>
        </w:tblCellMar>
      </w:tblPr>
      <w:tr>
        <w:trPr>
          <w:trHeight w:val="190"/>
        </w:trPr>
        <w:tc>
          <w:tcPr>
            <w:tcW w:w="2800" w:type="dxa"/>
            <w:vAlign w:val="bottom"/>
            <w:gridSpan w:val="2"/>
          </w:tcPr>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92"/>
        </w:trPr>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Proposal 2 – Director Appointment</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2800" w:type="dxa"/>
            <w:vAlign w:val="bottom"/>
          </w:tcPr>
          <w:p>
            <w:pPr>
              <w:spacing w:after="0"/>
              <w:rPr>
                <w:sz w:val="24"/>
                <w:szCs w:val="24"/>
                <w:color w:val="auto"/>
              </w:rPr>
            </w:pPr>
          </w:p>
        </w:tc>
      </w:tr>
      <w:tr>
        <w:trPr>
          <w:trHeight w:val="51"/>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0" w:type="dxa"/>
            <w:vAlign w:val="bottom"/>
          </w:tcPr>
          <w:p>
            <w:pPr>
              <w:spacing w:after="0"/>
              <w:rPr>
                <w:sz w:val="4"/>
                <w:szCs w:val="4"/>
                <w:color w:val="auto"/>
              </w:rPr>
            </w:pPr>
          </w:p>
        </w:tc>
      </w:tr>
      <w:tr>
        <w:trPr>
          <w:trHeight w:val="241"/>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Re-appoint Scott Gordon and</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VOTED IN THE MANNER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Healy as Class 1 Directors,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DIRECTED HEREIN BY THE</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each such director to serve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ABOVE SIGNED</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until the second annual general</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SHAREHOLDER. IF YOU</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 following this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RETURN A SIGNED AND</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 General Meeting and,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DATED PROXY BUT NO</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each case, until his successor is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DIRECTION IS MADE, YOUR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appointed and qualified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ORDINARY SHARES WILL BE</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VOTED FOR THE PROPOSALS</w:t>
            </w:r>
          </w:p>
        </w:tc>
      </w:tr>
      <w:tr>
        <w:trPr>
          <w:trHeight w:val="238"/>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SET FORTH ABOVE.</w:t>
            </w:r>
          </w:p>
        </w:tc>
      </w:tr>
      <w:tr>
        <w:trPr>
          <w:trHeight w:val="381"/>
        </w:trPr>
        <w:tc>
          <w:tcPr>
            <w:tcW w:w="28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Proposal 3 – Adjournment</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2800" w:type="dxa"/>
            <w:vAlign w:val="bottom"/>
          </w:tcPr>
          <w:p>
            <w:pPr>
              <w:spacing w:after="0"/>
              <w:rPr>
                <w:sz w:val="24"/>
                <w:szCs w:val="24"/>
                <w:color w:val="auto"/>
              </w:rPr>
            </w:pPr>
          </w:p>
        </w:tc>
      </w:tr>
      <w:tr>
        <w:trPr>
          <w:trHeight w:val="51"/>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0" w:type="dxa"/>
            <w:vAlign w:val="bottom"/>
          </w:tcPr>
          <w:p>
            <w:pPr>
              <w:spacing w:after="0"/>
              <w:rPr>
                <w:sz w:val="4"/>
                <w:szCs w:val="4"/>
                <w:color w:val="auto"/>
              </w:rPr>
            </w:pPr>
          </w:p>
        </w:tc>
      </w:tr>
      <w:tr>
        <w:trPr>
          <w:trHeight w:val="241"/>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 the Extraordinary General</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VOTED IN THE MANNER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 to a later date or dates, if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DIRECTED HEREIN BY THE</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necessary, to permit further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ABOVE SIGNED</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solicitation and vote of proxies 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SHAREHOLDER. IF YOU</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event that there are insufficient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RETURN A SIGNED AND</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for, or otherwise 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DATED PROXY BUT NO</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 the approval of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DIRECTION IS MADE, YOUR</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ORDINARY SHARES WILL BE</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VOTED FOR THE PROPOSALS</w:t>
            </w:r>
          </w:p>
        </w:tc>
      </w:tr>
      <w:tr>
        <w:trPr>
          <w:trHeight w:val="238"/>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SET FORTH ABOVE.</w:t>
            </w:r>
          </w:p>
        </w:tc>
      </w:tr>
    </w:tbl>
    <w:p>
      <w:pPr>
        <w:spacing w:after="0" w:line="1" w:lineRule="exact"/>
        <w:rPr>
          <w:sz w:val="20"/>
          <w:szCs w:val="20"/>
          <w:color w:val="auto"/>
        </w:rPr>
      </w:pP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lvl w:ilvl="1">
      <w:lvlJc w:val="left"/>
      <w:lvlText w:val="☐"/>
      <w:numFmt w:val="bullet"/>
      <w:start w:val="1"/>
    </w:lvl>
  </w:abstractNum>
  <w:abstractNum w:abstractNumId="1">
    <w:nsid w:val="8EDBDA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Roman"/>
      <w:start w:val="1"/>
    </w:lvl>
  </w:abstractNum>
  <w:abstractNum w:abstractNumId="5">
    <w:nsid w:val="189A769B"/>
    <w:multiLevelType w:val="hybridMultilevel"/>
    <w:lvl w:ilvl="0">
      <w:lvlJc w:val="left"/>
      <w:lvlText w:val="%1."/>
      <w:numFmt w:val="upperLetter"/>
      <w:start w:val="1"/>
    </w:lvl>
  </w:abstractNum>
  <w:abstractNum w:abstractNumId="6">
    <w:nsid w:val="54E49EB4"/>
    <w:multiLevelType w:val="hybridMultilevel"/>
    <w:lvl w:ilvl="0">
      <w:lvlJc w:val="left"/>
      <w:lvlText w:val="%1."/>
      <w:numFmt w:val="upperLetter"/>
      <w:start w:val="1"/>
    </w:lvl>
    <w:lvl w:ilvl="1">
      <w:lvlJc w:val="left"/>
      <w:lvlText w:val="•"/>
      <w:numFmt w:val="bullet"/>
      <w:start w:val="1"/>
    </w:lvl>
  </w:abstractNum>
  <w:abstractNum w:abstractNumId="7">
    <w:nsid w:val="71F32454"/>
    <w:multiLevelType w:val="hybridMultilevel"/>
    <w:lvl w:ilvl="0">
      <w:lvlJc w:val="left"/>
      <w:lvlText w:val="%1."/>
      <w:numFmt w:val="upperLetter"/>
      <w:start w:val="1"/>
    </w:lvl>
  </w:abstractNum>
  <w:abstractNum w:abstractNumId="8">
    <w:nsid w:val="2CA88611"/>
    <w:multiLevelType w:val="hybridMultilevel"/>
    <w:lvl w:ilvl="0">
      <w:lvlJc w:val="left"/>
      <w:lvlText w:val="%1"/>
      <w:numFmt w:val="upperLetter"/>
      <w:start w:val="1"/>
    </w:lvl>
    <w:lvl w:ilvl="1">
      <w:lvlJc w:val="left"/>
      <w:lvlText w:val="(%2)"/>
      <w:numFmt w:val="upperLetter"/>
      <w:start w:val="3"/>
    </w:lvl>
  </w:abstractNum>
  <w:abstractNum w:abstractNumId="9">
    <w:nsid w:val="836C40E"/>
    <w:multiLevelType w:val="hybridMultilevel"/>
    <w:lvl w:ilvl="0">
      <w:lvlJc w:val="left"/>
      <w:lvlText w:val="%1."/>
      <w:numFmt w:val="upperLetter"/>
      <w:start w:val="1"/>
    </w:lvl>
    <w:lvl w:ilvl="1">
      <w:lvlJc w:val="left"/>
      <w:lvlText w:val="(%2)"/>
      <w:numFmt w:val="upperLetter"/>
      <w:start w:val="2"/>
    </w:lvl>
  </w:abstractNum>
  <w:abstractNum w:abstractNumId="10">
    <w:nsid w:val="2901D82"/>
    <w:multiLevelType w:val="hybridMultilevel"/>
    <w:lvl w:ilvl="0">
      <w:lvlJc w:val="left"/>
      <w:lvlText w:val="%1."/>
      <w:numFmt w:val="upperLetter"/>
      <w:start w:val="1"/>
    </w:lvl>
  </w:abstractNum>
  <w:abstractNum w:abstractNumId="11">
    <w:nsid w:val="3A95F874"/>
    <w:multiLevelType w:val="hybridMultilevel"/>
    <w:lvl w:ilvl="0">
      <w:lvlJc w:val="left"/>
      <w:lvlText w:val="%1."/>
      <w:numFmt w:val="upperLetter"/>
      <w:start w:val="1"/>
    </w:lvl>
  </w:abstractNum>
  <w:abstractNum w:abstractNumId="12">
    <w:nsid w:val="8138641"/>
    <w:multiLevelType w:val="hybridMultilevel"/>
    <w:lvl w:ilvl="0">
      <w:lvlJc w:val="left"/>
      <w:lvlText w:val="%1."/>
      <w:numFmt w:val="upperLetter"/>
      <w:start w:val="1"/>
    </w:lvl>
  </w:abstractNum>
  <w:abstractNum w:abstractNumId="13">
    <w:nsid w:val="1E7FF521"/>
    <w:multiLevelType w:val="hybridMultilevel"/>
    <w:lvl w:ilvl="0">
      <w:lvlJc w:val="left"/>
      <w:lvlText w:val="%1."/>
      <w:numFmt w:val="upperLetter"/>
      <w:start w:val="1"/>
    </w:lvl>
  </w:abstractNum>
  <w:abstractNum w:abstractNumId="14">
    <w:nsid w:val="7C3DBD3D"/>
    <w:multiLevelType w:val="hybridMultilevel"/>
    <w:lvl w:ilvl="0">
      <w:lvlJc w:val="left"/>
      <w:lvlText w:val="%1."/>
      <w:numFmt w:val="upperLetter"/>
      <w:start w:val="1"/>
    </w:lvl>
  </w:abstractNum>
  <w:abstractNum w:abstractNumId="15">
    <w:nsid w:val="737B8DDC"/>
    <w:multiLevelType w:val="hybridMultilevel"/>
    <w:lvl w:ilvl="0">
      <w:lvlJc w:val="left"/>
      <w:lvlText w:val="%1."/>
      <w:numFmt w:val="upperLetter"/>
      <w:start w:val="1"/>
    </w:lvl>
  </w:abstractNum>
  <w:abstractNum w:abstractNumId="16">
    <w:nsid w:val="6CEAF087"/>
    <w:multiLevelType w:val="hybridMultilevel"/>
    <w:lvl w:ilvl="0">
      <w:lvlJc w:val="left"/>
      <w:lvlText w:val="%1."/>
      <w:numFmt w:val="upperLetter"/>
      <w:start w:val="1"/>
    </w:lvl>
  </w:abstractNum>
  <w:abstractNum w:abstractNumId="17">
    <w:nsid w:val="22221A70"/>
    <w:multiLevelType w:val="hybridMultilevel"/>
    <w:lvl w:ilvl="0">
      <w:lvlJc w:val="left"/>
      <w:lvlText w:val="%1."/>
      <w:numFmt w:val="upperLetter"/>
      <w:start w:val="1"/>
    </w:lvl>
  </w:abstractNum>
  <w:abstractNum w:abstractNumId="18">
    <w:nsid w:val="4516DDE9"/>
    <w:multiLevelType w:val="hybridMultilevel"/>
    <w:lvl w:ilvl="0">
      <w:lvlJc w:val="left"/>
      <w:lvlText w:val="(%1)"/>
      <w:numFmt w:val="lowerRoman"/>
      <w:start w:val="1"/>
    </w:lvl>
  </w:abstractNum>
  <w:abstractNum w:abstractNumId="19">
    <w:nsid w:val="3006C83E"/>
    <w:multiLevelType w:val="hybridMultilevel"/>
    <w:lvl w:ilvl="0">
      <w:lvlJc w:val="left"/>
      <w:lvlText w:val="%1."/>
      <w:numFmt w:val="upperLetter"/>
      <w:start w:val="1"/>
    </w:lvl>
  </w:abstractNum>
  <w:abstractNum w:abstractNumId="20">
    <w:nsid w:val="614FD4A1"/>
    <w:multiLevelType w:val="hybridMultilevel"/>
    <w:lvl w:ilvl="0">
      <w:lvlJc w:val="left"/>
      <w:lvlText w:val="%1."/>
      <w:numFmt w:val="upperLetter"/>
      <w:start w:val="1"/>
    </w:lvl>
  </w:abstractNum>
  <w:abstractNum w:abstractNumId="21">
    <w:nsid w:val="419AC241"/>
    <w:multiLevelType w:val="hybridMultilevel"/>
    <w:lvl w:ilvl="0">
      <w:lvlJc w:val="left"/>
      <w:lvlText w:val="%1."/>
      <w:numFmt w:val="upperLetter"/>
      <w:start w:val="1"/>
    </w:lvl>
  </w:abstractNum>
  <w:abstractNum w:abstractNumId="22">
    <w:nsid w:val="5577F8E1"/>
    <w:multiLevelType w:val="hybridMultilevel"/>
    <w:lvl w:ilvl="0">
      <w:lvlJc w:val="left"/>
      <w:lvlText w:val="%1."/>
      <w:numFmt w:val="upperLetter"/>
      <w:start w:val="1"/>
    </w:lvl>
  </w:abstractNum>
  <w:abstractNum w:abstractNumId="23">
    <w:nsid w:val="440BADFC"/>
    <w:multiLevelType w:val="hybridMultilevel"/>
    <w:lvl w:ilvl="0">
      <w:lvlJc w:val="left"/>
      <w:lvlText w:val="%1."/>
      <w:numFmt w:val="upperLetter"/>
      <w:start w:val="1"/>
    </w:lvl>
  </w:abstractNum>
  <w:abstractNum w:abstractNumId="24">
    <w:nsid w:val="5072367"/>
    <w:multiLevelType w:val="hybridMultilevel"/>
    <w:lvl w:ilvl="0">
      <w:lvlJc w:val="left"/>
      <w:lvlText w:val="%1."/>
      <w:numFmt w:val="upperLetter"/>
      <w:start w:val="1"/>
    </w:lvl>
  </w:abstractNum>
  <w:abstractNum w:abstractNumId="25">
    <w:nsid w:val="3804823E"/>
    <w:multiLevelType w:val="hybridMultilevel"/>
    <w:lvl w:ilvl="0">
      <w:lvlJc w:val="left"/>
      <w:lvlText w:val="%1."/>
      <w:numFmt w:val="upperLetter"/>
      <w:start w:val="1"/>
    </w:lvl>
  </w:abstractNum>
  <w:abstractNum w:abstractNumId="26">
    <w:nsid w:val="77465F01"/>
    <w:multiLevelType w:val="hybridMultilevel"/>
    <w:lvl w:ilvl="0">
      <w:lvlJc w:val="left"/>
      <w:lvlText w:val="%1."/>
      <w:numFmt w:val="upperLetter"/>
      <w:start w:val="1"/>
    </w:lvl>
  </w:abstractNum>
  <w:abstractNum w:abstractNumId="27">
    <w:nsid w:val="7724C67E"/>
    <w:multiLevelType w:val="hybridMultilevel"/>
    <w:lvl w:ilvl="0">
      <w:lvlJc w:val="left"/>
      <w:lvlText w:val="%1."/>
      <w:numFmt w:val="upperLetter"/>
      <w:start w:val="1"/>
    </w:lvl>
  </w:abstractNum>
  <w:abstractNum w:abstractNumId="28">
    <w:nsid w:val="5C482A97"/>
    <w:multiLevelType w:val="hybridMultilevel"/>
    <w:lvl w:ilvl="0">
      <w:lvlJc w:val="left"/>
      <w:lvlText w:val="%1."/>
      <w:numFmt w:val="upperLetter"/>
      <w:start w:val="1"/>
    </w:lvl>
  </w:abstractNum>
  <w:abstractNum w:abstractNumId="29">
    <w:nsid w:val="2463B9EA"/>
    <w:multiLevelType w:val="hybridMultilevel"/>
    <w:lvl w:ilvl="0">
      <w:lvlJc w:val="left"/>
      <w:lvlText w:val="%1."/>
      <w:numFmt w:val="upperLetter"/>
      <w:start w:val="1"/>
    </w:lvl>
  </w:abstractNum>
  <w:abstractNum w:abstractNumId="30">
    <w:nsid w:val="5E884ADC"/>
    <w:multiLevelType w:val="hybridMultilevel"/>
    <w:lvl w:ilvl="0">
      <w:lvlJc w:val="left"/>
      <w:lvlText w:val="%1."/>
      <w:numFmt w:val="upperLetter"/>
      <w:start w:val="1"/>
    </w:lvl>
  </w:abstractNum>
  <w:abstractNum w:abstractNumId="31">
    <w:nsid w:val="51EAD36B"/>
    <w:multiLevelType w:val="hybridMultilevel"/>
    <w:lvl w:ilvl="0">
      <w:lvlJc w:val="left"/>
      <w:lvlText w:val="%1."/>
      <w:numFmt w:val="upperLetter"/>
      <w:start w:val="1"/>
    </w:lvl>
  </w:abstractNum>
  <w:abstractNum w:abstractNumId="32">
    <w:nsid w:val="2D517796"/>
    <w:multiLevelType w:val="hybridMultilevel"/>
    <w:lvl w:ilvl="0">
      <w:lvlJc w:val="left"/>
      <w:lvlText w:val="%1."/>
      <w:numFmt w:val="upperLetter"/>
      <w:start w:val="1"/>
    </w:lvl>
  </w:abstractNum>
  <w:abstractNum w:abstractNumId="33">
    <w:nsid w:val="580BD78F"/>
    <w:multiLevelType w:val="hybridMultilevel"/>
    <w:lvl w:ilvl="0">
      <w:lvlJc w:val="left"/>
      <w:lvlText w:val="%1."/>
      <w:numFmt w:val="upperLetter"/>
      <w:start w:val="1"/>
    </w:lvl>
  </w:abstractNum>
  <w:abstractNum w:abstractNumId="34">
    <w:nsid w:val="153EA438"/>
    <w:multiLevelType w:val="hybridMultilevel"/>
    <w:lvl w:ilvl="0">
      <w:lvlJc w:val="left"/>
      <w:lvlText w:val="%1."/>
      <w:numFmt w:val="upperLetter"/>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Roman"/>
      <w:start w:val="3"/>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7"/>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2020-12-21T16:03:48Z</dcterms:created>
  <dcterms:modified xsi:type="dcterms:W3CDTF">2020-12-21T16:03:48Z</dcterms:modified>
</cp:coreProperties>
</file>