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92075</wp:posOffset>
            </wp:positionV>
            <wp:extent cx="3265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150495</wp:posOffset>
            </wp:positionV>
            <wp:extent cx="4406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39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ind w:right="1050"/>
              <w:spacing w:after="0"/>
              <w:rPr>
                <w:sz w:val="20"/>
                <w:szCs w:val="20"/>
                <w:color w:val="auto"/>
              </w:rPr>
            </w:pPr>
            <w:r>
              <w:rPr>
                <w:rFonts w:ascii="Arial" w:cs="Arial" w:eastAsia="Arial" w:hAnsi="Arial"/>
                <w:sz w:val="18"/>
                <w:szCs w:val="18"/>
                <w:b w:val="1"/>
                <w:bCs w:val="1"/>
                <w:color w:val="auto"/>
              </w:rPr>
              <w:t>001-39021</w:t>
            </w:r>
          </w:p>
        </w:tc>
        <w:tc>
          <w:tcPr>
            <w:tcW w:w="3140" w:type="dxa"/>
            <w:vAlign w:val="bottom"/>
          </w:tcPr>
          <w:p>
            <w:pPr>
              <w:jc w:val="right"/>
              <w:ind w:right="770"/>
              <w:spacing w:after="0"/>
              <w:rPr>
                <w:sz w:val="20"/>
                <w:szCs w:val="20"/>
                <w:color w:val="auto"/>
              </w:rPr>
            </w:pPr>
            <w:r>
              <w:rPr>
                <w:rFonts w:ascii="Arial" w:cs="Arial" w:eastAsia="Arial" w:hAnsi="Arial"/>
                <w:sz w:val="18"/>
                <w:szCs w:val="18"/>
                <w:b w:val="1"/>
                <w:bCs w:val="1"/>
                <w:color w:val="auto"/>
              </w:rPr>
              <w:t>98-1605615</w:t>
            </w:r>
          </w:p>
        </w:tc>
      </w:tr>
      <w:tr>
        <w:trPr>
          <w:trHeight w:val="270"/>
        </w:trPr>
        <w:tc>
          <w:tcPr>
            <w:tcW w:w="3960" w:type="dxa"/>
            <w:vAlign w:val="bottom"/>
          </w:tcPr>
          <w:p>
            <w:pPr>
              <w:jc w:val="center"/>
              <w:ind w:right="630"/>
              <w:spacing w:after="0"/>
              <w:rPr>
                <w:sz w:val="20"/>
                <w:szCs w:val="20"/>
                <w:color w:val="auto"/>
              </w:rPr>
            </w:pPr>
            <w:r>
              <w:rPr>
                <w:rFonts w:ascii="Arial" w:cs="Arial" w:eastAsia="Arial" w:hAnsi="Arial"/>
                <w:sz w:val="18"/>
                <w:szCs w:val="18"/>
                <w:color w:val="auto"/>
                <w:w w:val="92"/>
              </w:rPr>
              <w:t>(State or Other Jurisdiction of Incorporation)</w:t>
            </w:r>
          </w:p>
        </w:tc>
        <w:tc>
          <w:tcPr>
            <w:tcW w:w="2760" w:type="dxa"/>
            <w:vAlign w:val="bottom"/>
          </w:tcPr>
          <w:p>
            <w:pPr>
              <w:jc w:val="center"/>
              <w:ind w:right="210"/>
              <w:spacing w:after="0"/>
              <w:rPr>
                <w:sz w:val="20"/>
                <w:szCs w:val="20"/>
                <w:color w:val="auto"/>
              </w:rPr>
            </w:pPr>
            <w:r>
              <w:rPr>
                <w:rFonts w:ascii="Arial" w:cs="Arial" w:eastAsia="Arial" w:hAnsi="Arial"/>
                <w:sz w:val="18"/>
                <w:szCs w:val="18"/>
                <w:color w:val="auto"/>
                <w:w w:val="92"/>
              </w:rPr>
              <w:t>(Commission File Number)</w:t>
            </w:r>
          </w:p>
        </w:tc>
        <w:tc>
          <w:tcPr>
            <w:tcW w:w="3140" w:type="dxa"/>
            <w:vAlign w:val="bottom"/>
          </w:tcPr>
          <w:p>
            <w:pPr>
              <w:jc w:val="center"/>
              <w:ind w:left="450"/>
              <w:spacing w:after="0"/>
              <w:rPr>
                <w:sz w:val="20"/>
                <w:szCs w:val="20"/>
                <w:color w:val="auto"/>
              </w:rPr>
            </w:pPr>
            <w:r>
              <w:rPr>
                <w:rFonts w:ascii="Arial" w:cs="Arial" w:eastAsia="Arial" w:hAnsi="Arial"/>
                <w:sz w:val="18"/>
                <w:szCs w:val="18"/>
                <w:color w:val="auto"/>
                <w:w w:val="93"/>
              </w:rPr>
              <w:t>(I.R.S. Employer Identification No.)</w:t>
            </w:r>
          </w:p>
        </w:tc>
      </w:tr>
      <w:tr>
        <w:trPr>
          <w:trHeight w:val="616"/>
        </w:trPr>
        <w:tc>
          <w:tcPr>
            <w:tcW w:w="396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41 Discovery</w:t>
            </w:r>
          </w:p>
        </w:tc>
        <w:tc>
          <w:tcPr>
            <w:tcW w:w="27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4"/>
        </w:trPr>
        <w:tc>
          <w:tcPr>
            <w:tcW w:w="396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Irvine, California</w:t>
            </w:r>
          </w:p>
        </w:tc>
        <w:tc>
          <w:tcPr>
            <w:tcW w:w="2760" w:type="dxa"/>
            <w:vAlign w:val="bottom"/>
          </w:tcPr>
          <w:p>
            <w:pPr>
              <w:spacing w:after="0"/>
              <w:rPr>
                <w:sz w:val="20"/>
                <w:szCs w:val="20"/>
                <w:color w:val="auto"/>
              </w:rPr>
            </w:pPr>
          </w:p>
        </w:tc>
        <w:tc>
          <w:tcPr>
            <w:tcW w:w="3140" w:type="dxa"/>
            <w:vAlign w:val="bottom"/>
          </w:tcPr>
          <w:p>
            <w:pPr>
              <w:jc w:val="right"/>
              <w:ind w:right="1550"/>
              <w:spacing w:after="0"/>
              <w:rPr>
                <w:sz w:val="20"/>
                <w:szCs w:val="20"/>
                <w:color w:val="auto"/>
              </w:rPr>
            </w:pPr>
            <w:r>
              <w:rPr>
                <w:rFonts w:ascii="Arial" w:cs="Arial" w:eastAsia="Arial" w:hAnsi="Arial"/>
                <w:sz w:val="18"/>
                <w:szCs w:val="18"/>
                <w:b w:val="1"/>
                <w:bCs w:val="1"/>
                <w:color w:val="auto"/>
              </w:rPr>
              <w:t>92618</w:t>
            </w:r>
          </w:p>
        </w:tc>
      </w:tr>
      <w:tr>
        <w:trPr>
          <w:trHeight w:val="270"/>
        </w:trPr>
        <w:tc>
          <w:tcPr>
            <w:tcW w:w="39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offices)</w:t>
            </w:r>
          </w:p>
        </w:tc>
        <w:tc>
          <w:tcPr>
            <w:tcW w:w="2760" w:type="dxa"/>
            <w:vAlign w:val="bottom"/>
          </w:tcPr>
          <w:p>
            <w:pPr>
              <w:spacing w:after="0"/>
              <w:rPr>
                <w:sz w:val="23"/>
                <w:szCs w:val="23"/>
                <w:color w:val="auto"/>
              </w:rPr>
            </w:pPr>
          </w:p>
        </w:tc>
        <w:tc>
          <w:tcPr>
            <w:tcW w:w="3140" w:type="dxa"/>
            <w:vAlign w:val="bottom"/>
          </w:tcPr>
          <w:p>
            <w:pPr>
              <w:jc w:val="center"/>
              <w:ind w:right="490"/>
              <w:spacing w:after="0"/>
              <w:rPr>
                <w:sz w:val="20"/>
                <w:szCs w:val="20"/>
                <w:color w:val="auto"/>
              </w:rPr>
            </w:pPr>
            <w:r>
              <w:rPr>
                <w:rFonts w:ascii="Arial" w:cs="Arial" w:eastAsia="Arial" w:hAnsi="Arial"/>
                <w:sz w:val="18"/>
                <w:szCs w:val="18"/>
                <w:color w:val="auto"/>
                <w:w w:val="94"/>
              </w:rPr>
              <w:t>(Zip Code)</w:t>
            </w:r>
          </w:p>
        </w:tc>
      </w:tr>
      <w:tr>
        <w:trPr>
          <w:trHeight w:val="324"/>
        </w:trPr>
        <w:tc>
          <w:tcPr>
            <w:tcW w:w="3960" w:type="dxa"/>
            <w:vAlign w:val="bottom"/>
          </w:tcPr>
          <w:p>
            <w:pPr>
              <w:spacing w:after="0"/>
              <w:rPr>
                <w:sz w:val="24"/>
                <w:szCs w:val="24"/>
                <w:color w:val="auto"/>
              </w:rPr>
            </w:pPr>
          </w:p>
        </w:tc>
        <w:tc>
          <w:tcPr>
            <w:tcW w:w="2760" w:type="dxa"/>
            <w:vAlign w:val="bottom"/>
          </w:tcPr>
          <w:p>
            <w:pPr>
              <w:jc w:val="right"/>
              <w:ind w:right="1090"/>
              <w:spacing w:after="0"/>
              <w:rPr>
                <w:sz w:val="20"/>
                <w:szCs w:val="20"/>
                <w:color w:val="auto"/>
              </w:rPr>
            </w:pPr>
            <w:r>
              <w:rPr>
                <w:rFonts w:ascii="Arial" w:cs="Arial" w:eastAsia="Arial" w:hAnsi="Arial"/>
                <w:sz w:val="18"/>
                <w:szCs w:val="18"/>
                <w:b w:val="1"/>
                <w:bCs w:val="1"/>
                <w:color w:val="auto"/>
              </w:rPr>
              <w:t>(844) 933-3627</w:t>
            </w:r>
          </w:p>
        </w:tc>
        <w:tc>
          <w:tcPr>
            <w:tcW w:w="3140" w:type="dxa"/>
            <w:vAlign w:val="bottom"/>
          </w:tcPr>
          <w:p>
            <w:pPr>
              <w:spacing w:after="0"/>
              <w:rPr>
                <w:sz w:val="24"/>
                <w:szCs w:val="24"/>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640"/>
        <w:spacing w:after="0"/>
        <w:tabs>
          <w:tab w:leader="none" w:pos="5160" w:val="left"/>
          <w:tab w:leader="none" w:pos="75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0" w:right="64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92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92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840" w:space="720"/>
            <w:col w:w="5680"/>
          </w:cols>
          <w:pgMar w:left="320" w:top="1156" w:right="339" w:bottom="1440" w:gutter="0" w:footer="0" w:header="0"/>
          <w:type w:val="continuous"/>
        </w:sectPr>
      </w:pPr>
    </w:p>
    <w:p>
      <w:pPr>
        <w:spacing w:after="0" w:line="26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5151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5151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Technology Officer Retention Agreement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 2023, Ghost Management Group, LLC, an indirect subsidiary of WM Technology, Inc. (the “Company”), entered into a retention bonus agreement with Duncan Grazier, the Chief Technology Officer of the Company (the “Retention Agreement”).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Retention Agreement, Mr. Grazier will be advanced $200,000, subject to any applicable withholdings, on the first regular payroll date after October 1, 2023, further subject to repayment by Mr. Grazier (or a pro-rated portion thereof, as described in the Retention Agreement) if his employment is terminated for “Cause” (as defined in the Retention Agreement) before July 1, 2024.</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summary description of the Retention Agreement does not purport to be complete and is qualified in its entirety by reference to the full text of the Retention Agreement, a copy of which is filed as Exhibit 10.1 to this Current Report on Form 8-K and is incorporated herein by reference.</w:t>
      </w:r>
    </w:p>
    <w:p>
      <w:pPr>
        <w:spacing w:after="0" w:line="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Non-Employee Director Compensation Policy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a regular review of the corporate governance practices of the Company and in an effort to continue to attract and retain qualified members of the Board of Directors of the Company (the “Board”), after consultation with compensation experts and upon recommendation of the Compensation Committee of the Board (the “Compensation Committee”), the Board approved an Amended and Restated Non-Employee Director Compensation Policy (the “A&amp;R Non-Employee Director Compensation Policy”), which provides annual cash and equity compensation for non-employee members of the Board (“Outside Directors”), on the terms and conditions contained therein. The A&amp;R Non-Employee Director Compensation Policy is intended to enable the Company to attract qualified Outside Directors, provide them with compensation at a level that is consistent with the Company’s compensation objectives, and in the case of equity-based compensation, align the Outside Directors’ interests with those of the Company’s stockholders. The A&amp;R Non-Employee Director Compensation Policy is effective as of October 1, 2023 (the “Effective Date”).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A&amp;R Non-Employee Director Compensation Policy is not complete and is subject to and qualified in its entirety by reference to the A&amp;R Non-Employee Director Compensation Policy, a copy of which is attached hereto as Exhibit 10.2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Chief Marketing Officer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September 21, 2023 was the last day of employment for Randa McMinn, the Chief Marketing Officer of the Company. Upon her departure from the Company, Ms. McMann will be eligible to receive certain severance benefits pursuant to the Company’s Severance and Change in Control Plan (the “CIC Plan”), subject to the terms and conditions set forth in the CIC Plan.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McMinn’s departure was not the result of any disagreement between Ms. McMinn and the Company, its management, board of directors or any committee thereof, or with respect to any matter relating to the Company’s operations, policies or practices.</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4"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following exhibits are filed with this Current Report on Form 8-K:</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b w:val="1"/>
          <w:bCs w:val="1"/>
          <w:color w:val="auto"/>
        </w:rPr>
        <w:t>Number</w:t>
        <w:tab/>
        <w:t>Description of Exhibits</w:t>
      </w:r>
    </w:p>
    <w:p>
      <w:pPr>
        <w:spacing w:after="0" w:line="49"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6"/>
          <w:szCs w:val="16"/>
          <w:u w:val="single" w:color="auto"/>
          <w:color w:val="0000FF"/>
        </w:rPr>
        <w:t>Retention Agreement, effective October 2, 2023, by and between the Company and Duncan Grazier</w:t>
      </w:r>
    </w:p>
    <w:p>
      <w:pPr>
        <w:spacing w:after="0" w:line="63"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u w:val="single" w:color="auto"/>
          <w:color w:val="0000FF"/>
        </w:rPr>
        <w:t>10.2</w:t>
      </w:r>
      <w:r>
        <w:rPr>
          <w:sz w:val="20"/>
          <w:szCs w:val="20"/>
          <w:color w:val="auto"/>
        </w:rPr>
        <w:tab/>
      </w:r>
      <w:r>
        <w:rPr>
          <w:rFonts w:ascii="Arial" w:cs="Arial" w:eastAsia="Arial" w:hAnsi="Arial"/>
          <w:sz w:val="16"/>
          <w:szCs w:val="16"/>
          <w:u w:val="single" w:color="auto"/>
          <w:color w:val="0000FF"/>
        </w:rPr>
        <w:t>Amended and Restated Non-Employee Director Compensation Policy</w:t>
      </w:r>
    </w:p>
    <w:p>
      <w:pPr>
        <w:spacing w:after="0" w:line="6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6,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Hoitt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Mary Hoitt</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10.1</w:t>
      </w:r>
    </w:p>
    <w:p>
      <w:pPr>
        <w:spacing w:after="0" w:line="200" w:lineRule="exact"/>
        <w:rPr>
          <w:sz w:val="20"/>
          <w:szCs w:val="20"/>
          <w:color w:val="auto"/>
        </w:rPr>
      </w:pPr>
    </w:p>
    <w:p>
      <w:pPr>
        <w:spacing w:after="0" w:line="329" w:lineRule="exact"/>
        <w:rPr>
          <w:sz w:val="20"/>
          <w:szCs w:val="20"/>
          <w:color w:val="auto"/>
        </w:rPr>
      </w:pPr>
    </w:p>
    <w:p>
      <w:pPr>
        <w:jc w:val="center"/>
        <w:ind w:right="120"/>
        <w:spacing w:after="0"/>
        <w:rPr>
          <w:sz w:val="20"/>
          <w:szCs w:val="20"/>
          <w:color w:val="auto"/>
        </w:rPr>
      </w:pPr>
      <w:r>
        <w:rPr>
          <w:rFonts w:ascii="Arial" w:cs="Arial" w:eastAsia="Arial" w:hAnsi="Arial"/>
          <w:sz w:val="25"/>
          <w:szCs w:val="25"/>
          <w:color w:val="auto"/>
        </w:rPr>
        <w:t>Ghost Management Group, LLC</w:t>
      </w:r>
    </w:p>
    <w:p>
      <w:pPr>
        <w:spacing w:after="0" w:line="12" w:lineRule="exact"/>
        <w:rPr>
          <w:sz w:val="20"/>
          <w:szCs w:val="20"/>
          <w:color w:val="auto"/>
        </w:rPr>
      </w:pPr>
    </w:p>
    <w:p>
      <w:pPr>
        <w:ind w:left="5220" w:hanging="256"/>
        <w:spacing w:after="0"/>
        <w:tabs>
          <w:tab w:leader="none" w:pos="5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Discovery</w:t>
      </w:r>
    </w:p>
    <w:p>
      <w:pPr>
        <w:spacing w:after="0" w:line="9" w:lineRule="exact"/>
        <w:rPr>
          <w:rFonts w:ascii="Arial" w:cs="Arial" w:eastAsia="Arial" w:hAnsi="Arial"/>
          <w:sz w:val="18"/>
          <w:szCs w:val="18"/>
          <w:color w:val="auto"/>
        </w:rPr>
      </w:pPr>
    </w:p>
    <w:p>
      <w:pPr>
        <w:ind w:left="4560"/>
        <w:spacing w:after="0"/>
        <w:rPr>
          <w:rFonts w:ascii="Arial" w:cs="Arial" w:eastAsia="Arial" w:hAnsi="Arial"/>
          <w:sz w:val="18"/>
          <w:szCs w:val="18"/>
          <w:color w:val="auto"/>
        </w:rPr>
      </w:pPr>
      <w:r>
        <w:rPr>
          <w:rFonts w:ascii="Arial" w:cs="Arial" w:eastAsia="Arial" w:hAnsi="Arial"/>
          <w:sz w:val="18"/>
          <w:szCs w:val="18"/>
          <w:color w:val="auto"/>
        </w:rPr>
        <w:t>Irvine, California 92618</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October 1,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Duncan Grazier 6210 Colina Pacifica</w:t>
      </w:r>
    </w:p>
    <w:p>
      <w:pPr>
        <w:spacing w:after="0"/>
        <w:rPr>
          <w:sz w:val="20"/>
          <w:szCs w:val="20"/>
          <w:color w:val="auto"/>
        </w:rPr>
      </w:pPr>
      <w:r>
        <w:rPr>
          <w:rFonts w:ascii="Arial" w:cs="Arial" w:eastAsia="Arial" w:hAnsi="Arial"/>
          <w:sz w:val="20"/>
          <w:szCs w:val="20"/>
          <w:color w:val="auto"/>
        </w:rPr>
        <w:t>San Clemente, CA 92673</w:t>
      </w:r>
    </w:p>
    <w:p>
      <w:pPr>
        <w:spacing w:after="0" w:line="19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Retention Bonus Opportunity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Dear Duncan,</w:t>
      </w:r>
    </w:p>
    <w:p>
      <w:pPr>
        <w:spacing w:after="0" w:line="216"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Congratulations! Ghost Management Group, LLC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the opportunity to receive a cash retention bonus (the “</w:t>
      </w:r>
      <w:r>
        <w:rPr>
          <w:rFonts w:ascii="Arial" w:cs="Arial" w:eastAsia="Arial" w:hAnsi="Arial"/>
          <w:sz w:val="18"/>
          <w:szCs w:val="18"/>
          <w:b w:val="1"/>
          <w:bCs w:val="1"/>
          <w:i w:val="1"/>
          <w:iCs w:val="1"/>
          <w:color w:val="auto"/>
        </w:rPr>
        <w:t>Retention Bonus</w:t>
      </w:r>
      <w:r>
        <w:rPr>
          <w:rFonts w:ascii="Arial" w:cs="Arial" w:eastAsia="Arial" w:hAnsi="Arial"/>
          <w:sz w:val="18"/>
          <w:szCs w:val="18"/>
          <w:color w:val="auto"/>
        </w:rPr>
        <w:t xml:space="preserve">”) in the gross amount of </w:t>
      </w:r>
      <w:r>
        <w:rPr>
          <w:rFonts w:ascii="Arial" w:cs="Arial" w:eastAsia="Arial" w:hAnsi="Arial"/>
          <w:sz w:val="18"/>
          <w:szCs w:val="18"/>
          <w:b w:val="1"/>
          <w:bCs w:val="1"/>
          <w:color w:val="auto"/>
        </w:rPr>
        <w:t>Two Hundred Thousand Dollars ($200,000)</w:t>
      </w:r>
      <w:r>
        <w:rPr>
          <w:rFonts w:ascii="Arial" w:cs="Arial" w:eastAsia="Arial" w:hAnsi="Arial"/>
          <w:sz w:val="18"/>
          <w:szCs w:val="18"/>
          <w:color w:val="auto"/>
        </w:rPr>
        <w:t xml:space="preserve"> as set forth below in this retention</w:t>
      </w:r>
    </w:p>
    <w:p>
      <w:pPr>
        <w:spacing w:after="0"/>
        <w:rPr>
          <w:sz w:val="20"/>
          <w:szCs w:val="20"/>
          <w:color w:val="auto"/>
        </w:rPr>
      </w:pPr>
      <w:r>
        <w:rPr>
          <w:rFonts w:ascii="Arial" w:cs="Arial" w:eastAsia="Arial" w:hAnsi="Arial"/>
          <w:sz w:val="20"/>
          <w:szCs w:val="20"/>
          <w:color w:val="auto"/>
        </w:rPr>
        <w:t>bonus opportunity letter (“</w:t>
      </w:r>
      <w:r>
        <w:rPr>
          <w:rFonts w:ascii="Arial" w:cs="Arial" w:eastAsia="Arial" w:hAnsi="Arial"/>
          <w:sz w:val="20"/>
          <w:szCs w:val="20"/>
          <w:b w:val="1"/>
          <w:bCs w:val="1"/>
          <w:i w:val="1"/>
          <w:iCs w:val="1"/>
          <w:color w:val="auto"/>
        </w:rPr>
        <w:t>Letter</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To earn the Retention Bonus, you must remain actively employed with the Company through July 1, 2024 (the “</w:t>
      </w:r>
      <w:r>
        <w:rPr>
          <w:rFonts w:ascii="Arial" w:cs="Arial" w:eastAsia="Arial" w:hAnsi="Arial"/>
          <w:sz w:val="18"/>
          <w:szCs w:val="18"/>
          <w:b w:val="1"/>
          <w:bCs w:val="1"/>
          <w:i w:val="1"/>
          <w:iCs w:val="1"/>
          <w:color w:val="auto"/>
        </w:rPr>
        <w:t>Retention Date</w:t>
      </w:r>
      <w:r>
        <w:rPr>
          <w:rFonts w:ascii="Arial" w:cs="Arial" w:eastAsia="Arial" w:hAnsi="Arial"/>
          <w:sz w:val="18"/>
          <w:szCs w:val="18"/>
          <w:color w:val="auto"/>
        </w:rPr>
        <w:t>”). By</w:t>
      </w:r>
    </w:p>
    <w:p>
      <w:pPr>
        <w:spacing w:after="0" w:line="12"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signing this Letter, you acknowledge and agree that no portion of the Retention Bonus is earned unless and until you have been actively employed with the Company through the Retention Date. The Retention Bonus, however, will be provided to you subject to any applicable</w:t>
      </w:r>
    </w:p>
    <w:p>
      <w:pPr>
        <w:spacing w:after="0" w:line="236" w:lineRule="auto"/>
        <w:rPr>
          <w:sz w:val="20"/>
          <w:szCs w:val="20"/>
          <w:color w:val="auto"/>
        </w:rPr>
      </w:pPr>
      <w:r>
        <w:rPr>
          <w:rFonts w:ascii="Arial" w:cs="Arial" w:eastAsia="Arial" w:hAnsi="Arial"/>
          <w:sz w:val="18"/>
          <w:szCs w:val="18"/>
          <w:color w:val="auto"/>
        </w:rPr>
        <w:t>withholdings on the first regular payroll date after October 1, 2023, subject to repayment by you if your employment terminates before the</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Retention Date for any of the disqualifying reasons described below. Please know that by signing this Letter, you acknowledge and agree that your receipt of the Retention Bonus is a bonus that is subject to repayment pursuant to the terms and conditions described in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Letter.</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In the event your employment is terminated by the Company without “Cause” (as such term is defined in this Letter), prior to the</w:t>
      </w:r>
    </w:p>
    <w:p>
      <w:pPr>
        <w:jc w:val="both"/>
        <w:ind w:right="100"/>
        <w:spacing w:after="0" w:line="226" w:lineRule="auto"/>
        <w:rPr>
          <w:sz w:val="20"/>
          <w:szCs w:val="20"/>
          <w:color w:val="auto"/>
        </w:rPr>
      </w:pPr>
      <w:r>
        <w:rPr>
          <w:rFonts w:ascii="Arial" w:cs="Arial" w:eastAsia="Arial" w:hAnsi="Arial"/>
          <w:sz w:val="18"/>
          <w:szCs w:val="18"/>
          <w:color w:val="auto"/>
        </w:rPr>
        <w:t>Retention Date, then you will be entitled to retain the Retention Bonus payment in full. However, if you voluntarily terminate your employment with the Company or alternatively your employment is terminated by the Company for Cause before the Retention Date then</w:t>
      </w:r>
    </w:p>
    <w:p>
      <w:pPr>
        <w:spacing w:after="0" w:line="236" w:lineRule="auto"/>
        <w:rPr>
          <w:sz w:val="20"/>
          <w:szCs w:val="20"/>
          <w:color w:val="auto"/>
        </w:rPr>
      </w:pPr>
      <w:r>
        <w:rPr>
          <w:rFonts w:ascii="Arial" w:cs="Arial" w:eastAsia="Arial" w:hAnsi="Arial"/>
          <w:sz w:val="18"/>
          <w:szCs w:val="18"/>
          <w:color w:val="auto"/>
        </w:rPr>
        <w:t>you will not have earned the Retention Bonus and you will be required to repay to the Company a prorated amount of the Retention Bonus</w:t>
      </w:r>
    </w:p>
    <w:p>
      <w:pPr>
        <w:spacing w:after="0" w:line="1" w:lineRule="exact"/>
        <w:rPr>
          <w:sz w:val="20"/>
          <w:szCs w:val="20"/>
          <w:color w:val="auto"/>
        </w:rPr>
      </w:pPr>
    </w:p>
    <w:p>
      <w:pPr>
        <w:jc w:val="both"/>
        <w:ind w:right="100"/>
        <w:spacing w:after="0" w:line="215" w:lineRule="auto"/>
        <w:rPr>
          <w:sz w:val="20"/>
          <w:szCs w:val="20"/>
          <w:color w:val="auto"/>
        </w:rPr>
      </w:pPr>
      <w:r>
        <w:rPr>
          <w:rFonts w:ascii="Arial" w:cs="Arial" w:eastAsia="Arial" w:hAnsi="Arial"/>
          <w:sz w:val="19"/>
          <w:szCs w:val="19"/>
          <w:color w:val="auto"/>
        </w:rPr>
        <w:t>based on the ratio of (x) nine minus the number of full months of your employment with the Company, commencing as of October 1, 2023, to (y) nine months. By signing this Letter, you agree that in the event you are required to repay the Retention Bonus to the</w:t>
      </w:r>
    </w:p>
    <w:p>
      <w:pPr>
        <w:spacing w:after="0" w:line="234" w:lineRule="auto"/>
        <w:rPr>
          <w:sz w:val="20"/>
          <w:szCs w:val="20"/>
          <w:color w:val="auto"/>
        </w:rPr>
      </w:pPr>
      <w:r>
        <w:rPr>
          <w:rFonts w:ascii="Arial" w:cs="Arial" w:eastAsia="Arial" w:hAnsi="Arial"/>
          <w:sz w:val="18"/>
          <w:szCs w:val="18"/>
          <w:color w:val="auto"/>
        </w:rPr>
        <w:t>Company, you hereby authorize the Company to deduct from your final paycheck up to the full amount of the Retention Bonus owed,</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unless you are a non-exempt employee and the total amount to be deducted results in your final paycheck being less than the minimum wage for that pay period. In addition, if any amount of the Retention Bonus which you are required to repay to the Company remains</w:t>
      </w:r>
    </w:p>
    <w:p>
      <w:pPr>
        <w:spacing w:after="0" w:line="236" w:lineRule="auto"/>
        <w:rPr>
          <w:sz w:val="20"/>
          <w:szCs w:val="20"/>
          <w:color w:val="auto"/>
        </w:rPr>
      </w:pPr>
      <w:r>
        <w:rPr>
          <w:rFonts w:ascii="Arial" w:cs="Arial" w:eastAsia="Arial" w:hAnsi="Arial"/>
          <w:sz w:val="18"/>
          <w:szCs w:val="18"/>
          <w:color w:val="auto"/>
        </w:rPr>
        <w:t>unpaid by you after deduction, if any, is made from your final paycheck, or if the Company is unable to or chooses not to deduct all or part</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of the Retention Bonus from your final paycheck, you hereby agree to repay to the Company the remaining balance owed within ten (10) calendar days after the termination of your employment. You further agree that if you fail to repay the owed amount of the Retention</w:t>
      </w:r>
    </w:p>
    <w:p>
      <w:pPr>
        <w:spacing w:after="0" w:line="224" w:lineRule="auto"/>
        <w:rPr>
          <w:sz w:val="20"/>
          <w:szCs w:val="20"/>
          <w:color w:val="auto"/>
        </w:rPr>
      </w:pPr>
      <w:r>
        <w:rPr>
          <w:rFonts w:ascii="Arial" w:cs="Arial" w:eastAsia="Arial" w:hAnsi="Arial"/>
          <w:sz w:val="19"/>
          <w:szCs w:val="19"/>
          <w:color w:val="auto"/>
        </w:rPr>
        <w:t>Bonus within ten (10) calendar days after the termination of your employment, and if the Company resorts to litigation to obtain such</w:t>
      </w:r>
    </w:p>
    <w:p>
      <w:pPr>
        <w:jc w:val="both"/>
        <w:ind w:right="100"/>
        <w:spacing w:after="0" w:line="220" w:lineRule="auto"/>
        <w:rPr>
          <w:sz w:val="20"/>
          <w:szCs w:val="20"/>
          <w:color w:val="auto"/>
        </w:rPr>
      </w:pPr>
      <w:r>
        <w:rPr>
          <w:rFonts w:ascii="Arial" w:cs="Arial" w:eastAsia="Arial" w:hAnsi="Arial"/>
          <w:sz w:val="20"/>
          <w:szCs w:val="20"/>
          <w:color w:val="auto"/>
        </w:rPr>
        <w:t>repayment, you shall be liable to the Company for all of its litigation costs and expenses, including attorneys’ fees and interest at the applicable legal rate.</w:t>
      </w:r>
    </w:p>
    <w:p>
      <w:pPr>
        <w:spacing w:after="0" w:line="197" w:lineRule="exact"/>
        <w:rPr>
          <w:sz w:val="20"/>
          <w:szCs w:val="20"/>
          <w:color w:val="auto"/>
        </w:rPr>
      </w:pPr>
    </w:p>
    <w:p>
      <w:pPr>
        <w:jc w:val="both"/>
        <w:ind w:right="120"/>
        <w:spacing w:after="0" w:line="227" w:lineRule="auto"/>
        <w:rPr>
          <w:sz w:val="20"/>
          <w:szCs w:val="20"/>
          <w:color w:val="auto"/>
        </w:rPr>
      </w:pPr>
      <w:r>
        <w:rPr>
          <w:rFonts w:ascii="Arial" w:cs="Arial" w:eastAsia="Arial" w:hAnsi="Arial"/>
          <w:sz w:val="20"/>
          <w:szCs w:val="20"/>
          <w:color w:val="auto"/>
        </w:rPr>
        <w:t>The Retention Bonus payment will be subject to any applicable withholdings. If you are a non-exempt employee subject to state and federal overtime laws, and you have earned the Retention Bonus, you will be paid any overtime owed on the Retention Bonus by the end of the next full pay period after the Retention Date.</w:t>
      </w:r>
    </w:p>
    <w:p>
      <w:pPr>
        <w:sectPr>
          <w:pgSz w:w="11900" w:h="16838" w:orient="portrait"/>
          <w:cols w:equalWidth="0" w:num="1">
            <w:col w:w="11100"/>
          </w:cols>
          <w:pgMar w:left="460" w:top="9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Duncan Grazier October 1, 2023</w:t>
      </w:r>
    </w:p>
    <w:p>
      <w:pPr>
        <w:ind w:left="140"/>
        <w:spacing w:after="0"/>
        <w:rPr>
          <w:sz w:val="20"/>
          <w:szCs w:val="20"/>
          <w:color w:val="auto"/>
        </w:rPr>
      </w:pPr>
      <w:r>
        <w:rPr>
          <w:rFonts w:ascii="Arial" w:cs="Arial" w:eastAsia="Arial" w:hAnsi="Arial"/>
          <w:sz w:val="20"/>
          <w:szCs w:val="20"/>
          <w:color w:val="auto"/>
        </w:rPr>
        <w:t>Page 2 of 2</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purposes of this Letter only, the term “Cause,” as it concerns you, shall be defined as follows: (a) refusal or failure to competently</w:t>
      </w:r>
    </w:p>
    <w:p>
      <w:pPr>
        <w:spacing w:after="0" w:line="12" w:lineRule="exact"/>
        <w:rPr>
          <w:sz w:val="20"/>
          <w:szCs w:val="20"/>
          <w:color w:val="auto"/>
        </w:rPr>
      </w:pPr>
    </w:p>
    <w:p>
      <w:pPr>
        <w:ind w:left="140" w:right="100"/>
        <w:spacing w:after="0" w:line="226" w:lineRule="auto"/>
        <w:rPr>
          <w:sz w:val="20"/>
          <w:szCs w:val="20"/>
          <w:color w:val="auto"/>
        </w:rPr>
      </w:pPr>
      <w:r>
        <w:rPr>
          <w:rFonts w:ascii="Arial" w:cs="Arial" w:eastAsia="Arial" w:hAnsi="Arial"/>
          <w:sz w:val="18"/>
          <w:szCs w:val="18"/>
          <w:color w:val="auto"/>
        </w:rPr>
        <w:t xml:space="preserve">perform your assigned duties and responsibilities; (b) misconduct including, but not limited to, any violation of any of the Company’s policies or procedures; (c)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any crime involving moral turpitude; (d) failure to</w:t>
      </w:r>
    </w:p>
    <w:p>
      <w:pPr>
        <w:ind w:left="140"/>
        <w:spacing w:after="0" w:line="224" w:lineRule="auto"/>
        <w:rPr>
          <w:sz w:val="20"/>
          <w:szCs w:val="20"/>
          <w:color w:val="auto"/>
        </w:rPr>
      </w:pPr>
      <w:r>
        <w:rPr>
          <w:rFonts w:ascii="Arial" w:cs="Arial" w:eastAsia="Arial" w:hAnsi="Arial"/>
          <w:sz w:val="19"/>
          <w:szCs w:val="19"/>
          <w:color w:val="auto"/>
        </w:rPr>
        <w:t>comply with any of the Company’s lawful directives; (e) violation of any law, rule or regulation; (f) taking of any improper action or</w:t>
      </w:r>
    </w:p>
    <w:p>
      <w:pPr>
        <w:ind w:left="140" w:right="100"/>
        <w:spacing w:after="0" w:line="226" w:lineRule="auto"/>
        <w:rPr>
          <w:sz w:val="20"/>
          <w:szCs w:val="20"/>
          <w:color w:val="auto"/>
        </w:rPr>
      </w:pPr>
      <w:r>
        <w:rPr>
          <w:rFonts w:ascii="Arial" w:cs="Arial" w:eastAsia="Arial" w:hAnsi="Arial"/>
          <w:sz w:val="18"/>
          <w:szCs w:val="18"/>
          <w:color w:val="auto"/>
        </w:rPr>
        <w:t>failure to take proper action that has had or could reasonably be expected to have a material adverse effect on the Company; (g) dishonesty, bad faith, gross negligence, or willful or reckless disregard of your job duties; and/or (h) engagement in a competitive business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practice or business that is otherwise materially adverse to the Company.</w:t>
      </w:r>
    </w:p>
    <w:p>
      <w:pPr>
        <w:spacing w:after="0" w:line="200" w:lineRule="exact"/>
        <w:rPr>
          <w:sz w:val="20"/>
          <w:szCs w:val="20"/>
          <w:color w:val="auto"/>
        </w:rPr>
      </w:pPr>
    </w:p>
    <w:p>
      <w:pPr>
        <w:ind w:left="140" w:right="100"/>
        <w:spacing w:after="0" w:line="285" w:lineRule="auto"/>
        <w:rPr>
          <w:sz w:val="20"/>
          <w:szCs w:val="20"/>
          <w:color w:val="auto"/>
        </w:rPr>
      </w:pPr>
      <w:r>
        <w:rPr>
          <w:rFonts w:ascii="Arial" w:cs="Arial" w:eastAsia="Arial" w:hAnsi="Arial"/>
          <w:sz w:val="18"/>
          <w:szCs w:val="18"/>
          <w:color w:val="auto"/>
        </w:rPr>
        <w:t>Nothing in this Letter changes or alters your status with the Company, which continues to be “at-will” employment. Accordingly, the Company or you may terminate your employment with the Company at any time and for any reason, with or without cause or notice.</w:t>
      </w:r>
    </w:p>
    <w:p>
      <w:pPr>
        <w:spacing w:after="0" w:line="156" w:lineRule="exact"/>
        <w:rPr>
          <w:sz w:val="20"/>
          <w:szCs w:val="20"/>
          <w:color w:val="auto"/>
        </w:rPr>
      </w:pPr>
    </w:p>
    <w:p>
      <w:pPr>
        <w:ind w:left="140" w:right="100"/>
        <w:spacing w:after="0" w:line="236" w:lineRule="auto"/>
        <w:rPr>
          <w:sz w:val="20"/>
          <w:szCs w:val="20"/>
          <w:color w:val="auto"/>
        </w:rPr>
      </w:pPr>
      <w:r>
        <w:rPr>
          <w:rFonts w:ascii="Arial" w:cs="Arial" w:eastAsia="Arial" w:hAnsi="Arial"/>
          <w:sz w:val="18"/>
          <w:szCs w:val="18"/>
          <w:color w:val="auto"/>
        </w:rPr>
        <w:t>This Letter supersedes any agreement concerning the subject matter set forth herein and may be amended only by a written agreement signed by you and a duly authorized officer of the Company. This Letter will be governed by the internal substantive laws, but not the</w:t>
      </w:r>
    </w:p>
    <w:p>
      <w:pPr>
        <w:ind w:left="140"/>
        <w:spacing w:after="0" w:line="235" w:lineRule="auto"/>
        <w:rPr>
          <w:sz w:val="20"/>
          <w:szCs w:val="20"/>
          <w:color w:val="auto"/>
        </w:rPr>
      </w:pPr>
      <w:r>
        <w:rPr>
          <w:rFonts w:ascii="Arial" w:cs="Arial" w:eastAsia="Arial" w:hAnsi="Arial"/>
          <w:sz w:val="18"/>
          <w:szCs w:val="18"/>
          <w:color w:val="auto"/>
        </w:rPr>
        <w:t>choice of law rules, of the State of California. You may not sell or assign your right to receive the Retention Bonus or pledge it as security</w:t>
      </w:r>
    </w:p>
    <w:p>
      <w:pPr>
        <w:ind w:left="140" w:right="100"/>
        <w:spacing w:after="0" w:line="226" w:lineRule="auto"/>
        <w:rPr>
          <w:sz w:val="20"/>
          <w:szCs w:val="20"/>
          <w:color w:val="auto"/>
        </w:rPr>
      </w:pPr>
      <w:r>
        <w:rPr>
          <w:rFonts w:ascii="Arial" w:cs="Arial" w:eastAsia="Arial" w:hAnsi="Arial"/>
          <w:sz w:val="18"/>
          <w:szCs w:val="18"/>
          <w:color w:val="auto"/>
        </w:rPr>
        <w:t>for a loan or otherwise, and your creditors cannot garnish, attach, or levy on it prior to its payment. Any successor to the Company will assume the obligations under this Letter and agree expressly to perform the obligations under this Letter in the same manner and to the</w:t>
      </w:r>
    </w:p>
    <w:p>
      <w:pPr>
        <w:ind w:left="140"/>
        <w:spacing w:after="0" w:line="236" w:lineRule="auto"/>
        <w:rPr>
          <w:sz w:val="20"/>
          <w:szCs w:val="20"/>
          <w:color w:val="auto"/>
        </w:rPr>
      </w:pPr>
      <w:r>
        <w:rPr>
          <w:rFonts w:ascii="Arial" w:cs="Arial" w:eastAsia="Arial" w:hAnsi="Arial"/>
          <w:sz w:val="18"/>
          <w:szCs w:val="18"/>
          <w:color w:val="auto"/>
        </w:rPr>
        <w:t>same extent as the Company would be required to perform such obligations in the absence of a succession. If any provision of this Letter</w:t>
      </w:r>
    </w:p>
    <w:p>
      <w:pPr>
        <w:spacing w:after="0" w:line="1" w:lineRule="exact"/>
        <w:rPr>
          <w:sz w:val="20"/>
          <w:szCs w:val="20"/>
          <w:color w:val="auto"/>
        </w:rPr>
      </w:pPr>
    </w:p>
    <w:p>
      <w:pPr>
        <w:ind w:left="140" w:right="100"/>
        <w:spacing w:after="0" w:line="220" w:lineRule="auto"/>
        <w:rPr>
          <w:sz w:val="20"/>
          <w:szCs w:val="20"/>
          <w:color w:val="auto"/>
        </w:rPr>
      </w:pPr>
      <w:r>
        <w:rPr>
          <w:rFonts w:ascii="Arial" w:cs="Arial" w:eastAsia="Arial" w:hAnsi="Arial"/>
          <w:sz w:val="20"/>
          <w:szCs w:val="20"/>
          <w:color w:val="auto"/>
        </w:rPr>
        <w:t>becomes or is declared by a court of competent jurisdiction to be illegal, unenforceable, or void, this Letter will continue in full force and effect without such provision.</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accept this Letter, please date and sign this Letter below where indicated. By signing below, you acknowledge and agree that this Letter</w:t>
      </w:r>
    </w:p>
    <w:p>
      <w:pPr>
        <w:spacing w:after="0" w:line="12" w:lineRule="exact"/>
        <w:rPr>
          <w:sz w:val="20"/>
          <w:szCs w:val="20"/>
          <w:color w:val="auto"/>
        </w:rPr>
      </w:pPr>
    </w:p>
    <w:p>
      <w:pPr>
        <w:ind w:left="140" w:right="120"/>
        <w:spacing w:after="0" w:line="220" w:lineRule="auto"/>
        <w:rPr>
          <w:sz w:val="20"/>
          <w:szCs w:val="20"/>
          <w:color w:val="auto"/>
        </w:rPr>
      </w:pPr>
      <w:r>
        <w:rPr>
          <w:rFonts w:ascii="Arial" w:cs="Arial" w:eastAsia="Arial" w:hAnsi="Arial"/>
          <w:sz w:val="20"/>
          <w:szCs w:val="20"/>
          <w:color w:val="auto"/>
        </w:rPr>
        <w:t>is a legally enforceable contract between you and the Company. If you do not accept this Letter by October 4, 2023, this Letter will not become effective.</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8595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Brian Camire General Counsel</w:t>
      </w:r>
    </w:p>
    <w:p>
      <w:pPr>
        <w:spacing w:after="0" w:line="148" w:lineRule="exact"/>
        <w:rPr>
          <w:sz w:val="20"/>
          <w:szCs w:val="20"/>
          <w:color w:val="auto"/>
        </w:rPr>
      </w:pPr>
    </w:p>
    <w:p>
      <w:pPr>
        <w:ind w:left="140" w:right="100"/>
        <w:spacing w:after="0" w:line="236" w:lineRule="auto"/>
        <w:rPr>
          <w:sz w:val="20"/>
          <w:szCs w:val="20"/>
          <w:color w:val="auto"/>
        </w:rPr>
      </w:pPr>
      <w:r>
        <w:rPr>
          <w:rFonts w:ascii="Arial" w:cs="Arial" w:eastAsia="Arial" w:hAnsi="Arial"/>
          <w:sz w:val="20"/>
          <w:szCs w:val="20"/>
          <w:color w:val="auto"/>
        </w:rPr>
        <w:t>By signing this Letter, I acknowledge that I have read this Letter carefully and understand its terms, and that I enter into this Letter knowingly and voluntarily; and I agree to and accept all of the terms set forth in this Letter.</w:t>
      </w: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Agreed and Accepted:</w:t>
      </w:r>
    </w:p>
    <w:p>
      <w:pPr>
        <w:spacing w:after="0" w:line="215" w:lineRule="auto"/>
        <w:rPr>
          <w:sz w:val="20"/>
          <w:szCs w:val="20"/>
          <w:color w:val="auto"/>
        </w:rPr>
      </w:pPr>
      <w:r>
        <w:rPr>
          <w:rFonts w:ascii="Arial" w:cs="Arial" w:eastAsia="Arial" w:hAnsi="Arial"/>
          <w:sz w:val="22"/>
          <w:szCs w:val="22"/>
          <w:color w:val="auto"/>
        </w:rPr>
        <w:t xml:space="preserve">Dated: </w:t>
      </w:r>
      <w:r>
        <w:rPr>
          <w:rFonts w:ascii="Arial" w:cs="Arial" w:eastAsia="Arial" w:hAnsi="Arial"/>
          <w:sz w:val="29"/>
          <w:szCs w:val="29"/>
          <w:u w:val="single" w:color="auto"/>
          <w:color w:val="auto"/>
        </w:rPr>
        <w:t>Oct-02</w:t>
      </w:r>
      <w:r>
        <w:rPr>
          <w:rFonts w:ascii="Arial" w:cs="Arial" w:eastAsia="Arial" w:hAnsi="Arial"/>
          <w:sz w:val="22"/>
          <w:szCs w:val="22"/>
          <w:color w:val="auto"/>
        </w:rPr>
        <w:t xml:space="preserve"> </w:t>
      </w:r>
      <w:r>
        <w:rPr>
          <w:rFonts w:ascii="Arial" w:cs="Arial" w:eastAsia="Arial" w:hAnsi="Arial"/>
          <w:sz w:val="19"/>
          <w:szCs w:val="19"/>
          <w:color w:val="auto"/>
        </w:rPr>
        <w:t>,</w:t>
      </w:r>
      <w:r>
        <w:rPr>
          <w:rFonts w:ascii="Arial" w:cs="Arial" w:eastAsia="Arial" w:hAnsi="Arial"/>
          <w:sz w:val="22"/>
          <w:szCs w:val="22"/>
          <w:color w:val="auto"/>
        </w:rPr>
        <w:t xml:space="preserve"> 2023 </w:t>
      </w:r>
      <w:r>
        <w:rPr>
          <w:rFonts w:ascii="Arial" w:cs="Arial" w:eastAsia="Arial" w:hAnsi="Arial"/>
          <w:sz w:val="19"/>
          <w:szCs w:val="19"/>
          <w:color w:val="auto"/>
        </w:rPr>
        <w:t>Duncan</w:t>
      </w:r>
      <w:r>
        <w:rPr>
          <w:rFonts w:ascii="Arial" w:cs="Arial" w:eastAsia="Arial" w:hAnsi="Arial"/>
          <w:sz w:val="22"/>
          <w:szCs w:val="22"/>
          <w:color w:val="auto"/>
        </w:rPr>
        <w:t xml:space="preserve"> Grazier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20320</wp:posOffset>
            </wp:positionV>
            <wp:extent cx="16459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3346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9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WM Technology, Inc.</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Amended and Restated</w:t>
      </w:r>
    </w:p>
    <w:p>
      <w:pPr>
        <w:jc w:val="center"/>
        <w:ind w:right="20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Approved and Adopted by the Board of Directors: October 1, 2023 Effective October 1, 2023</w:t>
      </w:r>
    </w:p>
    <w:p>
      <w:pPr>
        <w:spacing w:after="0" w:line="212" w:lineRule="exact"/>
        <w:rPr>
          <w:sz w:val="20"/>
          <w:szCs w:val="20"/>
          <w:color w:val="auto"/>
        </w:rPr>
      </w:pPr>
    </w:p>
    <w:p>
      <w:pPr>
        <w:jc w:val="both"/>
        <w:ind w:right="100"/>
        <w:spacing w:after="0" w:line="252" w:lineRule="auto"/>
        <w:rPr>
          <w:sz w:val="20"/>
          <w:szCs w:val="20"/>
          <w:color w:val="auto"/>
        </w:rPr>
      </w:pPr>
      <w:r>
        <w:rPr>
          <w:rFonts w:ascii="Arial" w:cs="Arial" w:eastAsia="Arial" w:hAnsi="Arial"/>
          <w:sz w:val="19"/>
          <w:szCs w:val="19"/>
          <w:color w:val="auto"/>
        </w:rPr>
        <w:t>The purpose of this Non-Employee Director Compensation Policy (the “</w:t>
      </w:r>
      <w:r>
        <w:rPr>
          <w:rFonts w:ascii="Arial" w:cs="Arial" w:eastAsia="Arial" w:hAnsi="Arial"/>
          <w:sz w:val="19"/>
          <w:szCs w:val="19"/>
          <w:u w:val="single" w:color="auto"/>
          <w:color w:val="auto"/>
        </w:rPr>
        <w:t>Policy</w:t>
      </w:r>
      <w:r>
        <w:rPr>
          <w:rFonts w:ascii="Arial" w:cs="Arial" w:eastAsia="Arial" w:hAnsi="Arial"/>
          <w:sz w:val="19"/>
          <w:szCs w:val="19"/>
          <w:color w:val="auto"/>
        </w:rPr>
        <w:t>”) of WM Technology,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is to provide a total compensation package that enables the Company to attract and retain, on a long-term basis, high-caliber directors who are not employees or officers of the Company or its subsidiaries (“</w:t>
      </w:r>
      <w:r>
        <w:rPr>
          <w:rFonts w:ascii="Arial" w:cs="Arial" w:eastAsia="Arial" w:hAnsi="Arial"/>
          <w:sz w:val="19"/>
          <w:szCs w:val="19"/>
          <w:u w:val="single" w:color="auto"/>
          <w:color w:val="auto"/>
        </w:rPr>
        <w:t>Outside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Directors</w:t>
      </w:r>
      <w:r>
        <w:rPr>
          <w:rFonts w:ascii="Arial" w:cs="Arial" w:eastAsia="Arial" w:hAnsi="Arial"/>
          <w:sz w:val="19"/>
          <w:szCs w:val="19"/>
          <w:color w:val="auto"/>
        </w:rPr>
        <w:t>”). An Outside Director may decline all or any portion of his or her compensation by giving notice to the Company prior to the date cash may be paid or equity awards are to be granted, as the case may be.</w:t>
      </w:r>
    </w:p>
    <w:p>
      <w:pPr>
        <w:spacing w:after="0" w:line="189" w:lineRule="exact"/>
        <w:rPr>
          <w:sz w:val="20"/>
          <w:szCs w:val="20"/>
          <w:color w:val="auto"/>
        </w:rPr>
      </w:pPr>
    </w:p>
    <w:p>
      <w:pPr>
        <w:jc w:val="both"/>
        <w:ind w:right="100"/>
        <w:spacing w:after="0" w:line="223" w:lineRule="auto"/>
        <w:rPr>
          <w:sz w:val="20"/>
          <w:szCs w:val="20"/>
          <w:color w:val="auto"/>
        </w:rPr>
      </w:pPr>
      <w:r>
        <w:rPr>
          <w:rFonts w:ascii="Arial" w:cs="Arial" w:eastAsia="Arial" w:hAnsi="Arial"/>
          <w:sz w:val="22"/>
          <w:szCs w:val="22"/>
          <w:color w:val="auto"/>
        </w:rPr>
        <w:t>In furtherance of the purpose stated above, all Outside Directors who serve as a member of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shall receive, as compensation for services provided to the Company, (a) the cash retainers set forth below and (b) a grant of restricted stock units as set forth below.</w:t>
      </w:r>
    </w:p>
    <w:p>
      <w:pPr>
        <w:spacing w:after="0" w:line="180" w:lineRule="exact"/>
        <w:rPr>
          <w:sz w:val="20"/>
          <w:szCs w:val="20"/>
          <w:color w:val="auto"/>
        </w:rPr>
      </w:pPr>
    </w:p>
    <w:p>
      <w:pPr>
        <w:ind w:left="960" w:hanging="641"/>
        <w:spacing w:after="0"/>
        <w:tabs>
          <w:tab w:leader="none" w:pos="9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Cash Retainers</w:t>
      </w:r>
    </w:p>
    <w:p>
      <w:pPr>
        <w:spacing w:after="0" w:line="293" w:lineRule="exact"/>
        <w:rPr>
          <w:sz w:val="20"/>
          <w:szCs w:val="20"/>
          <w:color w:val="auto"/>
        </w:rPr>
      </w:pPr>
    </w:p>
    <w:p>
      <w:pPr>
        <w:jc w:val="both"/>
        <w:ind w:right="100"/>
        <w:spacing w:after="0" w:line="223" w:lineRule="auto"/>
        <w:rPr>
          <w:sz w:val="20"/>
          <w:szCs w:val="20"/>
          <w:color w:val="auto"/>
        </w:rPr>
      </w:pPr>
      <w:r>
        <w:rPr>
          <w:rFonts w:ascii="Arial" w:cs="Arial" w:eastAsia="Arial" w:hAnsi="Arial"/>
          <w:sz w:val="22"/>
          <w:szCs w:val="22"/>
          <w:color w:val="auto"/>
        </w:rPr>
        <w:t>Outside Directors are eligible to receive the annual cash retainers in the amounts and subject to the terms and conditions as set forth below. All payments shall be made in arrears on the last business day of each fiscal quarter in which the Outside Director’s service occurred. All annual cash retainers are vested upon payment.</w:t>
      </w:r>
    </w:p>
    <w:p>
      <w:pPr>
        <w:spacing w:after="0" w:line="186" w:lineRule="exact"/>
        <w:rPr>
          <w:sz w:val="20"/>
          <w:szCs w:val="20"/>
          <w:color w:val="auto"/>
        </w:rPr>
      </w:pPr>
    </w:p>
    <w:p>
      <w:pPr>
        <w:jc w:val="both"/>
        <w:ind w:right="100"/>
        <w:spacing w:after="0" w:line="218" w:lineRule="auto"/>
        <w:rPr>
          <w:sz w:val="20"/>
          <w:szCs w:val="20"/>
          <w:color w:val="auto"/>
        </w:rPr>
      </w:pPr>
      <w:r>
        <w:rPr>
          <w:rFonts w:ascii="Arial" w:cs="Arial" w:eastAsia="Arial" w:hAnsi="Arial"/>
          <w:sz w:val="22"/>
          <w:szCs w:val="22"/>
          <w:color w:val="auto"/>
        </w:rPr>
        <w:t>If an Outside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Outside Director provides the service, and regular full quarterly payments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All retainers set forth below are effective as of January 1, 2023.</w:t>
      </w:r>
    </w:p>
    <w:p>
      <w:pPr>
        <w:spacing w:after="0" w:line="220" w:lineRule="exact"/>
        <w:rPr>
          <w:sz w:val="20"/>
          <w:szCs w:val="20"/>
          <w:color w:val="auto"/>
        </w:rPr>
      </w:pPr>
    </w:p>
    <w:p>
      <w:pPr>
        <w:ind w:left="640" w:right="1000" w:hanging="319"/>
        <w:spacing w:after="0" w:line="263" w:lineRule="auto"/>
        <w:tabs>
          <w:tab w:leader="none" w:pos="637"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Annual Retainer for Board Membership</w:t>
      </w:r>
      <w:r>
        <w:rPr>
          <w:rFonts w:ascii="Arial" w:cs="Arial" w:eastAsia="Arial" w:hAnsi="Arial"/>
          <w:sz w:val="22"/>
          <w:szCs w:val="22"/>
          <w:color w:val="auto"/>
        </w:rPr>
        <w:t>: $50,000 for general availability and participation in meetings and conference calls of our Board.</w:t>
      </w:r>
    </w:p>
    <w:p>
      <w:pPr>
        <w:spacing w:after="0" w:line="134" w:lineRule="exact"/>
        <w:rPr>
          <w:rFonts w:ascii="Arial" w:cs="Arial" w:eastAsia="Arial" w:hAnsi="Arial"/>
          <w:sz w:val="22"/>
          <w:szCs w:val="22"/>
          <w:color w:val="auto"/>
        </w:rPr>
      </w:pPr>
    </w:p>
    <w:p>
      <w:pPr>
        <w:ind w:left="640" w:hanging="321"/>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Retainers for Committee Membership</w:t>
      </w:r>
      <w:r>
        <w:rPr>
          <w:rFonts w:ascii="Arial" w:cs="Arial" w:eastAsia="Arial" w:hAnsi="Arial"/>
          <w:sz w:val="22"/>
          <w:szCs w:val="22"/>
          <w:color w:val="auto"/>
        </w:rPr>
        <w:t>:</w:t>
      </w:r>
    </w:p>
    <w:p>
      <w:pPr>
        <w:spacing w:after="0" w:line="28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Audit Committee Chairperson: $20,000</w:t>
      </w:r>
    </w:p>
    <w:p>
      <w:pPr>
        <w:spacing w:after="0" w:line="20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Audit Committee member (other than Chairperson): $10,000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20"/>
          </w:cols>
          <w:pgMar w:left="540" w:top="603"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Compensation Committee Chairperson: $15,000</w:t>
      </w:r>
    </w:p>
    <w:p>
      <w:pPr>
        <w:spacing w:after="0" w:line="32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Compensation Committee member (other than Chairperson): $7,500 Nominating and Corporate Governance</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Committee Chairperson: $10,000</w:t>
      </w:r>
    </w:p>
    <w:p>
      <w:pPr>
        <w:spacing w:after="0" w:line="206" w:lineRule="exact"/>
        <w:rPr>
          <w:sz w:val="20"/>
          <w:szCs w:val="20"/>
          <w:color w:val="auto"/>
        </w:rPr>
      </w:pPr>
    </w:p>
    <w:p>
      <w:pPr>
        <w:ind w:left="1140"/>
        <w:spacing w:after="0"/>
        <w:tabs>
          <w:tab w:leader="none" w:pos="2360" w:val="left"/>
          <w:tab w:leader="none" w:pos="2880" w:val="left"/>
          <w:tab w:leader="none" w:pos="3960" w:val="left"/>
          <w:tab w:leader="none" w:pos="5220" w:val="left"/>
          <w:tab w:leader="none" w:pos="6400" w:val="left"/>
          <w:tab w:leader="none" w:pos="7320" w:val="left"/>
          <w:tab w:leader="none" w:pos="8060" w:val="left"/>
        </w:tabs>
        <w:rPr>
          <w:sz w:val="20"/>
          <w:szCs w:val="20"/>
          <w:color w:val="auto"/>
        </w:rPr>
      </w:pPr>
      <w:r>
        <w:rPr>
          <w:rFonts w:ascii="Arial" w:cs="Arial" w:eastAsia="Arial" w:hAnsi="Arial"/>
          <w:sz w:val="22"/>
          <w:szCs w:val="22"/>
          <w:color w:val="auto"/>
        </w:rPr>
        <w:t>Nominating</w:t>
        <w:tab/>
        <w:t>and</w:t>
        <w:tab/>
        <w:t>Corporate</w:t>
        <w:tab/>
        <w:t>Governance</w:t>
        <w:tab/>
        <w:t>Committee</w:t>
        <w:tab/>
        <w:t>member</w:t>
        <w:tab/>
        <w:t>(other</w:t>
      </w:r>
      <w:r>
        <w:rPr>
          <w:sz w:val="20"/>
          <w:szCs w:val="20"/>
          <w:color w:val="auto"/>
        </w:rPr>
        <w:tab/>
      </w:r>
      <w:r>
        <w:rPr>
          <w:rFonts w:ascii="Arial" w:cs="Arial" w:eastAsia="Arial" w:hAnsi="Arial"/>
          <w:sz w:val="19"/>
          <w:szCs w:val="19"/>
          <w:color w:val="auto"/>
        </w:rPr>
        <w:t>than Chairperson): $5,000</w:t>
      </w:r>
    </w:p>
    <w:p>
      <w:pPr>
        <w:spacing w:after="0" w:line="11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Technology Committee Chairperson: $15,000</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Technology Committee member (other than Chairperson): $7,500</w:t>
      </w:r>
    </w:p>
    <w:p>
      <w:pPr>
        <w:spacing w:after="0" w:line="220" w:lineRule="exact"/>
        <w:rPr>
          <w:sz w:val="20"/>
          <w:szCs w:val="20"/>
          <w:color w:val="auto"/>
        </w:rPr>
      </w:pPr>
    </w:p>
    <w:p>
      <w:pPr>
        <w:ind w:left="740" w:hanging="319"/>
        <w:spacing w:after="0"/>
        <w:tabs>
          <w:tab w:leader="none" w:pos="74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 for Chairperson of our Board of Directors (if an Outside Director)</w:t>
      </w:r>
      <w:r>
        <w:rPr>
          <w:rFonts w:ascii="Arial" w:cs="Arial" w:eastAsia="Arial" w:hAnsi="Arial"/>
          <w:sz w:val="22"/>
          <w:szCs w:val="22"/>
          <w:color w:val="auto"/>
        </w:rPr>
        <w:t>: $60,000</w:t>
      </w:r>
    </w:p>
    <w:p>
      <w:pPr>
        <w:spacing w:after="0" w:line="341" w:lineRule="exact"/>
        <w:rPr>
          <w:rFonts w:ascii="Arial" w:cs="Arial" w:eastAsia="Arial" w:hAnsi="Arial"/>
          <w:sz w:val="22"/>
          <w:szCs w:val="22"/>
          <w:color w:val="auto"/>
        </w:rPr>
      </w:pPr>
    </w:p>
    <w:p>
      <w:pPr>
        <w:ind w:left="740" w:right="100" w:hanging="319"/>
        <w:spacing w:after="0" w:line="250" w:lineRule="auto"/>
        <w:tabs>
          <w:tab w:leader="none" w:pos="735"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 for Lead Independent Director</w:t>
      </w:r>
      <w:r>
        <w:rPr>
          <w:rFonts w:ascii="Arial" w:cs="Arial" w:eastAsia="Arial" w:hAnsi="Arial"/>
          <w:sz w:val="22"/>
          <w:szCs w:val="22"/>
          <w:color w:val="auto"/>
        </w:rPr>
        <w:t>: $25,000 for serving as lead independent director of our Board of Directors.</w:t>
      </w:r>
    </w:p>
    <w:p>
      <w:pPr>
        <w:spacing w:after="0" w:line="201" w:lineRule="exact"/>
        <w:rPr>
          <w:rFonts w:ascii="Arial" w:cs="Arial" w:eastAsia="Arial" w:hAnsi="Arial"/>
          <w:sz w:val="22"/>
          <w:szCs w:val="22"/>
          <w:color w:val="auto"/>
        </w:rPr>
      </w:pPr>
    </w:p>
    <w:p>
      <w:pPr>
        <w:jc w:val="both"/>
        <w:ind w:left="740" w:right="100" w:hanging="319"/>
        <w:spacing w:after="0" w:line="239" w:lineRule="auto"/>
        <w:tabs>
          <w:tab w:leader="none" w:pos="737"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Additional Meeting Fees for each Director</w:t>
      </w:r>
      <w:r>
        <w:rPr>
          <w:rFonts w:ascii="Arial" w:cs="Arial" w:eastAsia="Arial" w:hAnsi="Arial"/>
          <w:sz w:val="22"/>
          <w:szCs w:val="22"/>
          <w:color w:val="auto"/>
        </w:rPr>
        <w:t>: 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210" w:lineRule="exact"/>
        <w:rPr>
          <w:rFonts w:ascii="Arial" w:cs="Arial" w:eastAsia="Arial" w:hAnsi="Arial"/>
          <w:sz w:val="22"/>
          <w:szCs w:val="22"/>
          <w:color w:val="auto"/>
        </w:rPr>
      </w:pPr>
    </w:p>
    <w:p>
      <w:pPr>
        <w:ind w:left="1060" w:hanging="641"/>
        <w:spacing w:after="0"/>
        <w:tabs>
          <w:tab w:leader="none" w:pos="10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Equity Retainers</w:t>
      </w:r>
    </w:p>
    <w:p>
      <w:pPr>
        <w:spacing w:after="0" w:line="306" w:lineRule="exact"/>
        <w:rPr>
          <w:rFonts w:ascii="Arial" w:cs="Arial" w:eastAsia="Arial" w:hAnsi="Arial"/>
          <w:sz w:val="22"/>
          <w:szCs w:val="22"/>
          <w:b w:val="1"/>
          <w:bCs w:val="1"/>
          <w:color w:val="auto"/>
        </w:rPr>
      </w:pPr>
    </w:p>
    <w:p>
      <w:pPr>
        <w:jc w:val="both"/>
        <w:ind w:right="100" w:firstLine="726"/>
        <w:spacing w:after="0" w:line="277" w:lineRule="auto"/>
        <w:tabs>
          <w:tab w:leader="none" w:pos="1185"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New Director Grants</w:t>
      </w:r>
      <w:r>
        <w:rPr>
          <w:rFonts w:ascii="Arial" w:cs="Arial" w:eastAsia="Arial" w:hAnsi="Arial"/>
          <w:sz w:val="19"/>
          <w:szCs w:val="19"/>
          <w:color w:val="auto"/>
        </w:rPr>
        <w:t>. Without any further action of the Board or Compensation Committee of the Board, each Outside Director who is elected or appointed for the first time to be an Outside Director will automatically, upon the date of his or her initial election or appointment to be an Outside Director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receive an initial, one-time grant of restricted stock units (the “</w:t>
      </w:r>
      <w:r>
        <w:rPr>
          <w:rFonts w:ascii="Arial" w:cs="Arial" w:eastAsia="Arial" w:hAnsi="Arial"/>
          <w:sz w:val="19"/>
          <w:szCs w:val="19"/>
          <w:u w:val="single" w:color="auto"/>
          <w:color w:val="auto"/>
        </w:rPr>
        <w:t>New Director Grant</w:t>
      </w:r>
      <w:r>
        <w:rPr>
          <w:rFonts w:ascii="Arial" w:cs="Arial" w:eastAsia="Arial" w:hAnsi="Arial"/>
          <w:sz w:val="19"/>
          <w:szCs w:val="19"/>
          <w:color w:val="auto"/>
        </w:rPr>
        <w:t>”) with an aggregate value of approximately (i) $200,000 multiplied by the ratio of (A) the number of calendar months between the Commencement Date and the first anniversary of the date of the Company’s most recent annual meeting of the Company’s stockholders, rounded up to the nearest whole number (which in no circumstance will be greater than 12), and (B) 12, plus (ii) $200,000 multiplied by the number of whole calendar years remaining on the Outside Director’s term. The portion of the grant described in clause (i) of the prior sentence will vest on the date of the next annual meeting of the Company’s Stockholders (the “</w:t>
      </w:r>
      <w:r>
        <w:rPr>
          <w:rFonts w:ascii="Arial" w:cs="Arial" w:eastAsia="Arial" w:hAnsi="Arial"/>
          <w:sz w:val="19"/>
          <w:szCs w:val="19"/>
          <w:u w:val="single" w:color="auto"/>
          <w:color w:val="auto"/>
        </w:rPr>
        <w:t>First Meeting Date</w:t>
      </w:r>
      <w:r>
        <w:rPr>
          <w:rFonts w:ascii="Arial" w:cs="Arial" w:eastAsia="Arial" w:hAnsi="Arial"/>
          <w:sz w:val="19"/>
          <w:szCs w:val="19"/>
          <w:color w:val="auto"/>
        </w:rPr>
        <w:t>”) and the portion of the grant described in clause (ii) of the prior sentence, if any, will vest in equal annual installments on the date of each annual meeting of the Company’s stockholders (an “</w:t>
      </w:r>
      <w:r>
        <w:rPr>
          <w:rFonts w:ascii="Arial" w:cs="Arial" w:eastAsia="Arial" w:hAnsi="Arial"/>
          <w:sz w:val="19"/>
          <w:szCs w:val="19"/>
          <w:u w:val="single" w:color="auto"/>
          <w:color w:val="auto"/>
        </w:rPr>
        <w:t>Annual Meeting Date</w:t>
      </w:r>
      <w:r>
        <w:rPr>
          <w:rFonts w:ascii="Arial" w:cs="Arial" w:eastAsia="Arial" w:hAnsi="Arial"/>
          <w:sz w:val="19"/>
          <w:szCs w:val="19"/>
          <w:color w:val="auto"/>
        </w:rPr>
        <w:t>”) following the First Meeting Date that is part of the Outside Directors initial term. The New Director Grant may only be granted once to any Outside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20"/>
          </w:cols>
          <w:pgMar w:left="440" w:top="60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100" w:firstLine="726"/>
        <w:spacing w:after="0"/>
        <w:tabs>
          <w:tab w:leader="none" w:pos="1184"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Initial Term Grants</w:t>
      </w:r>
      <w:r>
        <w:rPr>
          <w:rFonts w:ascii="Arial" w:cs="Arial" w:eastAsia="Arial" w:hAnsi="Arial"/>
          <w:sz w:val="22"/>
          <w:szCs w:val="22"/>
          <w:color w:val="auto"/>
        </w:rPr>
        <w:t>. On the date that this Policy is adopted and approved by the Board, each Outside Director who is then in office will automatically receive a one-time grant of restricted stock units (each, an “</w:t>
      </w:r>
      <w:r>
        <w:rPr>
          <w:rFonts w:ascii="Arial" w:cs="Arial" w:eastAsia="Arial" w:hAnsi="Arial"/>
          <w:sz w:val="22"/>
          <w:szCs w:val="22"/>
          <w:u w:val="single" w:color="auto"/>
          <w:color w:val="auto"/>
        </w:rPr>
        <w:t>Initial Term Grant</w:t>
      </w:r>
      <w:r>
        <w:rPr>
          <w:rFonts w:ascii="Arial" w:cs="Arial" w:eastAsia="Arial" w:hAnsi="Arial"/>
          <w:sz w:val="22"/>
          <w:szCs w:val="22"/>
          <w:color w:val="auto"/>
        </w:rPr>
        <w:t>”) with an aggregate value of approximately</w:t>
      </w:r>
    </w:p>
    <w:p>
      <w:pPr>
        <w:spacing w:after="0" w:line="1" w:lineRule="exact"/>
        <w:rPr>
          <w:rFonts w:ascii="Arial" w:cs="Arial" w:eastAsia="Arial" w:hAnsi="Arial"/>
          <w:sz w:val="22"/>
          <w:szCs w:val="22"/>
          <w:color w:val="auto"/>
        </w:rPr>
      </w:pPr>
    </w:p>
    <w:p>
      <w:pPr>
        <w:jc w:val="both"/>
        <w:ind w:right="100"/>
        <w:spacing w:after="0" w:line="236" w:lineRule="auto"/>
        <w:rPr>
          <w:rFonts w:ascii="Arial" w:cs="Arial" w:eastAsia="Arial" w:hAnsi="Arial"/>
          <w:sz w:val="22"/>
          <w:szCs w:val="22"/>
          <w:color w:val="auto"/>
        </w:rPr>
      </w:pPr>
      <w:r>
        <w:rPr>
          <w:rFonts w:ascii="Arial" w:cs="Arial" w:eastAsia="Arial" w:hAnsi="Arial"/>
          <w:sz w:val="22"/>
          <w:szCs w:val="22"/>
          <w:color w:val="auto"/>
        </w:rPr>
        <w:t>$200,000 multiplied by the number of whole calendar years remaining on the Outside Director’s term. Each Initial Term Grant will vest in equal annual installments on the date of each remaining Annual Meeting Date following the First Meeting Date subsequent to the effectiveness of the Initial Term Grant that is part of the Outside Directors current term. The Initial Term Grant may only be granted once to any Outside Director.</w:t>
      </w:r>
    </w:p>
    <w:p>
      <w:pPr>
        <w:spacing w:after="0" w:line="229" w:lineRule="exact"/>
        <w:rPr>
          <w:rFonts w:ascii="Arial" w:cs="Arial" w:eastAsia="Arial" w:hAnsi="Arial"/>
          <w:sz w:val="22"/>
          <w:szCs w:val="22"/>
          <w:color w:val="auto"/>
        </w:rPr>
      </w:pPr>
    </w:p>
    <w:p>
      <w:pPr>
        <w:jc w:val="both"/>
        <w:ind w:right="100" w:firstLine="726"/>
        <w:spacing w:after="0" w:line="239" w:lineRule="auto"/>
        <w:tabs>
          <w:tab w:leader="none" w:pos="1185"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Renewal Term Grants</w:t>
      </w:r>
      <w:r>
        <w:rPr>
          <w:rFonts w:ascii="Arial" w:cs="Arial" w:eastAsia="Arial" w:hAnsi="Arial"/>
          <w:sz w:val="22"/>
          <w:szCs w:val="22"/>
          <w:color w:val="auto"/>
        </w:rPr>
        <w:t>. Without any further action of the Board or Compensation Committee of the Board, at the close of business on each Annual Meeting Date, each Outside Director who is re-elected by the Company’s stockholders to continue as a member of the Board on such Annual Meeting Date will receive a grant of restricted stock units on the Annual Meeting Date (the “</w:t>
      </w:r>
      <w:r>
        <w:rPr>
          <w:rFonts w:ascii="Arial" w:cs="Arial" w:eastAsia="Arial" w:hAnsi="Arial"/>
          <w:sz w:val="22"/>
          <w:szCs w:val="22"/>
          <w:u w:val="single" w:color="auto"/>
          <w:color w:val="auto"/>
        </w:rPr>
        <w:t>Renewal Term Grant</w:t>
      </w:r>
      <w:r>
        <w:rPr>
          <w:rFonts w:ascii="Arial" w:cs="Arial" w:eastAsia="Arial" w:hAnsi="Arial"/>
          <w:sz w:val="22"/>
          <w:szCs w:val="22"/>
          <w:color w:val="auto"/>
        </w:rPr>
        <w:t>”) with an aggregate value of approximately $600,000, that vests in three equal annual installments over the next three Annual Meeting Dates.</w:t>
      </w:r>
    </w:p>
    <w:p>
      <w:pPr>
        <w:spacing w:after="0" w:line="205" w:lineRule="exact"/>
        <w:rPr>
          <w:rFonts w:ascii="Arial" w:cs="Arial" w:eastAsia="Arial" w:hAnsi="Arial"/>
          <w:sz w:val="22"/>
          <w:szCs w:val="22"/>
          <w:color w:val="auto"/>
        </w:rPr>
      </w:pPr>
    </w:p>
    <w:p>
      <w:pPr>
        <w:ind w:left="1060" w:hanging="641"/>
        <w:spacing w:after="0"/>
        <w:tabs>
          <w:tab w:leader="none" w:pos="10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p>
    <w:p>
      <w:pPr>
        <w:spacing w:after="0" w:line="307" w:lineRule="exact"/>
        <w:rPr>
          <w:sz w:val="20"/>
          <w:szCs w:val="20"/>
          <w:color w:val="auto"/>
        </w:rPr>
      </w:pPr>
    </w:p>
    <w:p>
      <w:pPr>
        <w:ind w:left="100" w:right="360"/>
        <w:spacing w:after="0" w:line="263" w:lineRule="auto"/>
        <w:rPr>
          <w:sz w:val="20"/>
          <w:szCs w:val="20"/>
          <w:color w:val="auto"/>
        </w:rPr>
      </w:pPr>
      <w:r>
        <w:rPr>
          <w:rFonts w:ascii="Arial" w:cs="Arial" w:eastAsia="Arial" w:hAnsi="Arial"/>
          <w:sz w:val="22"/>
          <w:szCs w:val="22"/>
          <w:color w:val="auto"/>
        </w:rPr>
        <w:t>All grants of equity retainer awards to Outside Directors pursuant to this Policy will be automatic and nondiscretionary and will be made in accordance with the following provisions:</w:t>
      </w:r>
    </w:p>
    <w:p>
      <w:pPr>
        <w:spacing w:after="0" w:line="148" w:lineRule="exact"/>
        <w:rPr>
          <w:sz w:val="20"/>
          <w:szCs w:val="20"/>
          <w:color w:val="auto"/>
        </w:rPr>
      </w:pPr>
    </w:p>
    <w:p>
      <w:pPr>
        <w:ind w:left="100" w:right="100" w:firstLine="543"/>
        <w:spacing w:after="0" w:line="232" w:lineRule="auto"/>
        <w:tabs>
          <w:tab w:leader="none" w:pos="1183"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grants of equity retainer awards to Outside Directors will be made pursuant to the Company’s 2021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45" w:lineRule="exact"/>
        <w:rPr>
          <w:rFonts w:ascii="Arial" w:cs="Arial" w:eastAsia="Arial" w:hAnsi="Arial"/>
          <w:sz w:val="22"/>
          <w:szCs w:val="22"/>
          <w:color w:val="auto"/>
        </w:rPr>
      </w:pPr>
    </w:p>
    <w:p>
      <w:pPr>
        <w:jc w:val="both"/>
        <w:ind w:left="100" w:right="100" w:firstLine="543"/>
        <w:spacing w:after="0" w:line="214" w:lineRule="auto"/>
        <w:tabs>
          <w:tab w:leader="none" w:pos="1181"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Value</w:t>
      </w:r>
      <w:r>
        <w:rPr>
          <w:rFonts w:ascii="Arial" w:cs="Arial" w:eastAsia="Arial" w:hAnsi="Arial"/>
          <w:sz w:val="22"/>
          <w:szCs w:val="22"/>
          <w:color w:val="auto"/>
        </w:rPr>
        <w:t>. For purposes of this Policy, the number of restricted stock units granted to an Outside Director hereunder shall be calculated by dividing the target value of such award by the volume weighted average price of the Common Stock (as defined in the Plan) during the 60 trading day period ending on the day prior to the effective date of the grant (or, if that end date isn’t a trading day, the trading day prior). If the value of each grant of restricted stock units is denominated in dollars, the number of shares of restricted stock units that are granted pursuant to each award shall be rounded down to the nearest whole share.</w:t>
      </w:r>
    </w:p>
    <w:p>
      <w:pPr>
        <w:spacing w:after="0" w:line="212" w:lineRule="exact"/>
        <w:rPr>
          <w:rFonts w:ascii="Arial" w:cs="Arial" w:eastAsia="Arial" w:hAnsi="Arial"/>
          <w:sz w:val="22"/>
          <w:szCs w:val="22"/>
          <w:color w:val="auto"/>
        </w:rPr>
      </w:pPr>
    </w:p>
    <w:p>
      <w:pPr>
        <w:jc w:val="both"/>
        <w:ind w:left="100" w:right="100" w:firstLine="543"/>
        <w:spacing w:after="0" w:line="241" w:lineRule="auto"/>
        <w:tabs>
          <w:tab w:leader="none" w:pos="1183"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Revisions</w:t>
      </w:r>
      <w:r>
        <w:rPr>
          <w:rFonts w:ascii="Arial" w:cs="Arial" w:eastAsia="Arial" w:hAnsi="Arial"/>
          <w:sz w:val="22"/>
          <w:szCs w:val="22"/>
          <w:color w:val="auto"/>
        </w:rPr>
        <w:t>. The Board and/or the Compensation Committee in its discretion may change and otherwise revise the terms of awards to be granted under this Policy, including, without limitation, the number of shares subject thereto, for awards of the same or different type granted on or after the date the Board and/or the Compensation Committee determines to make any such change or revision.</w:t>
      </w:r>
    </w:p>
    <w:p>
      <w:pPr>
        <w:spacing w:after="0" w:line="225" w:lineRule="exact"/>
        <w:rPr>
          <w:rFonts w:ascii="Arial" w:cs="Arial" w:eastAsia="Arial" w:hAnsi="Arial"/>
          <w:sz w:val="22"/>
          <w:szCs w:val="22"/>
          <w:color w:val="auto"/>
        </w:rPr>
      </w:pPr>
    </w:p>
    <w:p>
      <w:pPr>
        <w:jc w:val="both"/>
        <w:ind w:left="100" w:right="100" w:firstLine="543"/>
        <w:spacing w:after="0" w:line="241" w:lineRule="auto"/>
        <w:tabs>
          <w:tab w:leader="none" w:pos="1181"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Vesting; Change in Control Acceleration</w:t>
      </w:r>
      <w:r>
        <w:rPr>
          <w:rFonts w:ascii="Arial" w:cs="Arial" w:eastAsia="Arial" w:hAnsi="Arial"/>
          <w:sz w:val="22"/>
          <w:szCs w:val="22"/>
          <w:color w:val="auto"/>
        </w:rPr>
        <w:t>. All vesting is subject to the Outside Director’s Continuous Service (as defined in the Plan) through the applicable vesting date. Notwithstanding the foregoing vesting schedule, for each Outside Director who remains in Continuous Service with the Company until immediately prior to the closing of a Change in Control (as defined in the Plan) (the “</w:t>
      </w:r>
      <w:r>
        <w:rPr>
          <w:rFonts w:ascii="Arial" w:cs="Arial" w:eastAsia="Arial" w:hAnsi="Arial"/>
          <w:sz w:val="22"/>
          <w:szCs w:val="22"/>
          <w:u w:val="single" w:color="auto"/>
          <w:color w:val="auto"/>
        </w:rPr>
        <w:t>Closing</w:t>
      </w:r>
      <w:r>
        <w:rPr>
          <w:rFonts w:ascii="Arial" w:cs="Arial" w:eastAsia="Arial" w:hAnsi="Arial"/>
          <w:sz w:val="22"/>
          <w:szCs w:val="22"/>
          <w:color w:val="auto"/>
        </w:rPr>
        <w:t>”):</w:t>
      </w:r>
    </w:p>
    <w:p>
      <w:pPr>
        <w:spacing w:after="0" w:line="306" w:lineRule="exact"/>
        <w:rPr>
          <w:rFonts w:ascii="Arial" w:cs="Arial" w:eastAsia="Arial" w:hAnsi="Arial"/>
          <w:sz w:val="22"/>
          <w:szCs w:val="22"/>
          <w:color w:val="auto"/>
        </w:rPr>
      </w:pPr>
    </w:p>
    <w:p>
      <w:pPr>
        <w:jc w:val="both"/>
        <w:ind w:left="1620" w:right="680" w:hanging="457"/>
        <w:spacing w:after="0" w:line="247" w:lineRule="auto"/>
        <w:tabs>
          <w:tab w:leader="none" w:pos="1618"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portion of each New Director Grant held by such Outside Director that, if the Change in Control had not occurred, would have vested at each of the next two Annual Meeting Dates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20"/>
          </w:cols>
          <w:pgMar w:left="440" w:top="60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will, immediately prior to the Closing, accelerate and become vested;</w:t>
      </w:r>
    </w:p>
    <w:p>
      <w:pPr>
        <w:spacing w:after="0" w:line="8" w:lineRule="exact"/>
        <w:rPr>
          <w:sz w:val="20"/>
          <w:szCs w:val="20"/>
          <w:color w:val="auto"/>
        </w:rPr>
      </w:pPr>
    </w:p>
    <w:p>
      <w:pPr>
        <w:jc w:val="both"/>
        <w:ind w:left="1520" w:right="680" w:hanging="518"/>
        <w:spacing w:after="0" w:line="234" w:lineRule="auto"/>
        <w:tabs>
          <w:tab w:leader="none" w:pos="1518"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portion of each Initial Term Grant held by such Outside Director that, if the Change in Control had not occurred, would have vested at the next Annual Meeting Date following the Closing date will, immediately prior to the Closing, accelerate and become vested; and</w:t>
      </w:r>
    </w:p>
    <w:p>
      <w:pPr>
        <w:spacing w:after="0" w:line="2" w:lineRule="exact"/>
        <w:rPr>
          <w:rFonts w:ascii="Arial" w:cs="Arial" w:eastAsia="Arial" w:hAnsi="Arial"/>
          <w:sz w:val="22"/>
          <w:szCs w:val="22"/>
          <w:color w:val="auto"/>
        </w:rPr>
      </w:pPr>
    </w:p>
    <w:p>
      <w:pPr>
        <w:jc w:val="both"/>
        <w:ind w:left="1520" w:right="680" w:hanging="577"/>
        <w:spacing w:after="0" w:line="239" w:lineRule="auto"/>
        <w:tabs>
          <w:tab w:leader="none" w:pos="1518"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portion of each Renewal Term Grant held by such Outside Director that, if the Change in Control had not occurred, would have vested at the next Annual Meeting Date following the Closing date will, immediately prior to the Closing, accelerate and become vested.</w:t>
      </w:r>
    </w:p>
    <w:p>
      <w:pPr>
        <w:spacing w:after="0" w:line="225" w:lineRule="exact"/>
        <w:rPr>
          <w:rFonts w:ascii="Arial" w:cs="Arial" w:eastAsia="Arial" w:hAnsi="Arial"/>
          <w:sz w:val="22"/>
          <w:szCs w:val="22"/>
          <w:color w:val="auto"/>
        </w:rPr>
      </w:pPr>
    </w:p>
    <w:p>
      <w:pPr>
        <w:jc w:val="both"/>
        <w:ind w:right="100" w:firstLine="543"/>
        <w:spacing w:after="0"/>
        <w:tabs>
          <w:tab w:leader="none" w:pos="1083"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Remaining Terms</w:t>
      </w:r>
      <w:r>
        <w:rPr>
          <w:rFonts w:ascii="Arial" w:cs="Arial" w:eastAsia="Arial" w:hAnsi="Arial"/>
          <w:sz w:val="22"/>
          <w:szCs w:val="22"/>
          <w:color w:val="auto"/>
        </w:rPr>
        <w:t>. The remaining terms and conditions of each restricted stock unit, including transferability, will be as set forth in the Company’s standard restricted stock unit award agreement, in the applicable form adopted from time to time by the Board or the Compensation Committee of the Board.</w:t>
      </w:r>
    </w:p>
    <w:p>
      <w:pPr>
        <w:spacing w:after="0" w:line="207" w:lineRule="exact"/>
        <w:rPr>
          <w:rFonts w:ascii="Arial" w:cs="Arial" w:eastAsia="Arial" w:hAnsi="Arial"/>
          <w:sz w:val="22"/>
          <w:szCs w:val="22"/>
          <w:color w:val="auto"/>
        </w:rPr>
      </w:pPr>
    </w:p>
    <w:p>
      <w:pPr>
        <w:ind w:left="960" w:hanging="641"/>
        <w:spacing w:after="0"/>
        <w:tabs>
          <w:tab w:leader="none" w:pos="9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p>
    <w:p>
      <w:pPr>
        <w:spacing w:after="0" w:line="320" w:lineRule="exact"/>
        <w:rPr>
          <w:sz w:val="20"/>
          <w:szCs w:val="20"/>
          <w:color w:val="auto"/>
        </w:rPr>
      </w:pPr>
    </w:p>
    <w:p>
      <w:pPr>
        <w:jc w:val="both"/>
        <w:ind w:right="160"/>
        <w:spacing w:after="0" w:line="238" w:lineRule="auto"/>
        <w:rPr>
          <w:sz w:val="20"/>
          <w:szCs w:val="20"/>
          <w:color w:val="auto"/>
        </w:rPr>
      </w:pPr>
      <w:r>
        <w:rPr>
          <w:rFonts w:ascii="Arial" w:cs="Arial" w:eastAsia="Arial" w:hAnsi="Arial"/>
          <w:sz w:val="22"/>
          <w:szCs w:val="22"/>
          <w:color w:val="auto"/>
        </w:rPr>
        <w:t>The Company will reimburse all reasonable out-of-pocket travel expenses incurred by Outside Directors in attending meetings of the Board or any Committee thereof; provided, that the Outside Director timely submits to the Company appropriate documentation substantiating such expenses in accordance with the Company’s travel and expense policy, as in effect from time to time.</w:t>
      </w:r>
    </w:p>
    <w:p>
      <w:pPr>
        <w:spacing w:after="0" w:line="192" w:lineRule="exact"/>
        <w:rPr>
          <w:sz w:val="20"/>
          <w:szCs w:val="20"/>
          <w:color w:val="auto"/>
        </w:rPr>
      </w:pPr>
    </w:p>
    <w:p>
      <w:pPr>
        <w:ind w:left="960" w:hanging="641"/>
        <w:spacing w:after="0"/>
        <w:tabs>
          <w:tab w:leader="none" w:pos="9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Maximum Annual Compensation</w:t>
      </w:r>
    </w:p>
    <w:p>
      <w:pPr>
        <w:spacing w:after="0" w:line="293" w:lineRule="exact"/>
        <w:rPr>
          <w:sz w:val="20"/>
          <w:szCs w:val="20"/>
          <w:color w:val="auto"/>
        </w:rPr>
      </w:pPr>
    </w:p>
    <w:p>
      <w:pPr>
        <w:jc w:val="both"/>
        <w:ind w:right="100"/>
        <w:spacing w:after="0" w:line="224" w:lineRule="auto"/>
        <w:rPr>
          <w:sz w:val="20"/>
          <w:szCs w:val="20"/>
          <w:color w:val="auto"/>
        </w:rPr>
      </w:pPr>
      <w:r>
        <w:rPr>
          <w:rFonts w:ascii="Arial" w:cs="Arial" w:eastAsia="Arial" w:hAnsi="Arial"/>
          <w:sz w:val="21"/>
          <w:szCs w:val="21"/>
          <w:color w:val="auto"/>
        </w:rPr>
        <w:t>The aggregate value of all compensation granted or paid, as applicable, to any individual for service as an Outside Director with respect to any calendar year, including equity awards granted and cash fees paid by the Company to such Outside Director, will not exceed (i) $750,000 in total value or (ii) in the event such Outside Director is first appointed or elected to the Board during any calendar year, $1,000,000 in total value, in each case calculating the value of any equity awards based on the grant date fair value of such equity awards for financial reporting purposes (or such other limit as may be set forth in Section 3(d) of the Plan or any similar provision of a successor plan).</w:t>
      </w:r>
    </w:p>
    <w:p>
      <w:pPr>
        <w:spacing w:after="0" w:line="181" w:lineRule="exact"/>
        <w:rPr>
          <w:sz w:val="20"/>
          <w:szCs w:val="20"/>
          <w:color w:val="auto"/>
        </w:rPr>
      </w:pPr>
    </w:p>
    <w:p>
      <w:pPr>
        <w:ind w:left="960" w:hanging="641"/>
        <w:spacing w:after="0"/>
        <w:tabs>
          <w:tab w:leader="none" w:pos="9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93" w:lineRule="exact"/>
        <w:rPr>
          <w:sz w:val="20"/>
          <w:szCs w:val="20"/>
          <w:color w:val="auto"/>
        </w:rPr>
      </w:pPr>
    </w:p>
    <w:p>
      <w:pPr>
        <w:jc w:val="both"/>
        <w:ind w:right="100"/>
        <w:spacing w:after="0" w:line="218" w:lineRule="auto"/>
        <w:rPr>
          <w:sz w:val="20"/>
          <w:szCs w:val="20"/>
          <w:color w:val="auto"/>
        </w:rPr>
      </w:pPr>
      <w:r>
        <w:rPr>
          <w:rFonts w:ascii="Arial" w:cs="Arial" w:eastAsia="Arial" w:hAnsi="Arial"/>
          <w:sz w:val="22"/>
          <w:szCs w:val="22"/>
          <w:color w:val="auto"/>
        </w:rPr>
        <w:t>The Board, or Compensation Committee of the Board, will administer the Policy. The Board or the Compensation Committee of the Board will have the sole discretion and authority to administer, interpret, amend and terminate the Policy, and the decisions of the Board or the Compensation Committee of the Board will be final and binding on all persons having an interest in the Policy.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4</w:t>
      </w:r>
    </w:p>
    <w:sectPr>
      <w:pgSz w:w="11900" w:h="16838" w:orient="portrait"/>
      <w:cols w:equalWidth="0" w:num="1">
        <w:col w:w="11020"/>
      </w:cols>
      <w:pgMar w:left="54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4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7">
    <w:nsid w:val="1190CDE7"/>
    <w:multiLevelType w:val="hybridMultilevel"/>
    <w:lvl w:ilvl="0">
      <w:lvlJc w:val="left"/>
      <w:lvlText w:val="%1"/>
      <w:numFmt w:val="decimal"/>
      <w:start w:val="1"/>
    </w:lvl>
    <w:lvl w:ilvl="1">
      <w:lvlJc w:val="left"/>
      <w:lvlText w:val="(%2)"/>
      <w:numFmt w:val="lowerLetter"/>
      <w:start w:val="2"/>
    </w:lvl>
  </w:abstractNum>
  <w:abstractNum w:abstractNumId="8">
    <w:nsid w:val="66EF438D"/>
    <w:multiLevelType w:val="hybridMultilevel"/>
    <w:lvl w:ilvl="0">
      <w:lvlJc w:val="left"/>
      <w:lvlText w:val="%1."/>
      <w:numFmt w:val="decimal"/>
      <w:start w:val="3"/>
    </w:lvl>
    <w:lvl w:ilvl="1">
      <w:lvlJc w:val="left"/>
      <w:lvlText w:val="%2"/>
      <w:numFmt w:val="lowerLetter"/>
      <w:start w:val="1"/>
    </w:lvl>
  </w:abstractNum>
  <w:abstractNum w:abstractNumId="9">
    <w:nsid w:val="140E0F76"/>
    <w:multiLevelType w:val="hybridMultilevel"/>
    <w:lvl w:ilvl="0">
      <w:lvlJc w:val="left"/>
      <w:lvlText w:val="(%1)"/>
      <w:numFmt w:val="lowerLetter"/>
      <w:start w:val="1"/>
    </w:lvl>
    <w:lvl w:ilvl="1">
      <w:lvlJc w:val="left"/>
      <w:lvlText w:val="%2."/>
      <w:numFmt w:val="lowerRoman"/>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
    <w:nsid w:val="109CF92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
    <w:nsid w:val="DED72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2023-10-06T15:52:28Z</dcterms:created>
  <dcterms:modified xsi:type="dcterms:W3CDTF">2023-10-06T15:52:28Z</dcterms:modified>
</cp:coreProperties>
</file>