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1717040</wp:posOffset>
            </wp:positionH>
            <wp:positionV relativeFrom="page">
              <wp:posOffset>405765</wp:posOffset>
            </wp:positionV>
            <wp:extent cx="41148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14800" cy="34290"/>
                    </a:xfrm>
                    <a:prstGeom prst="rect">
                      <a:avLst/>
                    </a:prstGeom>
                    <a:noFill/>
                  </pic:spPr>
                </pic:pic>
              </a:graphicData>
            </a:graphic>
          </wp:anchor>
        </w:drawing>
        <w:drawing>
          <wp:anchor simplePos="0" relativeHeight="251657728" behindDoc="1" locked="0" layoutInCell="0" allowOverlap="1">
            <wp:simplePos x="0" y="0"/>
            <wp:positionH relativeFrom="page">
              <wp:posOffset>1717040</wp:posOffset>
            </wp:positionH>
            <wp:positionV relativeFrom="page">
              <wp:posOffset>517525</wp:posOffset>
            </wp:positionV>
            <wp:extent cx="41148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0" cy="8255"/>
                    </a:xfrm>
                    <a:prstGeom prst="rect">
                      <a:avLst/>
                    </a:prstGeom>
                    <a:noFill/>
                  </pic:spPr>
                </pic:pic>
              </a:graphicData>
            </a:graphic>
          </wp:anchor>
        </w:drawing>
        <w:t>UNITED STATES</w:t>
      </w:r>
    </w:p>
    <w:p>
      <w:pPr>
        <w:spacing w:after="0" w:line="41" w:lineRule="exact"/>
        <w:rPr>
          <w:sz w:val="24"/>
          <w:szCs w:val="24"/>
          <w:color w:val="auto"/>
        </w:rPr>
      </w:pPr>
    </w:p>
    <w:p>
      <w:pPr>
        <w:jc w:val="center"/>
        <w:ind w:right="-193"/>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ind w:right="-193"/>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65"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Date of Report (Date of earliest event reported): June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2002790</wp:posOffset>
            </wp:positionH>
            <wp:positionV relativeFrom="paragraph">
              <wp:posOffset>237490</wp:posOffset>
            </wp:positionV>
            <wp:extent cx="31032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3"/>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2002790</wp:posOffset>
            </wp:positionH>
            <wp:positionV relativeFrom="paragraph">
              <wp:posOffset>141605</wp:posOffset>
            </wp:positionV>
            <wp:extent cx="31032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ind w:left="2674"/>
        <w:spacing w:after="0"/>
        <w:tabs>
          <w:tab w:leader="none" w:pos="5334" w:val="left"/>
          <w:tab w:leader="none" w:pos="7854"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001-39021</w:t>
      </w:r>
      <w:r>
        <w:rPr>
          <w:sz w:val="20"/>
          <w:szCs w:val="20"/>
          <w:color w:val="auto"/>
        </w:rPr>
        <w:tab/>
      </w:r>
      <w:r>
        <w:rPr>
          <w:rFonts w:ascii="Arial" w:cs="Arial" w:eastAsia="Arial" w:hAnsi="Arial"/>
          <w:sz w:val="16"/>
          <w:szCs w:val="16"/>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w:t>
      </w:r>
    </w:p>
    <w:p>
      <w:pPr>
        <w:spacing w:after="0" w:line="23" w:lineRule="exact"/>
        <w:rPr>
          <w:sz w:val="24"/>
          <w:szCs w:val="24"/>
          <w:color w:val="auto"/>
        </w:rPr>
      </w:pPr>
    </w:p>
    <w:p>
      <w:pPr>
        <w:ind w:left="2514"/>
        <w:spacing w:after="0"/>
        <w:tabs>
          <w:tab w:leader="none" w:pos="8134"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No.)</w:t>
      </w:r>
    </w:p>
    <w:p>
      <w:pPr>
        <w:spacing w:after="0" w:line="396" w:lineRule="exact"/>
        <w:rPr>
          <w:sz w:val="24"/>
          <w:szCs w:val="24"/>
          <w:color w:val="auto"/>
        </w:rPr>
      </w:pPr>
    </w:p>
    <w:p>
      <w:pPr>
        <w:ind w:left="2234"/>
        <w:spacing w:after="0"/>
        <w:rPr>
          <w:sz w:val="20"/>
          <w:szCs w:val="20"/>
          <w:color w:val="auto"/>
        </w:rPr>
      </w:pPr>
      <w:r>
        <w:rPr>
          <w:rFonts w:ascii="Arial" w:cs="Arial" w:eastAsia="Arial" w:hAnsi="Arial"/>
          <w:sz w:val="18"/>
          <w:szCs w:val="18"/>
          <w:b w:val="1"/>
          <w:bCs w:val="1"/>
          <w:color w:val="auto"/>
        </w:rPr>
        <w:t>41 Discovery</w:t>
      </w:r>
    </w:p>
    <w:p>
      <w:pPr>
        <w:spacing w:after="0" w:line="27" w:lineRule="exact"/>
        <w:rPr>
          <w:sz w:val="24"/>
          <w:szCs w:val="24"/>
          <w:color w:val="auto"/>
        </w:rPr>
      </w:pPr>
    </w:p>
    <w:p>
      <w:pPr>
        <w:ind w:left="2054"/>
        <w:spacing w:after="0"/>
        <w:tabs>
          <w:tab w:leader="none" w:pos="8214" w:val="left"/>
        </w:tabs>
        <w:rPr>
          <w:sz w:val="20"/>
          <w:szCs w:val="20"/>
          <w:color w:val="auto"/>
        </w:rPr>
      </w:pPr>
      <w:r>
        <w:rPr>
          <w:rFonts w:ascii="Arial" w:cs="Arial" w:eastAsia="Arial" w:hAnsi="Arial"/>
          <w:sz w:val="18"/>
          <w:szCs w:val="18"/>
          <w:b w:val="1"/>
          <w:bCs w:val="1"/>
          <w:color w:val="auto"/>
        </w:rPr>
        <w:t>Irvine, California</w:t>
      </w:r>
      <w:r>
        <w:rPr>
          <w:sz w:val="20"/>
          <w:szCs w:val="20"/>
          <w:color w:val="auto"/>
        </w:rPr>
        <w:tab/>
      </w:r>
      <w:r>
        <w:rPr>
          <w:rFonts w:ascii="Arial" w:cs="Arial" w:eastAsia="Arial" w:hAnsi="Arial"/>
          <w:sz w:val="15"/>
          <w:szCs w:val="15"/>
          <w:b w:val="1"/>
          <w:bCs w:val="1"/>
          <w:color w:val="auto"/>
        </w:rPr>
        <w:t>92618</w:t>
      </w:r>
    </w:p>
    <w:p>
      <w:pPr>
        <w:spacing w:after="0" w:line="49" w:lineRule="exact"/>
        <w:rPr>
          <w:sz w:val="24"/>
          <w:szCs w:val="24"/>
          <w:color w:val="auto"/>
        </w:rPr>
      </w:pPr>
    </w:p>
    <w:p>
      <w:pPr>
        <w:ind w:left="1294"/>
        <w:spacing w:after="0"/>
        <w:tabs>
          <w:tab w:leader="none" w:pos="8034"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35" w:lineRule="exact"/>
        <w:rPr>
          <w:sz w:val="24"/>
          <w:szCs w:val="24"/>
          <w:color w:val="auto"/>
        </w:rPr>
      </w:pPr>
    </w:p>
    <w:p>
      <w:pPr>
        <w:ind w:left="5034"/>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4"/>
          <w:szCs w:val="24"/>
          <w:color w:val="auto"/>
        </w:rPr>
      </w:pPr>
    </w:p>
    <w:p>
      <w:pPr>
        <w:ind w:left="3694"/>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ind w:left="23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4"/>
          <w:szCs w:val="24"/>
          <w:color w:val="auto"/>
        </w:rPr>
      </w:pPr>
    </w:p>
    <w:p>
      <w:pPr>
        <w:ind w:left="474" w:hanging="474"/>
        <w:spacing w:after="0"/>
        <w:tabs>
          <w:tab w:leader="none" w:pos="4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74" w:hanging="474"/>
        <w:spacing w:after="0"/>
        <w:tabs>
          <w:tab w:leader="none" w:pos="4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74" w:hanging="474"/>
        <w:spacing w:after="0"/>
        <w:tabs>
          <w:tab w:leader="none" w:pos="4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74" w:hanging="474"/>
        <w:spacing w:after="0"/>
        <w:tabs>
          <w:tab w:leader="none" w:pos="4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74"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34290</wp:posOffset>
            </wp:positionV>
            <wp:extent cx="6789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9420" cy="8890"/>
                    </a:xfrm>
                    <a:prstGeom prst="rect">
                      <a:avLst/>
                    </a:prstGeom>
                    <a:noFill/>
                  </pic:spPr>
                </pic:pic>
              </a:graphicData>
            </a:graphic>
          </wp:anchor>
        </w:drawing>
      </w:r>
    </w:p>
    <w:p>
      <w:pPr>
        <w:sectPr>
          <w:pgSz w:w="11900" w:h="16838" w:orient="portrait"/>
          <w:cols w:equalWidth="0" w:num="1">
            <w:col w:w="11014"/>
          </w:cols>
          <w:pgMar w:left="346" w:top="1156"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Arial" w:cs="Arial" w:eastAsia="Arial" w:hAnsi="Arial"/>
          <w:sz w:val="17"/>
          <w:szCs w:val="17"/>
          <w:color w:val="auto"/>
        </w:rPr>
        <w:t>Class A Common Stock, $0.0001 par value per share</w:t>
      </w:r>
    </w:p>
    <w:p>
      <w:pPr>
        <w:spacing w:after="0" w:line="75" w:lineRule="exact"/>
        <w:rPr>
          <w:sz w:val="24"/>
          <w:szCs w:val="24"/>
          <w:color w:val="auto"/>
        </w:rPr>
      </w:pPr>
    </w:p>
    <w:p>
      <w:pPr>
        <w:jc w:val="both"/>
        <w:ind w:left="254" w:right="500"/>
        <w:spacing w:after="0" w:line="263" w:lineRule="auto"/>
        <w:rPr>
          <w:sz w:val="20"/>
          <w:szCs w:val="20"/>
          <w:color w:val="auto"/>
        </w:rPr>
      </w:pPr>
      <w:r>
        <w:rPr>
          <w:rFonts w:ascii="Arial" w:cs="Arial" w:eastAsia="Arial" w:hAnsi="Arial"/>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Arial" w:cs="Arial" w:eastAsia="Arial" w:hAnsi="Arial"/>
          <w:sz w:val="16"/>
          <w:szCs w:val="16"/>
          <w:color w:val="auto"/>
        </w:rPr>
        <w:t>MAPS</w:t>
      </w:r>
      <w:r>
        <w:rPr>
          <w:sz w:val="20"/>
          <w:szCs w:val="20"/>
          <w:color w:val="auto"/>
        </w:rPr>
        <w:tab/>
      </w:r>
      <w:r>
        <w:rPr>
          <w:rFonts w:ascii="Arial" w:cs="Arial" w:eastAsia="Arial" w:hAnsi="Arial"/>
          <w:sz w:val="16"/>
          <w:szCs w:val="16"/>
          <w:color w:val="auto"/>
        </w:rPr>
        <w:t>The Nasdaq Global Select Market</w:t>
      </w:r>
    </w:p>
    <w:p>
      <w:pPr>
        <w:spacing w:after="0" w:line="86" w:lineRule="exact"/>
        <w:rPr>
          <w:sz w:val="24"/>
          <w:szCs w:val="24"/>
          <w:color w:val="auto"/>
        </w:rPr>
      </w:pPr>
    </w:p>
    <w:p>
      <w:pPr>
        <w:spacing w:after="0"/>
        <w:tabs>
          <w:tab w:leader="none" w:pos="1860" w:val="left"/>
        </w:tabs>
        <w:rPr>
          <w:sz w:val="20"/>
          <w:szCs w:val="20"/>
          <w:color w:val="auto"/>
        </w:rPr>
      </w:pPr>
      <w:r>
        <w:rPr>
          <w:rFonts w:ascii="Arial" w:cs="Arial" w:eastAsia="Arial" w:hAnsi="Arial"/>
          <w:sz w:val="16"/>
          <w:szCs w:val="16"/>
          <w:color w:val="auto"/>
        </w:rPr>
        <w:t>MAPSW</w:t>
      </w:r>
      <w:r>
        <w:rPr>
          <w:sz w:val="20"/>
          <w:szCs w:val="20"/>
          <w:color w:val="auto"/>
        </w:rPr>
        <w:tab/>
      </w:r>
      <w:r>
        <w:rPr>
          <w:rFonts w:ascii="Arial" w:cs="Arial" w:eastAsia="Arial" w:hAnsi="Arial"/>
          <w:sz w:val="16"/>
          <w:szCs w:val="16"/>
          <w:color w:val="auto"/>
        </w:rPr>
        <w:t>The Nasdaq Global Select Market</w:t>
      </w:r>
    </w:p>
    <w:p>
      <w:pPr>
        <w:spacing w:after="0" w:line="709" w:lineRule="exact"/>
        <w:rPr>
          <w:sz w:val="24"/>
          <w:szCs w:val="24"/>
          <w:color w:val="auto"/>
        </w:rPr>
      </w:pPr>
    </w:p>
    <w:p>
      <w:pPr>
        <w:sectPr>
          <w:pgSz w:w="11900" w:h="16838" w:orient="portrait"/>
          <w:cols w:equalWidth="0" w:num="2">
            <w:col w:w="4934" w:space="720"/>
            <w:col w:w="5360"/>
          </w:cols>
          <w:pgMar w:left="346" w:top="1156" w:right="539" w:bottom="1440" w:gutter="0" w:footer="0" w:header="0"/>
          <w:type w:val="continuous"/>
        </w:sectPr>
      </w:pPr>
    </w:p>
    <w:p>
      <w:pPr>
        <w:spacing w:after="0" w:line="267" w:lineRule="exact"/>
        <w:rPr>
          <w:sz w:val="24"/>
          <w:szCs w:val="24"/>
          <w:color w:val="auto"/>
        </w:rPr>
      </w:pPr>
    </w:p>
    <w:p>
      <w:pPr>
        <w:ind w:left="23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ind w:left="881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20" w:lineRule="exact"/>
        <w:rPr>
          <w:sz w:val="24"/>
          <w:szCs w:val="24"/>
          <w:color w:val="auto"/>
        </w:rPr>
      </w:pPr>
    </w:p>
    <w:p>
      <w:pPr>
        <w:ind w:left="23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304165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6" w:right="5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64719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719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64719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71920" cy="1714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June 21, 2023, WM Technology, Inc, (the “Company”) held its 2023 Annual Meeting of Stockholders (the “Annual Meeting”). As of April 26, 2022, the record date for the Annual Meeting (the “Record Date”), 148,061,552 shares of the Company’s common stock were outstanding and entitled to vote at the Annual Meeting. A summary of the matters voted upon by stockholders at the Annual Meeting is set forth below.</w:t>
      </w:r>
    </w:p>
    <w:p>
      <w:pPr>
        <w:spacing w:after="0" w:line="5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total of 97,736,806 shares of the Company’s common stock were present at the Annual Meeting in person, by virtual attendance, or by proxy, which represents approximately 66% of the shares of the Company’s common stock outstanding as of the Record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1. Election of Directors.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Company’s stockholders elected the three persons listed below as Class II Directors, each to serve until the Company’s 2026 Annual Meeting of Stockholders or until their successors are duly elected and qualified or until their earlier death, resignation or removal. The final voting results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3"/>
              </w:rPr>
              <w:t>Name</w:t>
            </w:r>
          </w:p>
        </w:tc>
        <w:tc>
          <w:tcPr>
            <w:tcW w:w="7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7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Votes Withheld</w:t>
            </w:r>
          </w:p>
        </w:tc>
        <w:tc>
          <w:tcPr>
            <w:tcW w:w="7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24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3"/>
        </w:trPr>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Tony Aquila</w:t>
            </w:r>
          </w:p>
        </w:tc>
        <w:tc>
          <w:tcPr>
            <w:tcW w:w="2960" w:type="dxa"/>
            <w:vAlign w:val="bottom"/>
            <w:tcBorders>
              <w:bottom w:val="single" w:sz="8" w:color="CCEEFF"/>
            </w:tcBorders>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90"/>
              </w:rPr>
              <w:t>84,558,541</w:t>
            </w:r>
          </w:p>
        </w:tc>
        <w:tc>
          <w:tcPr>
            <w:tcW w:w="2940" w:type="dxa"/>
            <w:vAlign w:val="bottom"/>
            <w:tcBorders>
              <w:bottom w:val="single" w:sz="8" w:color="CCEEFF"/>
            </w:tcBorders>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88"/>
              </w:rPr>
              <w:t>13,178,265</w:t>
            </w:r>
          </w:p>
        </w:tc>
        <w:tc>
          <w:tcPr>
            <w:tcW w:w="7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43"/>
        </w:trPr>
        <w:tc>
          <w:tcPr>
            <w:tcW w:w="2240" w:type="dxa"/>
            <w:vAlign w:val="bottom"/>
          </w:tcPr>
          <w:p>
            <w:pPr>
              <w:jc w:val="center"/>
              <w:spacing w:after="0"/>
              <w:rPr>
                <w:sz w:val="20"/>
                <w:szCs w:val="20"/>
                <w:color w:val="auto"/>
              </w:rPr>
            </w:pPr>
            <w:r>
              <w:rPr>
                <w:rFonts w:ascii="Arial" w:cs="Arial" w:eastAsia="Arial" w:hAnsi="Arial"/>
                <w:sz w:val="18"/>
                <w:szCs w:val="18"/>
                <w:color w:val="auto"/>
                <w:w w:val="87"/>
              </w:rPr>
              <w:t>Brenda Freeman</w:t>
            </w:r>
          </w:p>
        </w:tc>
        <w:tc>
          <w:tcPr>
            <w:tcW w:w="2960" w:type="dxa"/>
            <w:vAlign w:val="bottom"/>
            <w:gridSpan w:val="2"/>
          </w:tcPr>
          <w:p>
            <w:pPr>
              <w:jc w:val="center"/>
              <w:ind w:left="610"/>
              <w:spacing w:after="0"/>
              <w:rPr>
                <w:sz w:val="20"/>
                <w:szCs w:val="20"/>
                <w:color w:val="auto"/>
              </w:rPr>
            </w:pPr>
            <w:r>
              <w:rPr>
                <w:rFonts w:ascii="Arial" w:cs="Arial" w:eastAsia="Arial" w:hAnsi="Arial"/>
                <w:sz w:val="18"/>
                <w:szCs w:val="18"/>
                <w:color w:val="auto"/>
                <w:w w:val="90"/>
              </w:rPr>
              <w:t>84,848,749</w:t>
            </w:r>
          </w:p>
        </w:tc>
        <w:tc>
          <w:tcPr>
            <w:tcW w:w="2940" w:type="dxa"/>
            <w:vAlign w:val="bottom"/>
            <w:gridSpan w:val="2"/>
          </w:tcPr>
          <w:p>
            <w:pPr>
              <w:jc w:val="center"/>
              <w:ind w:left="610"/>
              <w:spacing w:after="0"/>
              <w:rPr>
                <w:sz w:val="20"/>
                <w:szCs w:val="20"/>
                <w:color w:val="auto"/>
              </w:rPr>
            </w:pPr>
            <w:r>
              <w:rPr>
                <w:rFonts w:ascii="Arial" w:cs="Arial" w:eastAsia="Arial" w:hAnsi="Arial"/>
                <w:sz w:val="18"/>
                <w:szCs w:val="18"/>
                <w:color w:val="auto"/>
                <w:w w:val="88"/>
              </w:rPr>
              <w:t>12,888,057</w:t>
            </w:r>
          </w:p>
        </w:tc>
        <w:tc>
          <w:tcPr>
            <w:tcW w:w="7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
        </w:trPr>
        <w:tc>
          <w:tcPr>
            <w:tcW w:w="2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Olga Gonzalez</w:t>
            </w:r>
          </w:p>
        </w:tc>
        <w:tc>
          <w:tcPr>
            <w:tcW w:w="2960" w:type="dxa"/>
            <w:vAlign w:val="bottom"/>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90"/>
              </w:rPr>
              <w:t>84,543,918</w:t>
            </w:r>
          </w:p>
        </w:tc>
        <w:tc>
          <w:tcPr>
            <w:tcW w:w="2940" w:type="dxa"/>
            <w:vAlign w:val="bottom"/>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88"/>
              </w:rPr>
              <w:t>13,192,888</w:t>
            </w:r>
          </w:p>
        </w:tc>
        <w:tc>
          <w:tcPr>
            <w:tcW w:w="700" w:type="dxa"/>
            <w:vAlign w:val="bottom"/>
            <w:shd w:val="clear" w:color="auto" w:fill="CCEEFF"/>
          </w:tcPr>
          <w:p>
            <w:pPr>
              <w:spacing w:after="0"/>
              <w:rPr>
                <w:sz w:val="21"/>
                <w:szCs w:val="21"/>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7"/>
        </w:trPr>
        <w:tc>
          <w:tcPr>
            <w:tcW w:w="2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2. Approval, on an Non-Binding Advisory Basis, of the Compensation of the Company’s Named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Company’s stockholders approved, on a non-binding advisory basis, the compensation of the Company’s named executive officers as disclosed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definitive proxy statement relating to the Annual Meeting. The final voting results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7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7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700" w:type="dxa"/>
            <w:vAlign w:val="bottom"/>
          </w:tcPr>
          <w:p>
            <w:pPr>
              <w:spacing w:after="0"/>
              <w:rPr>
                <w:sz w:val="20"/>
                <w:szCs w:val="20"/>
                <w:color w:val="auto"/>
              </w:rPr>
            </w:pPr>
          </w:p>
        </w:tc>
        <w:tc>
          <w:tcPr>
            <w:tcW w:w="2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24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224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90,078,598</w:t>
            </w:r>
          </w:p>
        </w:tc>
        <w:tc>
          <w:tcPr>
            <w:tcW w:w="296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7,070,963</w:t>
            </w:r>
          </w:p>
        </w:tc>
        <w:tc>
          <w:tcPr>
            <w:tcW w:w="2940" w:type="dxa"/>
            <w:vAlign w:val="bottom"/>
            <w:tcBorders>
              <w:bottom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587,245</w:t>
            </w:r>
          </w:p>
        </w:tc>
        <w:tc>
          <w:tcPr>
            <w:tcW w:w="7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r>
      <w:tr>
        <w:trPr>
          <w:trHeight w:val="1816"/>
        </w:trPr>
        <w:tc>
          <w:tcPr>
            <w:tcW w:w="2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June 23, 2023</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5109845</wp:posOffset>
            </wp:positionH>
            <wp:positionV relativeFrom="paragraph">
              <wp:posOffset>31750</wp:posOffset>
            </wp:positionV>
            <wp:extent cx="18770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340" w:top="6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2023-06-23T15:26:04Z</dcterms:created>
  <dcterms:modified xsi:type="dcterms:W3CDTF">2023-06-23T15:26:04Z</dcterms:modified>
</cp:coreProperties>
</file>