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Feijoo-Osorio Juan Jose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WM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MAPS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11/17/2022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08" w:lineRule="exact"/>
        <w:rPr>
          <w:sz w:val="24"/>
          <w:szCs w:val="24"/>
          <w:color w:val="auto"/>
        </w:rPr>
      </w:pPr>
    </w:p>
    <w:p>
      <w:pPr>
        <w:sectPr>
          <w:pgSz w:w="11900" w:h="16838" w:orient="portrait"/>
          <w:cols w:equalWidth="0" w:num="3">
            <w:col w:w="3200" w:space="72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11/17/2022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42,713</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1.1981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340,889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sold the number of shares of common stock necessary to cover applicable tax withholding obligations realized upon the vesting of restricted stock units, as well as any related brokerage commission fees.</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$1.19 to $1.22. The Reporting Person will provide upon request to the SEC, the Issuer or security holder of the Issuer, full information regarding the number of shares sold at each separate price.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Juan Jose Feijoo-Osorio, by /s/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595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Ron A. Metzger, Attorney-in-  11/21/2022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7322"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2022-11-21T19:44:57Z</dcterms:created>
  <dcterms:modified xsi:type="dcterms:W3CDTF">2022-11-21T19:44:57Z</dcterms:modified>
</cp:coreProperties>
</file>