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440"/>
          </w:cols>
          <w:pgMar w:left="460" w:top="219"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Luxor Capital Group, LP</w:t>
        </w:r>
      </w:hyperlink>
    </w:p>
    <w:p>
      <w:pPr>
        <w:spacing w:after="0" w:line="299"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520"/>
        <w:spacing w:after="0" w:line="357" w:lineRule="auto"/>
        <w:rPr>
          <w:sz w:val="20"/>
          <w:szCs w:val="20"/>
          <w:color w:val="auto"/>
        </w:rPr>
      </w:pPr>
      <w:r>
        <w:rPr>
          <w:rFonts w:ascii="Arial" w:cs="Arial" w:eastAsia="Arial" w:hAnsi="Arial"/>
          <w:sz w:val="16"/>
          <w:szCs w:val="16"/>
          <w:color w:val="0000FF"/>
        </w:rPr>
        <w:t>1114 AVENUE OF THE AMERICAS 28TH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98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r>
      <w:tr>
        <w:trPr>
          <w:trHeight w:val="225"/>
        </w:trPr>
        <w:tc>
          <w:tcPr>
            <w:tcW w:w="1980" w:type="dxa"/>
            <w:vAlign w:val="bottom"/>
          </w:tcPr>
          <w:p>
            <w:pPr>
              <w:ind w:left="40"/>
              <w:spacing w:after="0"/>
              <w:rPr>
                <w:sz w:val="20"/>
                <w:szCs w:val="20"/>
                <w:color w:val="auto"/>
              </w:rPr>
            </w:pPr>
            <w:r>
              <w:rPr>
                <w:rFonts w:ascii="Arial" w:cs="Arial" w:eastAsia="Arial" w:hAnsi="Arial"/>
                <w:sz w:val="16"/>
                <w:szCs w:val="16"/>
                <w:color w:val="0000FF"/>
              </w:rPr>
              <w:t>NEW YORKNY</w:t>
            </w:r>
          </w:p>
        </w:tc>
        <w:tc>
          <w:tcPr>
            <w:tcW w:w="900" w:type="dxa"/>
            <w:vAlign w:val="bottom"/>
          </w:tcPr>
          <w:p>
            <w:pPr>
              <w:jc w:val="right"/>
              <w:spacing w:after="0"/>
              <w:rPr>
                <w:sz w:val="20"/>
                <w:szCs w:val="20"/>
                <w:color w:val="auto"/>
              </w:rPr>
            </w:pPr>
            <w:r>
              <w:rPr>
                <w:rFonts w:ascii="Arial" w:cs="Arial" w:eastAsia="Arial" w:hAnsi="Arial"/>
                <w:sz w:val="16"/>
                <w:szCs w:val="16"/>
                <w:color w:val="0000FF"/>
              </w:rPr>
              <w:t>10036</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4"/>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WM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MAPS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40" w:type="dxa"/>
            <w:vAlign w:val="bottom"/>
            <w:vMerge w:val="restart"/>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15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640" w:type="dxa"/>
            <w:vAlign w:val="bottom"/>
          </w:tcPr>
          <w:p>
            <w:pPr>
              <w:ind w:left="50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40" w:type="dxa"/>
            <w:vAlign w:val="bottom"/>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2320" w:type="dxa"/>
            <w:vAlign w:val="bottom"/>
            <w:gridSpan w:val="3"/>
          </w:tcPr>
          <w:p>
            <w:pPr>
              <w:ind w:left="60"/>
              <w:spacing w:after="0"/>
              <w:rPr>
                <w:sz w:val="20"/>
                <w:szCs w:val="20"/>
                <w:color w:val="auto"/>
              </w:rPr>
            </w:pPr>
            <w:r>
              <w:rPr>
                <w:rFonts w:ascii="Arial" w:cs="Arial" w:eastAsia="Arial" w:hAnsi="Arial"/>
                <w:sz w:val="16"/>
                <w:szCs w:val="16"/>
                <w:color w:val="0000FF"/>
              </w:rPr>
              <w:t>01/07/2022</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 w:lineRule="exact"/>
        <w:rPr>
          <w:sz w:val="24"/>
          <w:szCs w:val="24"/>
          <w:color w:val="auto"/>
        </w:rPr>
      </w:pPr>
    </w:p>
    <w:p>
      <w:pPr>
        <w:ind w:left="408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0" w:gutter="0" w:footer="0" w:header="0"/>
          <w:type w:val="continuous"/>
        </w:sectPr>
      </w:pPr>
    </w:p>
    <w:p>
      <w:pPr>
        <w:spacing w:after="0" w:line="60"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4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61"/>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w w:val="94"/>
              </w:rPr>
              <w:t>By:</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Lugard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40" w:type="dxa"/>
            <w:vAlign w:val="bottom"/>
            <w:gridSpan w:val="7"/>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1020" w:type="dxa"/>
            <w:vAlign w:val="bottom"/>
            <w:gridSpan w:val="2"/>
            <w:vMerge w:val="restart"/>
          </w:tcPr>
          <w:p>
            <w:pPr>
              <w:jc w:val="right"/>
              <w:ind w:right="63"/>
              <w:spacing w:after="0"/>
              <w:rPr>
                <w:sz w:val="20"/>
                <w:szCs w:val="20"/>
                <w:color w:val="auto"/>
              </w:rPr>
            </w:pPr>
            <w:r>
              <w:rPr>
                <w:rFonts w:ascii="Arial" w:cs="Arial" w:eastAsia="Arial" w:hAnsi="Arial"/>
                <w:sz w:val="16"/>
                <w:szCs w:val="16"/>
                <w:color w:val="0000FF"/>
              </w:rPr>
              <w:t>01/07/2022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20" w:type="dxa"/>
            <w:vAlign w:val="bottom"/>
            <w:vMerge w:val="restart"/>
          </w:tcPr>
          <w:p>
            <w:pPr>
              <w:ind w:left="160"/>
              <w:spacing w:after="0"/>
              <w:rPr>
                <w:sz w:val="20"/>
                <w:szCs w:val="20"/>
                <w:color w:val="auto"/>
              </w:rPr>
            </w:pPr>
            <w:r>
              <w:rPr>
                <w:rFonts w:ascii="Arial" w:cs="Arial" w:eastAsia="Arial" w:hAnsi="Arial"/>
                <w:sz w:val="16"/>
                <w:szCs w:val="16"/>
                <w:color w:val="0000FF"/>
                <w:w w:val="93"/>
              </w:rPr>
              <w:t>131,700</w:t>
            </w:r>
          </w:p>
        </w:tc>
        <w:tc>
          <w:tcPr>
            <w:tcW w:w="64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w:t>
            </w:r>
          </w:p>
        </w:tc>
        <w:tc>
          <w:tcPr>
            <w:tcW w:w="1480" w:type="dxa"/>
            <w:vAlign w:val="bottom"/>
            <w:gridSpan w:val="3"/>
            <w:vMerge w:val="restart"/>
          </w:tcPr>
          <w:p>
            <w:pPr>
              <w:jc w:val="center"/>
              <w:ind w:right="263"/>
              <w:spacing w:after="0"/>
              <w:rPr>
                <w:sz w:val="20"/>
                <w:szCs w:val="20"/>
                <w:color w:val="auto"/>
              </w:rPr>
            </w:pPr>
            <w:r>
              <w:rPr>
                <w:rFonts w:ascii="Arial" w:cs="Arial" w:eastAsia="Arial" w:hAnsi="Arial"/>
                <w:sz w:val="16"/>
                <w:szCs w:val="16"/>
                <w:color w:val="0000FF"/>
                <w:w w:val="89"/>
              </w:rPr>
              <w:t>6,647,443</w:t>
            </w:r>
          </w:p>
        </w:tc>
        <w:tc>
          <w:tcPr>
            <w:tcW w:w="60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(6)</w:t>
            </w: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Road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00" w:lineRule="exact"/>
              <w:rPr>
                <w:sz w:val="20"/>
                <w:szCs w:val="20"/>
                <w:color w:val="auto"/>
              </w:rPr>
            </w:pPr>
            <w:r>
              <w:rPr>
                <w:rFonts w:ascii="Arial" w:cs="Arial" w:eastAsia="Arial" w:hAnsi="Arial"/>
                <w:sz w:val="23"/>
                <w:szCs w:val="23"/>
                <w:color w:val="0000FF"/>
                <w:vertAlign w:val="subscript"/>
              </w:rPr>
              <w:t>share</w:t>
            </w:r>
            <w:r>
              <w:rPr>
                <w:rFonts w:ascii="Arial" w:cs="Arial" w:eastAsia="Arial" w:hAnsi="Arial"/>
                <w:sz w:val="9"/>
                <w:szCs w:val="9"/>
                <w:color w:val="008000"/>
              </w:rPr>
              <w:t>(1)(2)</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Master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By: Luxor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40" w:type="dxa"/>
            <w:vAlign w:val="bottom"/>
            <w:gridSpan w:val="7"/>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3"/>
            <w:vMerge w:val="restart"/>
          </w:tcPr>
          <w:p>
            <w:pPr>
              <w:jc w:val="center"/>
              <w:ind w:right="263"/>
              <w:spacing w:after="0"/>
              <w:rPr>
                <w:sz w:val="20"/>
                <w:szCs w:val="20"/>
                <w:color w:val="auto"/>
              </w:rPr>
            </w:pPr>
            <w:r>
              <w:rPr>
                <w:rFonts w:ascii="Arial" w:cs="Arial" w:eastAsia="Arial" w:hAnsi="Arial"/>
                <w:sz w:val="16"/>
                <w:szCs w:val="16"/>
                <w:color w:val="0000FF"/>
                <w:w w:val="89"/>
              </w:rPr>
              <w:t>33,289</w:t>
            </w:r>
          </w:p>
        </w:tc>
        <w:tc>
          <w:tcPr>
            <w:tcW w:w="60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(5)</w:t>
            </w: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00" w:lineRule="exact"/>
              <w:rPr>
                <w:sz w:val="20"/>
                <w:szCs w:val="20"/>
                <w:color w:val="auto"/>
              </w:rPr>
            </w:pPr>
            <w:r>
              <w:rPr>
                <w:rFonts w:ascii="Arial" w:cs="Arial" w:eastAsia="Arial" w:hAnsi="Arial"/>
                <w:sz w:val="23"/>
                <w:szCs w:val="23"/>
                <w:color w:val="0000FF"/>
                <w:vertAlign w:val="subscript"/>
              </w:rPr>
              <w:t>share</w:t>
            </w:r>
            <w:r>
              <w:rPr>
                <w:rFonts w:ascii="Arial" w:cs="Arial" w:eastAsia="Arial" w:hAnsi="Arial"/>
                <w:sz w:val="9"/>
                <w:szCs w:val="9"/>
                <w:color w:val="008000"/>
              </w:rPr>
              <w:t>(1)(2)</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6"/>
                <w:szCs w:val="16"/>
                <w:color w:val="0000FF"/>
              </w:rPr>
              <w:t>Offshore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Master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By: Luxor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40" w:type="dxa"/>
            <w:vAlign w:val="bottom"/>
            <w:gridSpan w:val="7"/>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80" w:type="dxa"/>
            <w:vAlign w:val="bottom"/>
            <w:gridSpan w:val="3"/>
            <w:vMerge w:val="restart"/>
          </w:tcPr>
          <w:p>
            <w:pPr>
              <w:jc w:val="center"/>
              <w:ind w:right="263"/>
              <w:spacing w:after="0"/>
              <w:rPr>
                <w:sz w:val="20"/>
                <w:szCs w:val="20"/>
                <w:color w:val="auto"/>
              </w:rPr>
            </w:pPr>
            <w:r>
              <w:rPr>
                <w:rFonts w:ascii="Arial" w:cs="Arial" w:eastAsia="Arial" w:hAnsi="Arial"/>
                <w:sz w:val="16"/>
                <w:szCs w:val="16"/>
                <w:color w:val="0000FF"/>
                <w:w w:val="89"/>
              </w:rPr>
              <w:t>13,440</w:t>
            </w:r>
          </w:p>
        </w:tc>
        <w:tc>
          <w:tcPr>
            <w:tcW w:w="600" w:type="dxa"/>
            <w:vAlign w:val="bottom"/>
            <w:vMerge w:val="restart"/>
          </w:tcPr>
          <w:p>
            <w:pPr>
              <w:ind w:left="4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960" w:type="dxa"/>
            <w:vAlign w:val="bottom"/>
            <w:gridSpan w:val="4"/>
            <w:vMerge w:val="restart"/>
          </w:tcPr>
          <w:p>
            <w:pPr>
              <w:ind w:left="60"/>
              <w:spacing w:after="0"/>
              <w:rPr>
                <w:sz w:val="20"/>
                <w:szCs w:val="20"/>
                <w:color w:val="auto"/>
              </w:rPr>
            </w:pPr>
            <w:r>
              <w:rPr>
                <w:rFonts w:ascii="Arial" w:cs="Arial" w:eastAsia="Arial" w:hAnsi="Arial"/>
                <w:sz w:val="16"/>
                <w:szCs w:val="16"/>
                <w:color w:val="0000FF"/>
              </w:rPr>
              <w:t>Wavefront,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59" w:lineRule="exact"/>
              <w:rPr>
                <w:sz w:val="20"/>
                <w:szCs w:val="20"/>
                <w:color w:val="auto"/>
              </w:rPr>
            </w:pPr>
            <w:r>
              <w:rPr>
                <w:rFonts w:ascii="Arial" w:cs="Arial" w:eastAsia="Arial" w:hAnsi="Arial"/>
                <w:sz w:val="30"/>
                <w:szCs w:val="30"/>
                <w:color w:val="0000FF"/>
                <w:w w:val="83"/>
                <w:vertAlign w:val="subscript"/>
              </w:rPr>
              <w:t>share</w:t>
            </w:r>
            <w:r>
              <w:rPr>
                <w:rFonts w:ascii="Arial" w:cs="Arial" w:eastAsia="Arial" w:hAnsi="Arial"/>
                <w:sz w:val="10"/>
                <w:szCs w:val="10"/>
                <w:color w:val="008000"/>
                <w:w w:val="83"/>
              </w:rPr>
              <w:t>(1)(2)</w:t>
            </w: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LP</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By: Luxor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40" w:type="dxa"/>
            <w:vAlign w:val="bottom"/>
            <w:gridSpan w:val="7"/>
          </w:tcPr>
          <w:p>
            <w:pPr>
              <w:ind w:left="60"/>
              <w:spacing w:after="0"/>
              <w:rPr>
                <w:sz w:val="20"/>
                <w:szCs w:val="20"/>
                <w:color w:val="auto"/>
              </w:rPr>
            </w:pPr>
            <w:r>
              <w:rPr>
                <w:rFonts w:ascii="Arial" w:cs="Arial" w:eastAsia="Arial" w:hAnsi="Arial"/>
                <w:sz w:val="16"/>
                <w:szCs w:val="16"/>
                <w:color w:val="0000FF"/>
                <w:w w:val="94"/>
              </w:rPr>
              <w:t>Class A Common Stock, par value $0.0001 per</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3"/>
            <w:vMerge w:val="restart"/>
          </w:tcPr>
          <w:p>
            <w:pPr>
              <w:jc w:val="center"/>
              <w:ind w:right="263"/>
              <w:spacing w:after="0"/>
              <w:rPr>
                <w:sz w:val="20"/>
                <w:szCs w:val="20"/>
                <w:color w:val="auto"/>
              </w:rPr>
            </w:pPr>
            <w:r>
              <w:rPr>
                <w:rFonts w:ascii="Arial" w:cs="Arial" w:eastAsia="Arial" w:hAnsi="Arial"/>
                <w:sz w:val="16"/>
                <w:szCs w:val="16"/>
                <w:color w:val="0000FF"/>
                <w:w w:val="89"/>
              </w:rPr>
              <w:t>53,645</w:t>
            </w:r>
          </w:p>
        </w:tc>
        <w:tc>
          <w:tcPr>
            <w:tcW w:w="600" w:type="dxa"/>
            <w:vAlign w:val="bottom"/>
            <w:vMerge w:val="restart"/>
          </w:tcPr>
          <w:p>
            <w:pPr>
              <w:ind w:left="40"/>
              <w:spacing w:after="0" w:line="359"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0"/>
                <w:szCs w:val="10"/>
                <w:color w:val="008000"/>
              </w:rPr>
              <w:t>(3)</w:t>
            </w:r>
          </w:p>
        </w:tc>
        <w:tc>
          <w:tcPr>
            <w:tcW w:w="960" w:type="dxa"/>
            <w:vAlign w:val="bottom"/>
            <w:gridSpan w:val="4"/>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00" w:lineRule="exact"/>
              <w:rPr>
                <w:sz w:val="20"/>
                <w:szCs w:val="20"/>
                <w:color w:val="auto"/>
              </w:rPr>
            </w:pPr>
            <w:r>
              <w:rPr>
                <w:rFonts w:ascii="Arial" w:cs="Arial" w:eastAsia="Arial" w:hAnsi="Arial"/>
                <w:sz w:val="23"/>
                <w:szCs w:val="23"/>
                <w:color w:val="0000FF"/>
                <w:vertAlign w:val="subscript"/>
              </w:rPr>
              <w:t>share</w:t>
            </w:r>
            <w:r>
              <w:rPr>
                <w:rFonts w:ascii="Arial" w:cs="Arial" w:eastAsia="Arial" w:hAnsi="Arial"/>
                <w:sz w:val="9"/>
                <w:szCs w:val="9"/>
                <w:color w:val="008000"/>
              </w:rPr>
              <w:t>(1)(2)</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60" w:type="dxa"/>
            <w:vAlign w:val="bottom"/>
            <w:gridSpan w:val="4"/>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0000FF"/>
              </w:rPr>
              <w:t>LP</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68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80" w:type="dxa"/>
            <w:vAlign w:val="bottom"/>
            <w:gridSpan w:val="9"/>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22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6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 of</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90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13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2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Arial" w:cs="Arial" w:eastAsia="Arial" w:hAnsi="Arial"/>
                <w:sz w:val="13"/>
                <w:szCs w:val="13"/>
                <w:color w:val="0000FF"/>
                <w:w w:val="89"/>
              </w:rPr>
              <w:t>Class A</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3"/>
                <w:szCs w:val="13"/>
                <w:color w:val="0000FF"/>
                <w:w w:val="98"/>
              </w:rPr>
              <w:t>By: Lugard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ind w:left="40"/>
              <w:spacing w:after="0" w:line="138" w:lineRule="exact"/>
              <w:rPr>
                <w:sz w:val="20"/>
                <w:szCs w:val="20"/>
                <w:color w:val="auto"/>
              </w:rPr>
            </w:pPr>
            <w:r>
              <w:rPr>
                <w:rFonts w:ascii="Arial" w:cs="Arial" w:eastAsia="Arial" w:hAnsi="Arial"/>
                <w:sz w:val="13"/>
                <w:szCs w:val="13"/>
                <w:color w:val="0000FF"/>
              </w:rPr>
              <w:t>Common</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Put Option</w:t>
            </w: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right w:val="single" w:sz="8" w:color="2C2C2C"/>
            </w:tcBorders>
            <w:gridSpan w:val="3"/>
            <w:vMerge w:val="restart"/>
          </w:tcPr>
          <w:p>
            <w:pPr>
              <w:spacing w:after="0" w:line="138" w:lineRule="exact"/>
              <w:rPr>
                <w:sz w:val="20"/>
                <w:szCs w:val="20"/>
                <w:color w:val="auto"/>
              </w:rPr>
            </w:pPr>
            <w:r>
              <w:rPr>
                <w:rFonts w:ascii="Arial" w:cs="Arial" w:eastAsia="Arial" w:hAnsi="Arial"/>
                <w:sz w:val="13"/>
                <w:szCs w:val="13"/>
                <w:color w:val="0000FF"/>
              </w:rPr>
              <w:t>Road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0"/>
                <w:szCs w:val="10"/>
                <w:color w:val="008000"/>
                <w:w w:val="81"/>
              </w:rPr>
              <w:t>(7)</w:t>
            </w: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21"/>
              <w:spacing w:after="0" w:line="147" w:lineRule="exact"/>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spacing w:after="0"/>
              <w:rPr>
                <w:sz w:val="20"/>
                <w:szCs w:val="20"/>
                <w:color w:val="auto"/>
              </w:rPr>
            </w:pPr>
            <w:r>
              <w:rPr>
                <w:rFonts w:ascii="Arial" w:cs="Arial" w:eastAsia="Arial" w:hAnsi="Arial"/>
                <w:sz w:val="16"/>
                <w:szCs w:val="16"/>
                <w:color w:val="0000FF"/>
                <w:w w:val="96"/>
              </w:rPr>
              <w:t>131,700</w:t>
            </w: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restart"/>
          </w:tcPr>
          <w:p>
            <w:pPr>
              <w:ind w:left="440"/>
              <w:spacing w:after="0"/>
              <w:rPr>
                <w:sz w:val="20"/>
                <w:szCs w:val="20"/>
                <w:color w:val="auto"/>
              </w:rPr>
            </w:pPr>
            <w:r>
              <w:rPr>
                <w:rFonts w:ascii="Arial" w:cs="Arial" w:eastAsia="Arial" w:hAnsi="Arial"/>
                <w:sz w:val="10"/>
                <w:szCs w:val="10"/>
                <w:color w:val="008000"/>
              </w:rPr>
              <w:t>(6)</w:t>
            </w:r>
          </w:p>
        </w:tc>
        <w:tc>
          <w:tcPr>
            <w:tcW w:w="300" w:type="dxa"/>
            <w:vAlign w:val="bottom"/>
          </w:tcPr>
          <w:p>
            <w:pPr>
              <w:spacing w:after="0"/>
              <w:rPr>
                <w:sz w:val="5"/>
                <w:szCs w:val="5"/>
                <w:color w:val="auto"/>
              </w:rPr>
            </w:pPr>
          </w:p>
        </w:tc>
        <w:tc>
          <w:tcPr>
            <w:tcW w:w="6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w w:val="98"/>
              </w:rPr>
              <w:t>(Obligation</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w:t>
            </w:r>
          </w:p>
        </w:tc>
        <w:tc>
          <w:tcPr>
            <w:tcW w:w="1080" w:type="dxa"/>
            <w:vAlign w:val="bottom"/>
            <w:gridSpan w:val="2"/>
            <w:vMerge w:val="restart"/>
          </w:tcPr>
          <w:p>
            <w:pPr>
              <w:ind w:left="260"/>
              <w:spacing w:after="0" w:line="148" w:lineRule="exact"/>
              <w:rPr>
                <w:sz w:val="20"/>
                <w:szCs w:val="20"/>
                <w:color w:val="auto"/>
              </w:rPr>
            </w:pPr>
            <w:r>
              <w:rPr>
                <w:rFonts w:ascii="Arial" w:cs="Arial" w:eastAsia="Arial" w:hAnsi="Arial"/>
                <w:sz w:val="13"/>
                <w:szCs w:val="13"/>
                <w:color w:val="0000FF"/>
              </w:rPr>
              <w:t>01/07/2022</w:t>
            </w: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restart"/>
          </w:tcPr>
          <w:p>
            <w:pPr>
              <w:jc w:val="center"/>
              <w:ind w:right="380"/>
              <w:spacing w:after="0" w:line="148" w:lineRule="exact"/>
              <w:rPr>
                <w:sz w:val="20"/>
                <w:szCs w:val="20"/>
                <w:color w:val="auto"/>
              </w:rPr>
            </w:pPr>
            <w:r>
              <w:rPr>
                <w:rFonts w:ascii="Arial" w:cs="Arial" w:eastAsia="Arial" w:hAnsi="Arial"/>
                <w:sz w:val="13"/>
                <w:szCs w:val="13"/>
                <w:color w:val="0000FF"/>
              </w:rPr>
              <w:t>X</w:t>
            </w:r>
          </w:p>
        </w:tc>
        <w:tc>
          <w:tcPr>
            <w:tcW w:w="760" w:type="dxa"/>
            <w:vAlign w:val="bottom"/>
            <w:vMerge w:val="restart"/>
          </w:tcPr>
          <w:p>
            <w:pPr>
              <w:ind w:left="360"/>
              <w:spacing w:after="0" w:line="148" w:lineRule="exact"/>
              <w:rPr>
                <w:sz w:val="20"/>
                <w:szCs w:val="20"/>
                <w:color w:val="auto"/>
              </w:rPr>
            </w:pPr>
            <w:r>
              <w:rPr>
                <w:rFonts w:ascii="Arial" w:cs="Arial" w:eastAsia="Arial" w:hAnsi="Arial"/>
                <w:sz w:val="13"/>
                <w:szCs w:val="13"/>
                <w:color w:val="0000FF"/>
                <w:w w:val="80"/>
              </w:rPr>
              <w:t>131,700</w:t>
            </w:r>
          </w:p>
        </w:tc>
        <w:tc>
          <w:tcPr>
            <w:tcW w:w="220" w:type="dxa"/>
            <w:vAlign w:val="bottom"/>
            <w:vMerge w:val="continue"/>
          </w:tcPr>
          <w:p>
            <w:pPr>
              <w:spacing w:after="0"/>
              <w:rPr>
                <w:sz w:val="7"/>
                <w:szCs w:val="7"/>
                <w:color w:val="auto"/>
              </w:rPr>
            </w:pPr>
          </w:p>
        </w:tc>
        <w:tc>
          <w:tcPr>
            <w:tcW w:w="7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07/19/2021</w:t>
            </w: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w w:val="98"/>
              </w:rPr>
              <w:t>01/21/2022</w:t>
            </w:r>
          </w:p>
        </w:tc>
        <w:tc>
          <w:tcPr>
            <w:tcW w:w="6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rPr>
              <w:t>6,683</w:t>
            </w: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right w:val="single" w:sz="8" w:color="2C2C2C"/>
            </w:tcBorders>
            <w:gridSpan w:val="3"/>
            <w:vMerge w:val="restart"/>
          </w:tcPr>
          <w:p>
            <w:pPr>
              <w:spacing w:after="0" w:line="14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tcPr>
          <w:p>
            <w:pPr>
              <w:ind w:left="40"/>
              <w:spacing w:after="0" w:line="64" w:lineRule="exact"/>
              <w:rPr>
                <w:sz w:val="20"/>
                <w:szCs w:val="20"/>
                <w:color w:val="auto"/>
              </w:rPr>
            </w:pPr>
            <w:r>
              <w:rPr>
                <w:rFonts w:ascii="Arial" w:cs="Arial" w:eastAsia="Arial" w:hAnsi="Arial"/>
                <w:sz w:val="7"/>
                <w:szCs w:val="7"/>
                <w:color w:val="0000FF"/>
              </w:rPr>
              <w:t>par value</w:t>
            </w: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ind w:left="400"/>
              <w:spacing w:after="0" w:line="64" w:lineRule="exact"/>
              <w:rPr>
                <w:sz w:val="20"/>
                <w:szCs w:val="20"/>
                <w:color w:val="auto"/>
              </w:rPr>
            </w:pPr>
            <w:r>
              <w:rPr>
                <w:rFonts w:ascii="Arial" w:cs="Arial" w:eastAsia="Arial" w:hAnsi="Arial"/>
                <w:sz w:val="7"/>
                <w:szCs w:val="7"/>
                <w:color w:val="0000FF"/>
              </w:rPr>
              <w:t>I</w:t>
            </w:r>
          </w:p>
        </w:tc>
        <w:tc>
          <w:tcPr>
            <w:tcW w:w="300" w:type="dxa"/>
            <w:vAlign w:val="bottom"/>
          </w:tcPr>
          <w:p>
            <w:pPr>
              <w:spacing w:after="0"/>
              <w:rPr>
                <w:sz w:val="5"/>
                <w:szCs w:val="5"/>
                <w:color w:val="auto"/>
              </w:rPr>
            </w:pPr>
          </w:p>
        </w:tc>
        <w:tc>
          <w:tcPr>
            <w:tcW w:w="6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to Buy)</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85"/>
              </w:rPr>
              <w:t>$0.0001</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right w:val="single" w:sz="8" w:color="2C2C2C"/>
            </w:tcBorders>
            <w:gridSpan w:val="3"/>
          </w:tcPr>
          <w:p>
            <w:pPr>
              <w:spacing w:after="0" w:line="128" w:lineRule="exact"/>
              <w:rPr>
                <w:sz w:val="20"/>
                <w:szCs w:val="20"/>
                <w:color w:val="auto"/>
              </w:rPr>
            </w:pPr>
            <w:r>
              <w:rPr>
                <w:rFonts w:ascii="Arial" w:cs="Arial" w:eastAsia="Arial" w:hAnsi="Arial"/>
                <w:sz w:val="13"/>
                <w:szCs w:val="13"/>
                <w:color w:val="0000FF"/>
              </w:rPr>
              <w:t>Master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per share</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7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tcPr>
          <w:p>
            <w:pPr>
              <w:ind w:left="20"/>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Luxor Capital Group, LP</w:t>
              </w:r>
            </w:hyperlink>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60" w:type="dxa"/>
            <w:vAlign w:val="bottom"/>
            <w:gridSpan w:val="6"/>
          </w:tcPr>
          <w:p>
            <w:pPr>
              <w:ind w:left="20"/>
              <w:spacing w:after="0"/>
              <w:rPr>
                <w:sz w:val="20"/>
                <w:szCs w:val="20"/>
                <w:color w:val="auto"/>
              </w:rPr>
            </w:pPr>
            <w:r>
              <w:rPr>
                <w:rFonts w:ascii="Arial" w:cs="Arial" w:eastAsia="Arial" w:hAnsi="Arial"/>
                <w:sz w:val="16"/>
                <w:szCs w:val="16"/>
                <w:color w:val="0000FF"/>
              </w:rPr>
              <w:t>1114 AVENUE OF THE AMERICAS</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color w:val="0000FF"/>
              </w:rPr>
              <w:t>28TH FLOOR</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color w:val="0000FF"/>
              </w:rPr>
              <w:t>NEW YORK</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40" w:type="dxa"/>
            <w:vAlign w:val="bottom"/>
            <w:gridSpan w:val="2"/>
          </w:tcPr>
          <w:p>
            <w:pPr>
              <w:ind w:left="380"/>
              <w:spacing w:after="0"/>
              <w:rPr>
                <w:sz w:val="20"/>
                <w:szCs w:val="20"/>
                <w:color w:val="auto"/>
              </w:rPr>
            </w:pPr>
            <w:r>
              <w:rPr>
                <w:rFonts w:ascii="Arial" w:cs="Arial" w:eastAsia="Arial" w:hAnsi="Arial"/>
                <w:sz w:val="16"/>
                <w:szCs w:val="16"/>
                <w:color w:val="0000FF"/>
              </w:rPr>
              <w:t>10036</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720" w:type="dxa"/>
            <w:vAlign w:val="bottom"/>
          </w:tcPr>
          <w:p>
            <w:pPr>
              <w:ind w:left="38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-3608705</wp:posOffset>
            </wp:positionV>
            <wp:extent cx="28575" cy="1983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83105"/>
                    </a:xfrm>
                    <a:prstGeom prst="rect">
                      <a:avLst/>
                    </a:prstGeom>
                    <a:noFill/>
                  </pic:spPr>
                </pic:pic>
              </a:graphicData>
            </a:graphic>
          </wp:anchor>
        </w:drawing>
      </w:r>
    </w:p>
    <w:p>
      <w:pPr>
        <w:spacing w:after="0" w:line="1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LCG HOLDINGS LLC</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1145" cy="7931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11145" cy="79317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660" w:type="dxa"/>
            <w:vAlign w:val="bottom"/>
            <w:gridSpan w:val="5"/>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28TH FLOOR</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460" w:type="dxa"/>
            <w:vAlign w:val="bottom"/>
            <w:gridSpan w:val="3"/>
          </w:tcPr>
          <w:p>
            <w:pPr>
              <w:ind w:left="22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80" w:type="dxa"/>
            <w:vAlign w:val="bottom"/>
          </w:tcPr>
          <w:p>
            <w:pPr>
              <w:spacing w:after="0"/>
              <w:rPr>
                <w:sz w:val="18"/>
                <w:szCs w:val="18"/>
                <w:color w:val="auto"/>
              </w:rPr>
            </w:pPr>
          </w:p>
        </w:tc>
        <w:tc>
          <w:tcPr>
            <w:tcW w:w="2660" w:type="dxa"/>
            <w:vAlign w:val="bottom"/>
            <w:gridSpan w:val="5"/>
          </w:tcPr>
          <w:p>
            <w:pPr>
              <w:ind w:left="20"/>
              <w:spacing w:after="0" w:line="209" w:lineRule="exact"/>
              <w:rPr>
                <w:rFonts w:ascii="Arial" w:cs="Arial" w:eastAsia="Arial" w:hAnsi="Arial"/>
                <w:sz w:val="20"/>
                <w:szCs w:val="20"/>
                <w:color w:val="0000EE"/>
              </w:rPr>
            </w:pPr>
            <w:hyperlink r:id="rId17">
              <w:r>
                <w:rPr>
                  <w:rFonts w:ascii="Arial" w:cs="Arial" w:eastAsia="Arial" w:hAnsi="Arial"/>
                  <w:sz w:val="20"/>
                  <w:szCs w:val="20"/>
                  <w:color w:val="0000EE"/>
                </w:rPr>
                <w:t>Luxor Wavefront, LP</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660" w:type="dxa"/>
            <w:vAlign w:val="bottom"/>
            <w:gridSpan w:val="5"/>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28TH FLOOR</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460" w:type="dxa"/>
            <w:vAlign w:val="bottom"/>
            <w:gridSpan w:val="3"/>
          </w:tcPr>
          <w:p>
            <w:pPr>
              <w:ind w:left="22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80" w:type="dxa"/>
            <w:vAlign w:val="bottom"/>
          </w:tcPr>
          <w:p>
            <w:pPr>
              <w:spacing w:after="0"/>
              <w:rPr>
                <w:sz w:val="18"/>
                <w:szCs w:val="18"/>
                <w:color w:val="auto"/>
              </w:rPr>
            </w:pPr>
          </w:p>
        </w:tc>
        <w:tc>
          <w:tcPr>
            <w:tcW w:w="2660" w:type="dxa"/>
            <w:vAlign w:val="bottom"/>
            <w:gridSpan w:val="5"/>
          </w:tcPr>
          <w:p>
            <w:pPr>
              <w:ind w:left="20"/>
              <w:spacing w:after="0" w:line="209" w:lineRule="exact"/>
              <w:rPr>
                <w:rFonts w:ascii="Arial" w:cs="Arial" w:eastAsia="Arial" w:hAnsi="Arial"/>
                <w:sz w:val="20"/>
                <w:szCs w:val="20"/>
                <w:color w:val="0000EE"/>
              </w:rPr>
            </w:pPr>
            <w:hyperlink r:id="rId18">
              <w:r>
                <w:rPr>
                  <w:rFonts w:ascii="Arial" w:cs="Arial" w:eastAsia="Arial" w:hAnsi="Arial"/>
                  <w:sz w:val="20"/>
                  <w:szCs w:val="20"/>
                  <w:color w:val="0000EE"/>
                </w:rPr>
                <w:t>Luxor Capital Partners, LP</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660" w:type="dxa"/>
            <w:vAlign w:val="bottom"/>
            <w:gridSpan w:val="5"/>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28TH FLOOR</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460" w:type="dxa"/>
            <w:vAlign w:val="bottom"/>
            <w:gridSpan w:val="3"/>
          </w:tcPr>
          <w:p>
            <w:pPr>
              <w:ind w:left="22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LUXOR CAPITAL PARTNERS OFFSHORE LTD</w:t>
        </w:r>
      </w:hyperlink>
    </w:p>
    <w:p>
      <w:pPr>
        <w:spacing w:after="0" w:line="29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MAPLES CORPORATE SERVICES LTD.</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PO BOX 309, UGLAND HOUSE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5"/>
        </w:trPr>
        <w:tc>
          <w:tcPr>
            <w:tcW w:w="8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color w:val="0000FF"/>
              </w:rPr>
              <w:t>GEORGE TOWN</w:t>
            </w:r>
          </w:p>
        </w:tc>
        <w:tc>
          <w:tcPr>
            <w:tcW w:w="1360" w:type="dxa"/>
            <w:vAlign w:val="bottom"/>
            <w:gridSpan w:val="2"/>
          </w:tcPr>
          <w:p>
            <w:pPr>
              <w:ind w:left="120"/>
              <w:spacing w:after="0"/>
              <w:rPr>
                <w:sz w:val="20"/>
                <w:szCs w:val="20"/>
                <w:color w:val="auto"/>
              </w:rPr>
            </w:pPr>
            <w:r>
              <w:rPr>
                <w:rFonts w:ascii="Arial" w:cs="Arial" w:eastAsia="Arial" w:hAnsi="Arial"/>
                <w:sz w:val="16"/>
                <w:szCs w:val="16"/>
                <w:color w:val="0000FF"/>
              </w:rPr>
              <w:t>E9</w:t>
            </w:r>
          </w:p>
        </w:tc>
        <w:tc>
          <w:tcPr>
            <w:tcW w:w="1620" w:type="dxa"/>
            <w:vAlign w:val="bottom"/>
            <w:gridSpan w:val="2"/>
          </w:tcPr>
          <w:p>
            <w:pPr>
              <w:ind w:left="160"/>
              <w:spacing w:after="0"/>
              <w:rPr>
                <w:sz w:val="20"/>
                <w:szCs w:val="20"/>
                <w:color w:val="auto"/>
              </w:rPr>
            </w:pPr>
            <w:r>
              <w:rPr>
                <w:rFonts w:ascii="Arial" w:cs="Arial" w:eastAsia="Arial" w:hAnsi="Arial"/>
                <w:sz w:val="16"/>
                <w:szCs w:val="16"/>
                <w:color w:val="0000FF"/>
              </w:rPr>
              <w:t>KY1-1104</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2"/>
        </w:trPr>
        <w:tc>
          <w:tcPr>
            <w:tcW w:w="2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80" w:type="dxa"/>
            <w:vAlign w:val="bottom"/>
          </w:tcPr>
          <w:p>
            <w:pPr>
              <w:spacing w:after="0"/>
              <w:rPr>
                <w:sz w:val="18"/>
                <w:szCs w:val="18"/>
                <w:color w:val="auto"/>
              </w:rPr>
            </w:pPr>
          </w:p>
        </w:tc>
        <w:tc>
          <w:tcPr>
            <w:tcW w:w="2660" w:type="dxa"/>
            <w:vAlign w:val="bottom"/>
            <w:gridSpan w:val="4"/>
          </w:tcPr>
          <w:p>
            <w:pPr>
              <w:ind w:left="20"/>
              <w:spacing w:after="0" w:line="209" w:lineRule="exact"/>
              <w:rPr>
                <w:rFonts w:ascii="Arial" w:cs="Arial" w:eastAsia="Arial" w:hAnsi="Arial"/>
                <w:sz w:val="20"/>
                <w:szCs w:val="20"/>
                <w:color w:val="0000EE"/>
                <w:w w:val="98"/>
              </w:rPr>
            </w:pPr>
            <w:hyperlink r:id="rId20">
              <w:r>
                <w:rPr>
                  <w:rFonts w:ascii="Arial" w:cs="Arial" w:eastAsia="Arial" w:hAnsi="Arial"/>
                  <w:sz w:val="20"/>
                  <w:szCs w:val="20"/>
                  <w:color w:val="0000EE"/>
                  <w:w w:val="98"/>
                </w:rPr>
                <w:t>Lugard Road Capital GP, LLC</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660" w:type="dxa"/>
            <w:vAlign w:val="bottom"/>
            <w:gridSpan w:val="4"/>
          </w:tcPr>
          <w:p>
            <w:pPr>
              <w:ind w:left="20"/>
              <w:spacing w:after="0"/>
              <w:rPr>
                <w:sz w:val="20"/>
                <w:szCs w:val="20"/>
                <w:color w:val="auto"/>
              </w:rPr>
            </w:pPr>
            <w:r>
              <w:rPr>
                <w:rFonts w:ascii="Arial" w:cs="Arial" w:eastAsia="Arial" w:hAnsi="Arial"/>
                <w:sz w:val="16"/>
                <w:szCs w:val="16"/>
                <w:color w:val="0000FF"/>
              </w:rPr>
              <w:t>1114 AVENUE OF THE AMERICAS</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color w:val="0000FF"/>
              </w:rPr>
              <w:t>28TH FLOOR</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360" w:type="dxa"/>
            <w:vAlign w:val="bottom"/>
            <w:gridSpan w:val="2"/>
          </w:tcPr>
          <w:p>
            <w:pPr>
              <w:ind w:left="120"/>
              <w:spacing w:after="0"/>
              <w:rPr>
                <w:sz w:val="20"/>
                <w:szCs w:val="20"/>
                <w:color w:val="auto"/>
              </w:rPr>
            </w:pPr>
            <w:r>
              <w:rPr>
                <w:rFonts w:ascii="Arial" w:cs="Arial" w:eastAsia="Arial" w:hAnsi="Arial"/>
                <w:sz w:val="16"/>
                <w:szCs w:val="16"/>
                <w:color w:val="0000FF"/>
              </w:rPr>
              <w:t>NY</w:t>
            </w:r>
          </w:p>
        </w:tc>
        <w:tc>
          <w:tcPr>
            <w:tcW w:w="1520" w:type="dxa"/>
            <w:vAlign w:val="bottom"/>
          </w:tcPr>
          <w:p>
            <w:pPr>
              <w:ind w:left="160"/>
              <w:spacing w:after="0"/>
              <w:rPr>
                <w:sz w:val="20"/>
                <w:szCs w:val="20"/>
                <w:color w:val="auto"/>
              </w:rPr>
            </w:pPr>
            <w:r>
              <w:rPr>
                <w:rFonts w:ascii="Arial" w:cs="Arial" w:eastAsia="Arial" w:hAnsi="Arial"/>
                <w:sz w:val="16"/>
                <w:szCs w:val="16"/>
                <w:color w:val="0000FF"/>
              </w:rPr>
              <w:t>10036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20" w:right="60" w:hanging="2"/>
        <w:spacing w:after="0" w:line="231"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jointly by Luxor Capital Group, LP ("Luxor Capital Group"), Luxor Capital Partners, LP ("Onshore Fund"), Luxor Capital Partners Offshore, Ltd. ("Offshore Feeder Fund"), Luxor Wavefront, LP ("Wavefront Fund"), LCG Holdings, LLC ("LCG Holdings"), Luxor Management, LLC ("Luxor Management"), Lugard Road Capital GP, LLC ("Lugard GP"), Jonathan Green and Christian Leone (collectively, the "Reporting Persons").</w:t>
      </w:r>
    </w:p>
    <w:p>
      <w:pPr>
        <w:spacing w:after="0" w:line="32" w:lineRule="exact"/>
        <w:rPr>
          <w:rFonts w:ascii="Arial" w:cs="Arial" w:eastAsia="Arial" w:hAnsi="Arial"/>
          <w:sz w:val="13"/>
          <w:szCs w:val="13"/>
          <w:color w:val="008000"/>
        </w:rPr>
      </w:pPr>
    </w:p>
    <w:p>
      <w:pPr>
        <w:ind w:left="20" w:right="100" w:hanging="2"/>
        <w:spacing w:after="0" w:line="291" w:lineRule="auto"/>
        <w:tabs>
          <w:tab w:leader="none" w:pos="14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of the Reporting Persons may be deemed to be a member of a Section 13(d) group that may be deemed to collectively beneficially own more than 10% of the Issuer's outstanding shares of Class A Common Stock. Each of the Reporting Persons disclaims beneficial ownership of the securities reported herein except to the extent of his or its pecuniary interest therein. The filing of this Form 4 shall not be deemed an admission that the Reporting Persons are, for purposes of Section 13(d) of the Securities Exchange Act of 1934, as amended, the beneficial owners of any securities of the Issuer he or it does not directly own.</w:t>
      </w:r>
    </w:p>
    <w:p>
      <w:pPr>
        <w:spacing w:after="0" w:line="3" w:lineRule="exact"/>
        <w:rPr>
          <w:rFonts w:ascii="Arial" w:cs="Arial" w:eastAsia="Arial" w:hAnsi="Arial"/>
          <w:sz w:val="11"/>
          <w:szCs w:val="11"/>
          <w:color w:val="008000"/>
        </w:rPr>
      </w:pPr>
    </w:p>
    <w:p>
      <w:pPr>
        <w:jc w:val="both"/>
        <w:ind w:left="20" w:right="20" w:hanging="2"/>
        <w:spacing w:after="0" w:line="231"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Onshore Fund. Each of LCG Holdings and Luxor Capital Group, as the general partner and investment manager, respectively, of Onshore Fund, may be deemed to beneficially own the securities owned directly by Onshore Fund. Luxor Management, as the general partner of Luxor Capital Group, and Christian Leone, as the managing member of each of LCG Holdings and Luxor Management, may be deemed to beneficially own the securities owned directly by Onshore Fund.</w:t>
      </w:r>
    </w:p>
    <w:p>
      <w:pPr>
        <w:spacing w:after="0" w:line="32" w:lineRule="exact"/>
        <w:rPr>
          <w:rFonts w:ascii="Arial" w:cs="Arial" w:eastAsia="Arial" w:hAnsi="Arial"/>
          <w:sz w:val="13"/>
          <w:szCs w:val="13"/>
          <w:color w:val="008000"/>
        </w:rPr>
      </w:pPr>
    </w:p>
    <w:p>
      <w:pPr>
        <w:jc w:val="both"/>
        <w:ind w:left="20" w:hanging="2"/>
        <w:spacing w:after="0" w:line="231"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owned directly by Wavefront Fund. Each of LCG Holdings and Luxor Capital Group, as the general partner and investment manager, respectively, of Wavefront Fund, may be deemed to beneficially own the securities owned directly by Wavefront Fund. Luxor Management, as the general partner of Luxor Capital Group, and Christian Leone, as the managing member of each of LCG Holdings and Luxor Management, may be deemed to beneficially own the securities owned directly by Wavefront Fund.</w:t>
      </w:r>
    </w:p>
    <w:p>
      <w:pPr>
        <w:spacing w:after="0" w:line="32" w:lineRule="exact"/>
        <w:rPr>
          <w:rFonts w:ascii="Arial" w:cs="Arial" w:eastAsia="Arial" w:hAnsi="Arial"/>
          <w:sz w:val="13"/>
          <w:szCs w:val="13"/>
          <w:color w:val="008000"/>
        </w:rPr>
      </w:pPr>
    </w:p>
    <w:p>
      <w:pPr>
        <w:jc w:val="both"/>
        <w:ind w:left="20" w:right="60" w:hanging="2"/>
        <w:spacing w:after="0" w:line="281" w:lineRule="auto"/>
        <w:tabs>
          <w:tab w:leader="none" w:pos="14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Securities owned directly by Luxor Capital Partners Offshore Master Fund, LP ("Offshore Master Fund"). Offshore Feeder Fund, as the owner of a controlling interest in Offshore Master Fund, may be deemed to beneficially own the securities owned directly by Offshore Master Fund. Each of LCG Holdings and Luxor Capital Group, as the general partner and investment manager, respectively, of Offshore Master Fund, may be deemed to beneficially own the securities owned directly by Offshore Master Fund. Luxor Management, as the general partner of Luxor Capital Group, and Christian Leone, as the managing member of each of LCG Holdings and Luxor Management, may be deemed to beneficially own the securities owned directly by Offshore Master Fund.</w:t>
      </w:r>
    </w:p>
    <w:p>
      <w:pPr>
        <w:spacing w:after="0" w:line="9" w:lineRule="exact"/>
        <w:rPr>
          <w:rFonts w:ascii="Arial" w:cs="Arial" w:eastAsia="Arial" w:hAnsi="Arial"/>
          <w:sz w:val="11"/>
          <w:szCs w:val="11"/>
          <w:color w:val="008000"/>
        </w:rPr>
      </w:pPr>
    </w:p>
    <w:p>
      <w:pPr>
        <w:ind w:left="20" w:right="140" w:hanging="2"/>
        <w:spacing w:after="0" w:line="281" w:lineRule="auto"/>
        <w:tabs>
          <w:tab w:leader="none" w:pos="14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Securities owned directly by Lugard Road Capital Master Fund, LP ("Lugard Master Fund"). Each of Lugard GP and Luxor Capital Group, as the general partner and investment manager, respectively of Lugard Master Fund, may be deemed to beneficially own the securities owned directly by Lugard Master Fund. Luxor Management, as the general partner of Luxor Capital Group, and Christian Leone, as the managing member of Luxor Management, and as a managing member and controlling person of Lugard GP, may be deemed to beneficially own the securities owned directly by Lugard Master Fund. Jonathan Green as a managing member and controlling person of Lugard GP may be deemed to beneficially own the securities owned by Lugard Master Fund.</w:t>
      </w:r>
    </w:p>
    <w:p>
      <w:pPr>
        <w:spacing w:after="0" w:line="9" w:lineRule="exact"/>
        <w:rPr>
          <w:rFonts w:ascii="Arial" w:cs="Arial" w:eastAsia="Arial" w:hAnsi="Arial"/>
          <w:sz w:val="11"/>
          <w:szCs w:val="11"/>
          <w:color w:val="008000"/>
        </w:rPr>
      </w:pPr>
    </w:p>
    <w:p>
      <w:pPr>
        <w:ind w:left="140" w:hanging="122"/>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For consistency the "Number of Derivative Securities Disposed of" as reported in column 5 of Table II are reported based on underlying holdings for each transaction and should be divided by 100.</w:t>
      </w:r>
    </w:p>
    <w:p>
      <w:pPr>
        <w:sectPr>
          <w:pgSz w:w="11900" w:h="16891" w:orient="portrait"/>
          <w:cols w:equalWidth="0" w:num="1">
            <w:col w:w="10840"/>
          </w:cols>
          <w:pgMar w:left="480" w:top="176" w:right="579" w:bottom="0" w:gutter="0" w:footer="0" w:header="0"/>
        </w:sectPr>
      </w:pPr>
    </w:p>
    <w:p>
      <w:pPr>
        <w:spacing w:after="0" w:line="74"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Arial" w:cs="Arial" w:eastAsia="Arial" w:hAnsi="Arial"/>
                <w:sz w:val="16"/>
                <w:szCs w:val="16"/>
                <w:color w:val="0000FF"/>
                <w:w w:val="98"/>
              </w:rPr>
              <w:t>LUXOR CAPITAL</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00FF"/>
              </w:rPr>
              <w:t>01/11/2022</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PARTNERS, LP By: LCG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-6985</wp:posOffset>
            </wp:positionV>
            <wp:extent cx="1094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Holdings,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04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ectPr>
          <w:pgSz w:w="11900" w:h="16891" w:orient="portrait"/>
          <w:cols w:equalWidth="0" w:num="1">
            <w:col w:w="10840"/>
          </w:cols>
          <w:pgMar w:left="480" w:top="176" w:right="579" w:bottom="0" w:gutter="0" w:footer="0" w:header="0"/>
          <w:type w:val="continuous"/>
        </w:sectPr>
      </w:pPr>
    </w:p>
    <w:bookmarkStart w:id="2" w:name="page3"/>
    <w:bookmarkEnd w:id="2"/>
    <w:p>
      <w:pPr>
        <w:ind w:left="6562"/>
        <w:spacing w:after="0"/>
        <w:rPr>
          <w:sz w:val="20"/>
          <w:szCs w:val="20"/>
          <w:color w:val="auto"/>
        </w:rPr>
      </w:pPr>
      <w:r>
        <w:rPr>
          <w:rFonts w:ascii="Arial" w:cs="Arial" w:eastAsia="Arial" w:hAnsi="Arial"/>
          <w:sz w:val="16"/>
          <w:szCs w:val="16"/>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184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Norris 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81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3390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909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LUXOR WAVEFRONT,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0</wp:posOffset>
            </wp:positionV>
            <wp:extent cx="134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LCG Holdings,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12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071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9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92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LUXOR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0</wp:posOffset>
            </wp:positionV>
            <wp:extent cx="1350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OFFSHORE, LTD. By: Luxor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522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Capital Group, LP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47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Manager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757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96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92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LUXOR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0</wp:posOffset>
            </wp:positionV>
            <wp:extent cx="1348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15"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Luxor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41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Partner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41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Nissim Name: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03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938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LCG 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307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Norris 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753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Nissim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56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LUXOR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3690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84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Norris 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811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339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909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LUGARD ROAD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204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GP, LLC 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2763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96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92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184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07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Jonathan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464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4643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By: /s/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1184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Norris Nissim as Agent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1207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663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673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8702" w:space="60"/>
            <w:col w:w="1199"/>
          </w:cols>
          <w:pgMar w:left="498" w:top="131" w:right="1440" w:bottom="1440" w:gutter="0" w:footer="0" w:header="0"/>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719" w:hanging="2"/>
        <w:spacing w:after="0" w:line="352"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12" Type="http://schemas.openxmlformats.org/officeDocument/2006/relationships/hyperlink" Target="http://www.sec.gov/cgi-bin/browse-edgar?action=getcompany&amp;CIK=0001316580" TargetMode="External"/><Relationship Id="rId13" Type="http://schemas.openxmlformats.org/officeDocument/2006/relationships/hyperlink" Target="http://www.sec.gov/cgi-bin/browse-edgar?action=getcompany&amp;CIK=0001779474" TargetMode="External"/><Relationship Id="rId15" Type="http://schemas.openxmlformats.org/officeDocument/2006/relationships/hyperlink" Target="http://www.sec.gov/cgi-bin/browse-edgar?action=getcompany&amp;CIK=0001270742" TargetMode="External"/><Relationship Id="rId17" Type="http://schemas.openxmlformats.org/officeDocument/2006/relationships/hyperlink" Target="http://www.sec.gov/cgi-bin/browse-edgar?action=getcompany&amp;CIK=0001479129" TargetMode="External"/><Relationship Id="rId18" Type="http://schemas.openxmlformats.org/officeDocument/2006/relationships/hyperlink" Target="http://www.sec.gov/cgi-bin/browse-edgar?action=getcompany&amp;CIK=0001393021" TargetMode="External"/><Relationship Id="rId19" Type="http://schemas.openxmlformats.org/officeDocument/2006/relationships/hyperlink" Target="http://www.sec.gov/cgi-bin/browse-edgar?action=getcompany&amp;CIK=0001356913" TargetMode="External"/><Relationship Id="rId20" Type="http://schemas.openxmlformats.org/officeDocument/2006/relationships/hyperlink" Target="http://www.sec.gov/cgi-bin/browse-edgar?action=getcompany&amp;CIK=0001731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2022-01-11T20:38:39Z</dcterms:created>
  <dcterms:modified xsi:type="dcterms:W3CDTF">2022-01-11T20:38:39Z</dcterms:modified>
</cp:coreProperties>
</file>