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1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(Amendment No. )*</w:t>
      </w:r>
    </w:p>
    <w:p>
      <w:pPr>
        <w:spacing w:after="0" w:line="396"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Class A Ordinary Shares,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G8136L106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180" w:firstLine="4"/>
        <w:spacing w:after="0" w:line="500" w:lineRule="auto"/>
        <w:tabs>
          <w:tab w:leader="none" w:pos="15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 [_] Rule 13d-1(c)</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Rule 13d-1(d)</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w:t>
      </w:r>
    </w:p>
    <w:p>
      <w:pPr>
        <w:spacing w:after="0" w:line="200" w:lineRule="exact"/>
        <w:rPr>
          <w:sz w:val="24"/>
          <w:szCs w:val="24"/>
          <w:color w:val="auto"/>
        </w:rPr>
      </w:pPr>
    </w:p>
    <w:p>
      <w:pPr>
        <w:spacing w:after="0" w:line="246" w:lineRule="exact"/>
        <w:rPr>
          <w:sz w:val="24"/>
          <w:szCs w:val="24"/>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800"/>
          </w:cols>
          <w:pgMar w:left="320" w:top="441" w:right="779" w:bottom="1440" w:gutter="0" w:footer="0" w:header="0"/>
        </w:sectPr>
      </w:pPr>
    </w:p>
    <w:bookmarkStart w:id="1" w:name="page2"/>
    <w:bookmarkEnd w:id="1"/>
    <w:p>
      <w:pPr>
        <w:ind w:left="1240"/>
        <w:spacing w:after="0"/>
        <w:rPr>
          <w:sz w:val="20"/>
          <w:szCs w:val="20"/>
          <w:color w:val="auto"/>
        </w:rPr>
      </w:pPr>
      <w:r>
        <w:rPr>
          <w:rFonts w:ascii="Times New Roman" w:cs="Times New Roman" w:eastAsia="Times New Roman" w:hAnsi="Times New Roman"/>
          <w:sz w:val="18"/>
          <w:szCs w:val="18"/>
          <w:color w:val="auto"/>
        </w:rPr>
        <w:t>G8136L106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5715</wp:posOffset>
            </wp:positionV>
            <wp:extent cx="199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1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Bloom Tree Partners, LLC</w:t>
      </w: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6040" w:hanging="895"/>
        <w:spacing w:after="0" w:line="53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00" w:right="786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758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1,682,937</w:t>
      </w:r>
    </w:p>
    <w:p>
      <w:pPr>
        <w:spacing w:after="0" w:line="1" w:lineRule="exact"/>
        <w:rPr>
          <w:rFonts w:ascii="Times New Roman" w:cs="Times New Roman" w:eastAsia="Times New Roman" w:hAnsi="Times New Roman"/>
          <w:sz w:val="18"/>
          <w:szCs w:val="18"/>
          <w:color w:val="auto"/>
        </w:rPr>
      </w:pPr>
    </w:p>
    <w:p>
      <w:pPr>
        <w:ind w:left="900" w:right="746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18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1,682,937</w:t>
      </w:r>
    </w:p>
    <w:p>
      <w:pPr>
        <w:spacing w:after="0" w:line="1" w:lineRule="exact"/>
        <w:rPr>
          <w:rFonts w:ascii="Times New Roman" w:cs="Times New Roman" w:eastAsia="Times New Roman" w:hAnsi="Times New Roman"/>
          <w:sz w:val="18"/>
          <w:szCs w:val="18"/>
          <w:color w:val="auto"/>
        </w:rPr>
      </w:pPr>
    </w:p>
    <w:p>
      <w:pPr>
        <w:ind w:left="900" w:right="3160" w:hanging="895"/>
        <w:spacing w:after="0" w:line="50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1,682,937</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66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6.73%</w:t>
      </w:r>
    </w:p>
    <w:p>
      <w:pPr>
        <w:spacing w:after="0" w:line="1" w:lineRule="exact"/>
        <w:rPr>
          <w:rFonts w:ascii="Times New Roman" w:cs="Times New Roman" w:eastAsia="Times New Roman" w:hAnsi="Times New Roman"/>
          <w:sz w:val="18"/>
          <w:szCs w:val="18"/>
          <w:color w:val="auto"/>
        </w:rPr>
      </w:pPr>
    </w:p>
    <w:p>
      <w:pPr>
        <w:ind w:left="900" w:right="5380" w:hanging="895"/>
        <w:spacing w:after="0" w:line="53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132080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20"/>
          </w:cols>
          <w:pgMar w:left="420" w:top="1120" w:right="859" w:bottom="1440" w:gutter="0" w:footer="0" w:header="0"/>
        </w:sectPr>
      </w:pPr>
    </w:p>
    <w:bookmarkStart w:id="2" w:name="page3"/>
    <w:bookmarkEnd w:id="2"/>
    <w:p>
      <w:pPr>
        <w:ind w:left="1240"/>
        <w:spacing w:after="0"/>
        <w:rPr>
          <w:sz w:val="20"/>
          <w:szCs w:val="20"/>
          <w:color w:val="auto"/>
        </w:rPr>
      </w:pPr>
      <w:r>
        <w:rPr>
          <w:rFonts w:ascii="Times New Roman" w:cs="Times New Roman" w:eastAsia="Times New Roman" w:hAnsi="Times New Roman"/>
          <w:sz w:val="18"/>
          <w:szCs w:val="18"/>
          <w:color w:val="auto"/>
        </w:rPr>
        <w:t>G8136L106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5715</wp:posOffset>
            </wp:positionV>
            <wp:extent cx="1997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460" w:right="46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Alok Agrawal</w:t>
      </w: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460" w:hanging="455"/>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right="8320" w:hanging="455"/>
        <w:spacing w:after="0" w:line="50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460" w:right="8040" w:hanging="455"/>
        <w:spacing w:after="0" w:line="50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1,682,937</w:t>
      </w:r>
    </w:p>
    <w:p>
      <w:pPr>
        <w:spacing w:after="0" w:line="1" w:lineRule="exact"/>
        <w:rPr>
          <w:rFonts w:ascii="Times New Roman" w:cs="Times New Roman" w:eastAsia="Times New Roman" w:hAnsi="Times New Roman"/>
          <w:sz w:val="18"/>
          <w:szCs w:val="18"/>
          <w:color w:val="auto"/>
        </w:rPr>
      </w:pPr>
    </w:p>
    <w:p>
      <w:pPr>
        <w:ind w:left="460" w:right="7920" w:hanging="455"/>
        <w:spacing w:after="0" w:line="50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460" w:right="7640" w:hanging="455"/>
        <w:spacing w:after="0" w:line="50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1,682,937</w:t>
      </w:r>
    </w:p>
    <w:p>
      <w:pPr>
        <w:spacing w:after="0" w:line="1" w:lineRule="exact"/>
        <w:rPr>
          <w:rFonts w:ascii="Times New Roman" w:cs="Times New Roman" w:eastAsia="Times New Roman" w:hAnsi="Times New Roman"/>
          <w:sz w:val="18"/>
          <w:szCs w:val="18"/>
          <w:color w:val="auto"/>
        </w:rPr>
      </w:pPr>
    </w:p>
    <w:p>
      <w:pPr>
        <w:ind w:left="460" w:right="3620" w:hanging="455"/>
        <w:spacing w:after="0" w:line="50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1,682,937</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460" w:right="5120" w:hanging="455"/>
        <w:spacing w:after="0" w:line="50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6.73%</w:t>
      </w:r>
    </w:p>
    <w:p>
      <w:pPr>
        <w:spacing w:after="0" w:line="1" w:lineRule="exact"/>
        <w:rPr>
          <w:rFonts w:ascii="Times New Roman" w:cs="Times New Roman" w:eastAsia="Times New Roman" w:hAnsi="Times New Roman"/>
          <w:sz w:val="18"/>
          <w:szCs w:val="18"/>
          <w:color w:val="auto"/>
        </w:rPr>
      </w:pPr>
    </w:p>
    <w:p>
      <w:pPr>
        <w:ind w:left="460" w:right="5840" w:hanging="455"/>
        <w:spacing w:after="0" w:line="53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252095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640"/>
          </w:cols>
          <w:pgMar w:left="420" w:top="904" w:right="83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34"/>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CUSIP No</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G8136L106</w:t>
            </w: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Silver Spike Acquisition Corp.</w:t>
            </w:r>
          </w:p>
        </w:tc>
        <w:tc>
          <w:tcPr>
            <w:tcW w:w="0" w:type="dxa"/>
            <w:vAlign w:val="bottom"/>
          </w:tcPr>
          <w:p>
            <w:pPr>
              <w:spacing w:after="0"/>
              <w:rPr>
                <w:sz w:val="1"/>
                <w:szCs w:val="1"/>
                <w:color w:val="auto"/>
              </w:rPr>
            </w:pPr>
          </w:p>
        </w:tc>
      </w:tr>
      <w:tr>
        <w:trPr>
          <w:trHeight w:val="425"/>
        </w:trPr>
        <w:tc>
          <w:tcPr>
            <w:tcW w:w="84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0" w:type="dxa"/>
            <w:vAlign w:val="bottom"/>
          </w:tcPr>
          <w:p>
            <w:pPr>
              <w:spacing w:after="0"/>
              <w:rPr>
                <w:sz w:val="1"/>
                <w:szCs w:val="1"/>
                <w:color w:val="auto"/>
              </w:rPr>
            </w:pPr>
          </w:p>
        </w:tc>
      </w:tr>
      <w:tr>
        <w:trPr>
          <w:trHeight w:val="414"/>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600 Madison Avenue, Floor 17</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c>
          <w:tcPr>
            <w:tcW w:w="0" w:type="dxa"/>
            <w:vAlign w:val="bottom"/>
          </w:tcPr>
          <w:p>
            <w:pPr>
              <w:spacing w:after="0"/>
              <w:rPr>
                <w:sz w:val="1"/>
                <w:szCs w:val="1"/>
                <w:color w:val="auto"/>
              </w:rPr>
            </w:pPr>
          </w:p>
        </w:tc>
      </w:tr>
      <w:tr>
        <w:trPr>
          <w:trHeight w:val="64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person filing:</w:t>
            </w:r>
          </w:p>
        </w:tc>
        <w:tc>
          <w:tcPr>
            <w:tcW w:w="0" w:type="dxa"/>
            <w:vAlign w:val="bottom"/>
          </w:tcPr>
          <w:p>
            <w:pPr>
              <w:spacing w:after="0"/>
              <w:rPr>
                <w:sz w:val="1"/>
                <w:szCs w:val="1"/>
                <w:color w:val="auto"/>
              </w:rPr>
            </w:pPr>
          </w:p>
        </w:tc>
      </w:tr>
      <w:tr>
        <w:trPr>
          <w:trHeight w:val="414"/>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Bloom Tree Partners, LLC</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Alok Agrawal</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4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4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414"/>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Bloom Tree Partners, LLC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 Park Avenue, 48th Floor</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New York 10178</w:t>
            </w:r>
          </w:p>
        </w:tc>
        <w:tc>
          <w:tcPr>
            <w:tcW w:w="0" w:type="dxa"/>
            <w:vAlign w:val="bottom"/>
          </w:tcPr>
          <w:p>
            <w:pPr>
              <w:spacing w:after="0"/>
              <w:rPr>
                <w:sz w:val="1"/>
                <w:szCs w:val="1"/>
                <w:color w:val="auto"/>
              </w:rPr>
            </w:pPr>
          </w:p>
        </w:tc>
      </w:tr>
      <w:tr>
        <w:trPr>
          <w:trHeight w:val="414"/>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Alok Agrawal</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 Bloom Tree Partners, LLC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 Park Avenue, 48th Floor</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York, New York 10178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137160</wp:posOffset>
            </wp:positionV>
            <wp:extent cx="5417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00"/>
        <w:spacing w:after="0"/>
        <w:tabs>
          <w:tab w:leader="none" w:pos="16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Bloom Tree Partners, LLC – Delaware</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Alok Agrawal –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142875</wp:posOffset>
            </wp:positionV>
            <wp:extent cx="54178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00"/>
        <w:spacing w:after="0"/>
        <w:tabs>
          <w:tab w:leader="none" w:pos="16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Class A Ordinary Shares, $0.0001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5417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19" w:lineRule="exact"/>
        <w:rPr>
          <w:sz w:val="20"/>
          <w:szCs w:val="20"/>
          <w:color w:val="auto"/>
        </w:rPr>
      </w:pPr>
    </w:p>
    <w:p>
      <w:pPr>
        <w:jc w:val="right"/>
        <w:ind w:right="8680"/>
        <w:spacing w:after="0"/>
        <w:tabs>
          <w:tab w:leader="none" w:pos="954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CUSIP No.:</w:t>
      </w:r>
    </w:p>
    <w:p>
      <w:pPr>
        <w:spacing w:after="0" w:line="225" w:lineRule="exact"/>
        <w:rPr>
          <w:sz w:val="20"/>
          <w:szCs w:val="20"/>
          <w:color w:val="auto"/>
        </w:rPr>
      </w:pPr>
    </w:p>
    <w:p>
      <w:pPr>
        <w:jc w:val="right"/>
        <w:ind w:right="8680"/>
        <w:spacing w:after="0"/>
        <w:rPr>
          <w:sz w:val="20"/>
          <w:szCs w:val="20"/>
          <w:color w:val="auto"/>
        </w:rPr>
      </w:pPr>
      <w:r>
        <w:rPr>
          <w:rFonts w:ascii="Times New Roman" w:cs="Times New Roman" w:eastAsia="Times New Roman" w:hAnsi="Times New Roman"/>
          <w:sz w:val="18"/>
          <w:szCs w:val="18"/>
          <w:color w:val="auto"/>
        </w:rPr>
        <w:t>G8136L106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5417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If this Statement is filed pursuant to §§240.13d-1(b) or 240.13d-2(b), or (c), check whether the person filing is 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20" w:type="dxa"/>
            <w:vAlign w:val="bottom"/>
          </w:tcPr>
          <w:p>
            <w:pPr>
              <w:spacing w:after="0"/>
              <w:rPr>
                <w:sz w:val="18"/>
                <w:szCs w:val="18"/>
                <w:color w:val="auto"/>
              </w:rPr>
            </w:pPr>
          </w:p>
        </w:tc>
        <w:tc>
          <w:tcPr>
            <w:tcW w:w="8020" w:type="dxa"/>
            <w:vAlign w:val="bottom"/>
          </w:tcPr>
          <w:p>
            <w:pPr>
              <w:spacing w:after="0"/>
              <w:rPr>
                <w:sz w:val="18"/>
                <w:szCs w:val="18"/>
                <w:color w:val="auto"/>
              </w:rPr>
            </w:pPr>
          </w:p>
        </w:tc>
      </w:tr>
      <w:tr>
        <w:trPr>
          <w:trHeight w:val="234"/>
        </w:trPr>
        <w:tc>
          <w:tcPr>
            <w:tcW w:w="1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[_]</w:t>
            </w: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78c).</w:t>
            </w:r>
          </w:p>
        </w:tc>
      </w:tr>
      <w:tr>
        <w:trPr>
          <w:trHeight w:val="432"/>
        </w:trPr>
        <w:tc>
          <w:tcPr>
            <w:tcW w:w="1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[_]</w:t>
            </w: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32"/>
        </w:trPr>
        <w:tc>
          <w:tcPr>
            <w:tcW w:w="1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[_]</w:t>
            </w: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32"/>
        </w:trPr>
        <w:tc>
          <w:tcPr>
            <w:tcW w:w="1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[_]</w:t>
            </w: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r>
        <w:trPr>
          <w:trHeight w:val="432"/>
        </w:trPr>
        <w:tc>
          <w:tcPr>
            <w:tcW w:w="1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r>
      <w:tr>
        <w:trPr>
          <w:trHeight w:val="432"/>
        </w:trPr>
        <w:tc>
          <w:tcPr>
            <w:tcW w:w="1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[_]</w:t>
            </w: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432"/>
        </w:trPr>
        <w:tc>
          <w:tcPr>
            <w:tcW w:w="1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§240.13d-1(b)(1)(ii)(G);</w:t>
            </w:r>
          </w:p>
        </w:tc>
      </w:tr>
      <w:tr>
        <w:trPr>
          <w:trHeight w:val="432"/>
        </w:trPr>
        <w:tc>
          <w:tcPr>
            <w:tcW w:w="16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(h)</w:t>
            </w: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[_]</w:t>
            </w:r>
          </w:p>
        </w:tc>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U.S.C.1813);</w:t>
            </w:r>
          </w:p>
        </w:tc>
      </w:tr>
    </w:tbl>
    <w:p>
      <w:pPr>
        <w:spacing w:after="0" w:line="198" w:lineRule="exact"/>
        <w:rPr>
          <w:sz w:val="20"/>
          <w:szCs w:val="20"/>
          <w:color w:val="auto"/>
        </w:rPr>
      </w:pPr>
    </w:p>
    <w:p>
      <w:pPr>
        <w:ind w:left="2780" w:hanging="1494"/>
        <w:spacing w:after="0" w:line="282" w:lineRule="auto"/>
        <w:tabs>
          <w:tab w:leader="none" w:pos="19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spacing w:after="0" w:line="162" w:lineRule="exact"/>
        <w:rPr>
          <w:sz w:val="20"/>
          <w:szCs w:val="20"/>
          <w:color w:val="auto"/>
        </w:rPr>
      </w:pPr>
    </w:p>
    <w:p>
      <w:pPr>
        <w:ind w:left="1280"/>
        <w:spacing w:after="0"/>
        <w:tabs>
          <w:tab w:leader="none" w:pos="1940" w:val="left"/>
          <w:tab w:leader="none" w:pos="278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8"/>
          <w:szCs w:val="18"/>
          <w:color w:val="auto"/>
        </w:rPr>
        <w:t>[_]</w:t>
      </w:r>
      <w:r>
        <w:rPr>
          <w:sz w:val="20"/>
          <w:szCs w:val="20"/>
          <w:color w:val="auto"/>
        </w:rPr>
        <w:tab/>
      </w:r>
      <w:r>
        <w:rPr>
          <w:rFonts w:ascii="Times New Roman" w:cs="Times New Roman" w:eastAsia="Times New Roman" w:hAnsi="Times New Roman"/>
          <w:sz w:val="17"/>
          <w:szCs w:val="17"/>
          <w:color w:val="auto"/>
        </w:rPr>
        <w:t>A non-U.S. institution in accordance with §240.13d-1(b)(1)(ii)(J);</w:t>
      </w:r>
    </w:p>
    <w:p>
      <w:pPr>
        <w:spacing w:after="0" w:line="225" w:lineRule="exact"/>
        <w:rPr>
          <w:sz w:val="20"/>
          <w:szCs w:val="20"/>
          <w:color w:val="auto"/>
        </w:rPr>
      </w:pPr>
    </w:p>
    <w:p>
      <w:pPr>
        <w:ind w:left="1960" w:hanging="693"/>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[_]Group, in accordance with §240.13d-1(b)(1)(ii)(K). If filing as a non-U.S. institution in accordance with §240.13d-</w:t>
      </w:r>
    </w:p>
    <w:p>
      <w:pPr>
        <w:spacing w:after="0" w:line="27" w:lineRule="exact"/>
        <w:rPr>
          <w:rFonts w:ascii="Times New Roman" w:cs="Times New Roman" w:eastAsia="Times New Roman" w:hAnsi="Times New Roman"/>
          <w:sz w:val="18"/>
          <w:szCs w:val="18"/>
          <w:color w:val="auto"/>
        </w:rPr>
      </w:pPr>
    </w:p>
    <w:p>
      <w:pPr>
        <w:ind w:left="2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1(b)(1)(ii)(J), please specify the type of institution:</w:t>
      </w:r>
    </w:p>
    <w:p>
      <w:pPr>
        <w:sectPr>
          <w:pgSz w:w="11900" w:h="16838" w:orient="portrait"/>
          <w:cols w:equalWidth="0" w:num="1">
            <w:col w:w="11240"/>
          </w:cols>
          <w:pgMar w:left="320" w:top="1120" w:right="339" w:bottom="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9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ectPr>
          <w:pgSz w:w="11900" w:h="16838" w:orient="portrait"/>
          <w:cols w:equalWidth="0" w:num="1">
            <w:col w:w="11100"/>
          </w:cols>
          <w:pgMar w:left="420" w:top="1120" w:right="379" w:bottom="1440" w:gutter="0" w:footer="0" w:header="0"/>
        </w:sectPr>
      </w:pPr>
    </w:p>
    <w:p>
      <w:pPr>
        <w:spacing w:after="0" w:line="237" w:lineRule="exact"/>
        <w:rPr>
          <w:sz w:val="20"/>
          <w:szCs w:val="20"/>
          <w:color w:val="auto"/>
        </w:rPr>
      </w:pPr>
    </w:p>
    <w:p>
      <w:pPr>
        <w:ind w:left="1500" w:hanging="509"/>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Bloom Tree Partners, LLC: 1,682,937</w:t>
      </w:r>
    </w:p>
    <w:p>
      <w:pPr>
        <w:spacing w:after="0" w:line="2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Alok Agrawal: 1,682,937</w:t>
      </w:r>
    </w:p>
    <w:p>
      <w:pPr>
        <w:spacing w:after="0" w:line="220" w:lineRule="exact"/>
        <w:rPr>
          <w:rFonts w:ascii="Times New Roman" w:cs="Times New Roman" w:eastAsia="Times New Roman" w:hAnsi="Times New Roman"/>
          <w:sz w:val="18"/>
          <w:szCs w:val="18"/>
          <w:color w:val="auto"/>
        </w:rPr>
      </w:pPr>
    </w:p>
    <w:p>
      <w:pPr>
        <w:ind w:left="1500" w:hanging="509"/>
        <w:spacing w:after="0"/>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Bloom Tree Partners, LLC: 6.73%</w:t>
      </w:r>
    </w:p>
    <w:p>
      <w:pPr>
        <w:spacing w:after="0" w:line="2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Alok Agrawal: 6.73%</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1460" w:hanging="483"/>
        <w:spacing w:after="0"/>
        <w:tabs>
          <w:tab w:leader="none" w:pos="1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Bloom Tree Partners, LLC has:</w:t>
      </w:r>
    </w:p>
    <w:p>
      <w:pPr>
        <w:spacing w:after="0" w:line="236" w:lineRule="exact"/>
        <w:rPr>
          <w:rFonts w:ascii="Times New Roman" w:cs="Times New Roman" w:eastAsia="Times New Roman" w:hAnsi="Times New Roman"/>
          <w:sz w:val="17"/>
          <w:szCs w:val="17"/>
          <w:color w:val="auto"/>
        </w:rPr>
      </w:pPr>
    </w:p>
    <w:p>
      <w:pPr>
        <w:ind w:left="2020" w:hanging="557"/>
        <w:spacing w:after="0"/>
        <w:tabs>
          <w:tab w:leader="none" w:pos="202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8" w:lineRule="exact"/>
        <w:rPr>
          <w:rFonts w:ascii="Times New Roman" w:cs="Times New Roman" w:eastAsia="Times New Roman" w:hAnsi="Times New Roman"/>
          <w:sz w:val="18"/>
          <w:szCs w:val="18"/>
          <w:color w:val="auto"/>
        </w:rPr>
      </w:pPr>
    </w:p>
    <w:p>
      <w:pPr>
        <w:ind w:left="2020" w:hanging="557"/>
        <w:spacing w:after="0"/>
        <w:tabs>
          <w:tab w:leader="none" w:pos="202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38" w:lineRule="exact"/>
        <w:rPr>
          <w:rFonts w:ascii="Times New Roman" w:cs="Times New Roman" w:eastAsia="Times New Roman" w:hAnsi="Times New Roman"/>
          <w:sz w:val="18"/>
          <w:szCs w:val="18"/>
          <w:color w:val="auto"/>
        </w:rPr>
      </w:pPr>
    </w:p>
    <w:p>
      <w:pPr>
        <w:ind w:left="2020" w:hanging="557"/>
        <w:spacing w:after="0"/>
        <w:tabs>
          <w:tab w:leader="none" w:pos="202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38" w:lineRule="exact"/>
        <w:rPr>
          <w:rFonts w:ascii="Times New Roman" w:cs="Times New Roman" w:eastAsia="Times New Roman" w:hAnsi="Times New Roman"/>
          <w:sz w:val="18"/>
          <w:szCs w:val="18"/>
          <w:color w:val="auto"/>
        </w:rPr>
      </w:pPr>
    </w:p>
    <w:p>
      <w:pPr>
        <w:ind w:left="1320" w:right="3040" w:firstLine="143"/>
        <w:spacing w:after="0" w:line="508" w:lineRule="auto"/>
        <w:tabs>
          <w:tab w:leader="none" w:pos="2022"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Number of shares as to which Alok Agrawal has:</w:t>
      </w:r>
    </w:p>
    <w:p>
      <w:pPr>
        <w:spacing w:after="0" w:line="1" w:lineRule="exact"/>
        <w:rPr>
          <w:rFonts w:ascii="Times New Roman" w:cs="Times New Roman" w:eastAsia="Times New Roman" w:hAnsi="Times New Roman"/>
          <w:sz w:val="18"/>
          <w:szCs w:val="18"/>
          <w:color w:val="auto"/>
        </w:rPr>
      </w:pPr>
    </w:p>
    <w:p>
      <w:pPr>
        <w:ind w:left="1860" w:hanging="545"/>
        <w:spacing w:after="0"/>
        <w:tabs>
          <w:tab w:leader="none" w:pos="18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38" w:lineRule="exact"/>
        <w:rPr>
          <w:rFonts w:ascii="Times New Roman" w:cs="Times New Roman" w:eastAsia="Times New Roman" w:hAnsi="Times New Roman"/>
          <w:sz w:val="18"/>
          <w:szCs w:val="18"/>
          <w:color w:val="auto"/>
        </w:rPr>
      </w:pPr>
    </w:p>
    <w:p>
      <w:pPr>
        <w:ind w:left="1860" w:hanging="545"/>
        <w:spacing w:after="0"/>
        <w:tabs>
          <w:tab w:leader="none" w:pos="18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38" w:lineRule="exact"/>
        <w:rPr>
          <w:rFonts w:ascii="Times New Roman" w:cs="Times New Roman" w:eastAsia="Times New Roman" w:hAnsi="Times New Roman"/>
          <w:sz w:val="18"/>
          <w:szCs w:val="18"/>
          <w:color w:val="auto"/>
        </w:rPr>
      </w:pPr>
    </w:p>
    <w:p>
      <w:pPr>
        <w:ind w:left="1860" w:hanging="545"/>
        <w:spacing w:after="0"/>
        <w:tabs>
          <w:tab w:leader="none" w:pos="18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38" w:lineRule="exact"/>
        <w:rPr>
          <w:rFonts w:ascii="Times New Roman" w:cs="Times New Roman" w:eastAsia="Times New Roman" w:hAnsi="Times New Roman"/>
          <w:sz w:val="18"/>
          <w:szCs w:val="18"/>
          <w:color w:val="auto"/>
        </w:rPr>
      </w:pPr>
    </w:p>
    <w:p>
      <w:pPr>
        <w:ind w:left="1860" w:hanging="545"/>
        <w:spacing w:after="0"/>
        <w:tabs>
          <w:tab w:leader="none" w:pos="18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-2931160</wp:posOffset>
            </wp:positionV>
            <wp:extent cx="6189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-3625215</wp:posOffset>
            </wp:positionV>
            <wp:extent cx="6189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317500</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spacing w:after="0"/>
        <w:tabs>
          <w:tab w:leader="none" w:pos="900" w:val="left"/>
        </w:tabs>
        <w:rPr>
          <w:sz w:val="20"/>
          <w:szCs w:val="20"/>
          <w:color w:val="auto"/>
        </w:rPr>
      </w:pPr>
      <w:r>
        <w:rPr>
          <w:rFonts w:ascii="Times New Roman" w:cs="Times New Roman" w:eastAsia="Times New Roman" w:hAnsi="Times New Roman"/>
          <w:sz w:val="16"/>
          <w:szCs w:val="16"/>
          <w:color w:val="auto"/>
        </w:rPr>
        <w:t>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31750</wp:posOffset>
            </wp:positionV>
            <wp:extent cx="17576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242" w:lineRule="exact"/>
        <w:rPr>
          <w:sz w:val="20"/>
          <w:szCs w:val="20"/>
          <w:color w:val="auto"/>
        </w:rPr>
      </w:pPr>
    </w:p>
    <w:p>
      <w:pPr>
        <w:jc w:val="both"/>
        <w:spacing w:after="0"/>
        <w:tabs>
          <w:tab w:leader="none" w:pos="900" w:val="left"/>
        </w:tabs>
        <w:rPr>
          <w:sz w:val="20"/>
          <w:szCs w:val="20"/>
          <w:color w:val="auto"/>
        </w:rPr>
      </w:pPr>
      <w:r>
        <w:rPr>
          <w:rFonts w:ascii="Times New Roman" w:cs="Times New Roman" w:eastAsia="Times New Roman" w:hAnsi="Times New Roman"/>
          <w:sz w:val="18"/>
          <w:szCs w:val="18"/>
          <w:color w:val="auto"/>
        </w:rPr>
        <w:t>1,682,937</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17145</wp:posOffset>
            </wp:positionV>
            <wp:extent cx="1757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219" w:lineRule="exact"/>
        <w:rPr>
          <w:sz w:val="20"/>
          <w:szCs w:val="20"/>
          <w:color w:val="auto"/>
        </w:rPr>
      </w:pPr>
    </w:p>
    <w:p>
      <w:pPr>
        <w:ind w:left="640"/>
        <w:spacing w:after="0"/>
        <w:tabs>
          <w:tab w:leader="none" w:pos="900" w:val="left"/>
        </w:tabs>
        <w:rPr>
          <w:sz w:val="20"/>
          <w:szCs w:val="20"/>
          <w:color w:val="auto"/>
        </w:rPr>
      </w:pPr>
      <w:r>
        <w:rPr>
          <w:rFonts w:ascii="Times New Roman" w:cs="Times New Roman" w:eastAsia="Times New Roman" w:hAnsi="Times New Roman"/>
          <w:sz w:val="16"/>
          <w:szCs w:val="16"/>
          <w:color w:val="auto"/>
        </w:rPr>
        <w:t>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31750</wp:posOffset>
            </wp:positionV>
            <wp:extent cx="1757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2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color w:val="auto"/>
        </w:rPr>
        <w:t>1,682,937</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31750</wp:posOffset>
            </wp:positionV>
            <wp:extent cx="13373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spacing w:after="0"/>
        <w:tabs>
          <w:tab w:leader="none" w:pos="900" w:val="left"/>
        </w:tabs>
        <w:rPr>
          <w:sz w:val="20"/>
          <w:szCs w:val="20"/>
          <w:color w:val="auto"/>
        </w:rPr>
      </w:pPr>
      <w:r>
        <w:rPr>
          <w:rFonts w:ascii="Times New Roman" w:cs="Times New Roman" w:eastAsia="Times New Roman" w:hAnsi="Times New Roman"/>
          <w:sz w:val="16"/>
          <w:szCs w:val="16"/>
          <w:color w:val="auto"/>
        </w:rPr>
        <w:t>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31750</wp:posOffset>
            </wp:positionV>
            <wp:extent cx="17741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42" w:lineRule="exact"/>
        <w:rPr>
          <w:sz w:val="20"/>
          <w:szCs w:val="20"/>
          <w:color w:val="auto"/>
        </w:rPr>
      </w:pPr>
    </w:p>
    <w:p>
      <w:pPr>
        <w:jc w:val="both"/>
        <w:spacing w:after="0"/>
        <w:tabs>
          <w:tab w:leader="none" w:pos="900" w:val="left"/>
        </w:tabs>
        <w:rPr>
          <w:sz w:val="20"/>
          <w:szCs w:val="20"/>
          <w:color w:val="auto"/>
        </w:rPr>
      </w:pPr>
      <w:r>
        <w:rPr>
          <w:rFonts w:ascii="Times New Roman" w:cs="Times New Roman" w:eastAsia="Times New Roman" w:hAnsi="Times New Roman"/>
          <w:sz w:val="18"/>
          <w:szCs w:val="18"/>
          <w:color w:val="auto"/>
        </w:rPr>
        <w:t>1,682,937</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17145</wp:posOffset>
            </wp:positionV>
            <wp:extent cx="17741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19" w:lineRule="exact"/>
        <w:rPr>
          <w:sz w:val="20"/>
          <w:szCs w:val="20"/>
          <w:color w:val="auto"/>
        </w:rPr>
      </w:pPr>
    </w:p>
    <w:p>
      <w:pPr>
        <w:ind w:left="640"/>
        <w:spacing w:after="0"/>
        <w:tabs>
          <w:tab w:leader="none" w:pos="900" w:val="left"/>
        </w:tabs>
        <w:rPr>
          <w:sz w:val="20"/>
          <w:szCs w:val="20"/>
          <w:color w:val="auto"/>
        </w:rPr>
      </w:pPr>
      <w:r>
        <w:rPr>
          <w:rFonts w:ascii="Times New Roman" w:cs="Times New Roman" w:eastAsia="Times New Roman" w:hAnsi="Times New Roman"/>
          <w:sz w:val="16"/>
          <w:szCs w:val="16"/>
          <w:color w:val="auto"/>
        </w:rPr>
        <w:t>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31750</wp:posOffset>
            </wp:positionV>
            <wp:extent cx="17741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color w:val="auto"/>
        </w:rPr>
        <w:t>1,682,937</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31750</wp:posOffset>
            </wp:positionV>
            <wp:extent cx="13544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ectPr>
          <w:pgSz w:w="11900" w:h="16838" w:orient="portrait"/>
          <w:cols w:equalWidth="0" w:num="2">
            <w:col w:w="8940" w:space="720"/>
            <w:col w:w="1440"/>
          </w:cols>
          <w:pgMar w:left="420" w:top="1120" w:right="379" w:bottom="1440" w:gutter="0" w:footer="0" w:header="0"/>
          <w:type w:val="continuous"/>
        </w:sectPr>
      </w:pPr>
    </w:p>
    <w:bookmarkStart w:id="6" w:name="page7"/>
    <w:bookmarkEnd w:id="6"/>
    <w:p>
      <w:pPr>
        <w:ind w:left="1020"/>
        <w:spacing w:after="0"/>
        <w:rPr>
          <w:sz w:val="20"/>
          <w:szCs w:val="20"/>
          <w:color w:val="auto"/>
        </w:rPr>
      </w:pPr>
      <w:r>
        <w:rPr>
          <w:rFonts w:ascii="Times New Roman" w:cs="Times New Roman" w:eastAsia="Times New Roman" w:hAnsi="Times New Roman"/>
          <w:sz w:val="18"/>
          <w:szCs w:val="18"/>
          <w:color w:val="auto"/>
        </w:rPr>
        <w:t>Instruction: For computations regarding securities which represent a right to acquire an underlying security see §240.13d-3(d)(1).</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020" w:right="8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020" w:right="40"/>
        <w:spacing w:after="0" w:line="282" w:lineRule="auto"/>
        <w:rPr>
          <w:sz w:val="20"/>
          <w:szCs w:val="20"/>
          <w:color w:val="auto"/>
        </w:rPr>
      </w:pPr>
      <w:r>
        <w:rPr>
          <w:rFonts w:ascii="Times New Roman" w:cs="Times New Roman" w:eastAsia="Times New Roman" w:hAnsi="Times New Roman"/>
          <w:sz w:val="18"/>
          <w:szCs w:val="18"/>
          <w:color w:val="auto"/>
        </w:rPr>
        <w:t>All securities reported in this Schedule 13G are owned by advisory clients or Bloom Tree Partners, LLC. None of which individually own more than 5% of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-22225</wp:posOffset>
            </wp:positionV>
            <wp:extent cx="6489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55" w:lineRule="exact"/>
        <w:rPr>
          <w:sz w:val="20"/>
          <w:szCs w:val="20"/>
          <w:color w:val="auto"/>
        </w:rPr>
      </w:pPr>
    </w:p>
    <w:p>
      <w:pPr>
        <w:ind w:left="1020" w:right="320" w:hanging="1012"/>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jc w:val="both"/>
        <w:ind w:left="1020" w:right="8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020" w:right="20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020" w:right="6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020" w:right="1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280035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40"/>
          </w:cols>
          <w:pgMar w:left="420" w:top="1336"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BLOOM TREE PARTNERS,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Alok Agrawal</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Alok Agrawal</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ALOK AGRAWAL*</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Alok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disclaim beneficial ownership over the securities reported herein except to the extent of their pecuniary interest therein.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dated February 16, 2021, relating to the Class A Ordinary Shares, $0.0001 Par Value, of Silver Spike Acquisition Corp., shall be filed on behalf of the undersigned.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BLOOM TREE PARTNERS, LLC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Alok Agrawal</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Alok Agrawal</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ALOK AGRAWAL</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Alok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1062990</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Bloom Tree Partners, LLC is the relevant entity for which Alok Agrawal may be considered a control person.</w:t>
      </w:r>
    </w:p>
    <w:sectPr>
      <w:pgSz w:w="11900" w:h="16838" w:orient="portrait"/>
      <w:cols w:equalWidth="0" w:num="1">
        <w:col w:w="10580"/>
      </w:cols>
      <w:pgMar w:left="98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2">
    <w:nsid w:val="3352255A"/>
    <w:multiLevelType w:val="hybridMultilevel"/>
    <w:lvl w:ilvl="0">
      <w:lvlJc w:val="left"/>
      <w:lvlText w:val="(%1)"/>
      <w:numFmt w:val="lowerLetter"/>
      <w:start w:val="3"/>
    </w:lvl>
    <w:lvl w:ilvl="1">
      <w:lvlJc w:val="left"/>
      <w:lvlText w:val="%2"/>
      <w:numFmt w:val="lowerLetter"/>
      <w:start w:val="1"/>
    </w:lvl>
    <w:lvl w:ilvl="2">
      <w:lvlJc w:val="left"/>
      <w:lvlText w:val="(%3)"/>
      <w:numFmt w:val="lowerRoman"/>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2021-02-16T09:25:39Z</dcterms:created>
  <dcterms:modified xsi:type="dcterms:W3CDTF">2021-02-16T09:25:39Z</dcterms:modified>
</cp:coreProperties>
</file>