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4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333-257774</w:t>
      </w:r>
    </w:p>
    <w:p>
      <w:pPr>
        <w:spacing w:after="0" w:line="3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1383665</wp:posOffset>
            </wp:positionH>
            <wp:positionV relativeFrom="paragraph">
              <wp:posOffset>85725</wp:posOffset>
            </wp:positionV>
            <wp:extent cx="3257550" cy="9683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57550" cy="9683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110,898,382 Shares of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105,014,011 Shares of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7,000,000 Warrants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2463800</wp:posOffset>
            </wp:positionH>
            <wp:positionV relativeFrom="paragraph">
              <wp:posOffset>66040</wp:posOffset>
            </wp:positionV>
            <wp:extent cx="1097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1" w:lineRule="exact"/>
        <w:rPr>
          <w:sz w:val="24"/>
          <w:szCs w:val="24"/>
          <w:color w:val="auto"/>
        </w:rPr>
      </w:pPr>
    </w:p>
    <w:p>
      <w:pPr>
        <w:jc w:val="both"/>
        <w:ind w:firstLine="360"/>
        <w:spacing w:after="0" w:line="269" w:lineRule="auto"/>
        <w:rPr>
          <w:sz w:val="20"/>
          <w:szCs w:val="20"/>
          <w:color w:val="auto"/>
        </w:rPr>
      </w:pPr>
      <w:r>
        <w:rPr>
          <w:rFonts w:ascii="Arial" w:cs="Arial" w:eastAsia="Arial" w:hAnsi="Arial"/>
          <w:sz w:val="17"/>
          <w:szCs w:val="17"/>
          <w:color w:val="auto"/>
        </w:rPr>
        <w:t>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We will receive the proceeds from any exercise of any Warrants for cash.</w:t>
      </w:r>
    </w:p>
    <w:p>
      <w:pPr>
        <w:spacing w:after="0" w:line="74" w:lineRule="exact"/>
        <w:rPr>
          <w:sz w:val="24"/>
          <w:szCs w:val="24"/>
          <w:color w:val="auto"/>
        </w:rPr>
      </w:pPr>
    </w:p>
    <w:p>
      <w:pPr>
        <w:jc w:val="both"/>
        <w:ind w:firstLine="360"/>
        <w:spacing w:after="0" w:line="289" w:lineRule="auto"/>
        <w:rPr>
          <w:sz w:val="20"/>
          <w:szCs w:val="20"/>
          <w:color w:val="auto"/>
        </w:rPr>
      </w:pPr>
      <w:r>
        <w:rPr>
          <w:rFonts w:ascii="Arial" w:cs="Arial" w:eastAsia="Arial" w:hAnsi="Arial"/>
          <w:sz w:val="16"/>
          <w:szCs w:val="16"/>
          <w:color w:val="auto"/>
        </w:rPr>
        <w:t>This prospectus also relates to the offer and sale from time to time by the selling securityholders named in this prospectus (the “Selling Securityholders”) of up to (i) 112,014,011 shares of Class A Common Stock, consisting of (a) (i) 38,750,000 issued and outstanding shares of Class A Common Stock, (ii) 59,264,011 shares of Class A Common Stock issuable upon exchange of such Selling Securityholder’s Paired Interests or Class P Units, and (iii) 7,000,000 shares of Class A Common Stock issuable upon exercise of the Private Placement Warrants and (b) 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58" w:lineRule="exact"/>
        <w:rPr>
          <w:sz w:val="24"/>
          <w:szCs w:val="24"/>
          <w:color w:val="auto"/>
        </w:rPr>
      </w:pPr>
    </w:p>
    <w:p>
      <w:pPr>
        <w:jc w:val="both"/>
        <w:ind w:firstLine="360"/>
        <w:spacing w:after="0" w:line="255" w:lineRule="auto"/>
        <w:rPr>
          <w:sz w:val="20"/>
          <w:szCs w:val="20"/>
          <w:color w:val="auto"/>
        </w:rPr>
      </w:pPr>
      <w:r>
        <w:rPr>
          <w:rFonts w:ascii="Arial" w:cs="Arial" w:eastAsia="Arial" w:hAnsi="Arial"/>
          <w:sz w:val="18"/>
          <w:szCs w:val="18"/>
          <w:color w:val="auto"/>
        </w:rPr>
        <w:t>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w:t>
      </w:r>
    </w:p>
    <w:p>
      <w:pPr>
        <w:spacing w:after="0" w:line="84" w:lineRule="exact"/>
        <w:rPr>
          <w:sz w:val="24"/>
          <w:szCs w:val="24"/>
          <w:color w:val="auto"/>
        </w:rPr>
      </w:pPr>
    </w:p>
    <w:p>
      <w:pPr>
        <w:jc w:val="both"/>
        <w:ind w:right="20" w:firstLine="360"/>
        <w:spacing w:after="0" w:line="26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and are subject to reduced public company reporting requirements. This prospectus complies with the requirements that apply to an issuer that is an emerging growth company.</w:t>
      </w:r>
    </w:p>
    <w:p>
      <w:pPr>
        <w:spacing w:after="0" w:line="76" w:lineRule="exact"/>
        <w:rPr>
          <w:sz w:val="24"/>
          <w:szCs w:val="24"/>
          <w:color w:val="auto"/>
        </w:rPr>
      </w:pPr>
    </w:p>
    <w:p>
      <w:pPr>
        <w:jc w:val="both"/>
        <w:ind w:firstLine="360"/>
        <w:spacing w:after="0" w:line="263" w:lineRule="auto"/>
        <w:rPr>
          <w:sz w:val="20"/>
          <w:szCs w:val="20"/>
          <w:color w:val="auto"/>
        </w:rPr>
      </w:pPr>
      <w:r>
        <w:rPr>
          <w:rFonts w:ascii="Arial" w:cs="Arial" w:eastAsia="Arial" w:hAnsi="Arial"/>
          <w:sz w:val="18"/>
          <w:szCs w:val="18"/>
          <w:color w:val="auto"/>
        </w:rPr>
        <w:t>Our Class A Common Stock and Public Warrants are listed on The Nasdaq Global Select Market (“Nasdaq”) under the symbols “MAPS” and “MAPSW,” respectively. On July 19, 2021, the closing price of our Class A Common Stock was $14.14 and the closing price for our Public Warrants was $4.85.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2463800</wp:posOffset>
            </wp:positionH>
            <wp:positionV relativeFrom="paragraph">
              <wp:posOffset>48260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60" w:lineRule="exact"/>
        <w:rPr>
          <w:sz w:val="24"/>
          <w:szCs w:val="24"/>
          <w:color w:val="auto"/>
        </w:rPr>
      </w:pPr>
    </w:p>
    <w:p>
      <w:pPr>
        <w:jc w:val="both"/>
        <w:ind w:right="20"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See the section entitled “Risk Factors” beginning on page </w:t>
      </w:r>
      <w:hyperlink w:anchor="page12">
        <w:r>
          <w:rPr>
            <w:rFonts w:ascii="Arial" w:cs="Arial" w:eastAsia="Arial" w:hAnsi="Arial"/>
            <w:sz w:val="18"/>
            <w:szCs w:val="18"/>
            <w:b w:val="1"/>
            <w:bCs w:val="1"/>
            <w:u w:val="single" w:color="auto"/>
            <w:color w:val="0000EE"/>
          </w:rPr>
          <w:t>7</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to read about factors you should consider before buying our securities.</w:t>
      </w:r>
    </w:p>
    <w:p>
      <w:pPr>
        <w:spacing w:after="0" w:line="54" w:lineRule="exact"/>
        <w:rPr>
          <w:sz w:val="24"/>
          <w:szCs w:val="24"/>
          <w:color w:val="auto"/>
        </w:rPr>
      </w:pPr>
    </w:p>
    <w:p>
      <w:pPr>
        <w:jc w:val="both"/>
        <w:ind w:right="20"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500"/>
          </w:cols>
          <w:pgMar w:left="1200" w:top="225" w:right="11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The date of this prospectus is July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150495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25" w:right="1199" w:bottom="1440" w:gutter="0" w:footer="0" w:header="0"/>
          <w:type w:val="continuous"/>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6"/>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6"/>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gridSpan w:val="3"/>
            <w:shd w:val="clear" w:color="auto" w:fill="CCEEFF"/>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CAUTIONARY NOTE REGARDING FORWARD-LOOKING STATEMENTS</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iii</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6"/>
            <w:shd w:val="clear" w:color="auto" w:fill="CCEEFF"/>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THE OFFERING</w:t>
              </w:r>
            </w:hyperlink>
          </w:p>
        </w:tc>
        <w:tc>
          <w:tcPr>
            <w:tcW w:w="280" w:type="dxa"/>
            <w:vAlign w:val="bottom"/>
            <w:gridSpan w:val="5"/>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5</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6"/>
            <w:shd w:val="clear" w:color="auto" w:fill="CCEEFF"/>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7</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280" w:type="dxa"/>
            <w:vAlign w:val="bottom"/>
            <w:gridSpan w:val="5"/>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33</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6"/>
            <w:shd w:val="clear" w:color="auto" w:fill="CCEEFF"/>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DETERMINATION OF OFFERING PRICE</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34</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MARKET INFORMATION FOR COMMON STOCK AND DIVIDEND POLICY</w:t>
              </w:r>
            </w:hyperlink>
          </w:p>
        </w:tc>
        <w:tc>
          <w:tcPr>
            <w:tcW w:w="280" w:type="dxa"/>
            <w:vAlign w:val="bottom"/>
            <w:gridSpan w:val="5"/>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35</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6"/>
            <w:shd w:val="clear" w:color="auto" w:fill="CCEEFF"/>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SELECTED HISTORICAL FINANCIAL AND OPERATING DATA OF LEGACY WMH</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36</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SELECTED HISTORICAL FINANCIAL INFORMATION OF SILVER SPIKE</w:t>
              </w:r>
            </w:hyperlink>
          </w:p>
        </w:tc>
        <w:tc>
          <w:tcPr>
            <w:tcW w:w="280" w:type="dxa"/>
            <w:vAlign w:val="bottom"/>
            <w:gridSpan w:val="5"/>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6"/>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UNAUDITED PRO FORMA CONDENSED COMBINED FINANCIAL INFORMATION</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38</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760" w:type="dxa"/>
            <w:vAlign w:val="bottom"/>
            <w:tcBorders>
              <w:bottom w:val="single" w:sz="8" w:color="0000EE"/>
            </w:tcBorders>
            <w:gridSpan w:val="25"/>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MANAGEMENT’S DISCUSSION AND ANALYSIS OF FINANCIAL CONDITION AND RESULTS OF</w:t>
              </w:r>
            </w:hyperlink>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2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OPERATIONS</w:t>
              </w:r>
            </w:hyperlink>
          </w:p>
        </w:tc>
        <w:tc>
          <w:tcPr>
            <w:tcW w:w="280" w:type="dxa"/>
            <w:vAlign w:val="bottom"/>
            <w:gridSpan w:val="5"/>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47</w:t>
              </w:r>
            </w:hyperlink>
          </w:p>
        </w:tc>
        <w:tc>
          <w:tcPr>
            <w:tcW w:w="20" w:type="dxa"/>
            <w:vAlign w:val="bottom"/>
          </w:tcPr>
          <w:p>
            <w:pPr>
              <w:spacing w:after="0"/>
              <w:rPr>
                <w:sz w:val="17"/>
                <w:szCs w:val="17"/>
                <w:color w:val="auto"/>
              </w:rPr>
            </w:pPr>
          </w:p>
        </w:tc>
      </w:tr>
      <w:tr>
        <w:trPr>
          <w:trHeight w:val="75"/>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6"/>
            <w:shd w:val="clear" w:color="auto" w:fill="CCEEFF"/>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BUSINESS</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6"/>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MANAGEMENT</w:t>
              </w:r>
            </w:hyperlink>
          </w:p>
        </w:tc>
        <w:tc>
          <w:tcPr>
            <w:tcW w:w="280" w:type="dxa"/>
            <w:vAlign w:val="bottom"/>
            <w:gridSpan w:val="5"/>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6"/>
            <w:shd w:val="clear" w:color="auto" w:fill="CCEEFF"/>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EXECUTIVE COMPENSATION</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93</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6"/>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CERTAIN RELATIONSHIPS AND RELATED PARTY TRANSACTIONS</w:t>
              </w:r>
            </w:hyperlink>
          </w:p>
        </w:tc>
        <w:tc>
          <w:tcPr>
            <w:tcW w:w="300" w:type="dxa"/>
            <w:vAlign w:val="bottom"/>
            <w:gridSpan w:val="6"/>
          </w:tcPr>
          <w:p>
            <w:pPr>
              <w:jc w:val="right"/>
              <w:ind w:right="20"/>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6"/>
            <w:shd w:val="clear" w:color="auto" w:fill="CCEEFF"/>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PRINCIPAL SECURITYHOLDERS</w:t>
              </w:r>
            </w:hyperlink>
          </w:p>
        </w:tc>
        <w:tc>
          <w:tcPr>
            <w:tcW w:w="300" w:type="dxa"/>
            <w:vAlign w:val="bottom"/>
            <w:gridSpan w:val="6"/>
            <w:shd w:val="clear" w:color="auto" w:fill="CCEEFF"/>
          </w:tcPr>
          <w:p>
            <w:pPr>
              <w:jc w:val="right"/>
              <w:ind w:right="20"/>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107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SELLING SECURITYHOLDERS</w:t>
              </w:r>
            </w:hyperlink>
          </w:p>
        </w:tc>
        <w:tc>
          <w:tcPr>
            <w:tcW w:w="300" w:type="dxa"/>
            <w:vAlign w:val="bottom"/>
            <w:gridSpan w:val="6"/>
          </w:tcPr>
          <w:p>
            <w:pPr>
              <w:jc w:val="right"/>
              <w:ind w:right="20"/>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109</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6"/>
            <w:shd w:val="clear" w:color="auto" w:fill="CCEEFF"/>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DESCRIPTION OF SECURITIES</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116</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6"/>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MATERIAL UNITED STATES FEDERAL INCOME TAX CONSEQUENCES</w:t>
              </w:r>
            </w:hyperlink>
          </w:p>
        </w:tc>
        <w:tc>
          <w:tcPr>
            <w:tcW w:w="300" w:type="dxa"/>
            <w:vAlign w:val="bottom"/>
            <w:gridSpan w:val="6"/>
          </w:tcPr>
          <w:p>
            <w:pPr>
              <w:jc w:val="right"/>
              <w:ind w:right="20"/>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124</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6"/>
            <w:shd w:val="clear" w:color="auto" w:fill="CCEEFF"/>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PLAN OF DISTRIBUTION</w:t>
              </w:r>
            </w:hyperlink>
          </w:p>
        </w:tc>
        <w:tc>
          <w:tcPr>
            <w:tcW w:w="300" w:type="dxa"/>
            <w:vAlign w:val="bottom"/>
            <w:gridSpan w:val="6"/>
            <w:shd w:val="clear" w:color="auto" w:fill="CCEEFF"/>
          </w:tcPr>
          <w:p>
            <w:pPr>
              <w:jc w:val="right"/>
              <w:ind w:right="20"/>
              <w:spacing w:after="0"/>
              <w:rPr>
                <w:rFonts w:ascii="Arial" w:cs="Arial" w:eastAsia="Arial" w:hAnsi="Arial"/>
                <w:sz w:val="18"/>
                <w:szCs w:val="18"/>
                <w:color w:val="0000EE"/>
                <w:w w:val="86"/>
              </w:rPr>
            </w:pPr>
            <w:hyperlink w:anchor="page136">
              <w:r>
                <w:rPr>
                  <w:rFonts w:ascii="Arial" w:cs="Arial" w:eastAsia="Arial" w:hAnsi="Arial"/>
                  <w:sz w:val="18"/>
                  <w:szCs w:val="18"/>
                  <w:color w:val="0000EE"/>
                  <w:w w:val="86"/>
                </w:rPr>
                <w:t>129</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6"/>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LEGAL MATTERS</w:t>
              </w:r>
            </w:hyperlink>
          </w:p>
        </w:tc>
        <w:tc>
          <w:tcPr>
            <w:tcW w:w="300" w:type="dxa"/>
            <w:vAlign w:val="bottom"/>
            <w:gridSpan w:val="6"/>
          </w:tcPr>
          <w:p>
            <w:pPr>
              <w:jc w:val="right"/>
              <w:ind w:right="20"/>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131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6"/>
            <w:shd w:val="clear" w:color="auto" w:fill="CCEEFF"/>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EXPERTS</w:t>
              </w:r>
            </w:hyperlink>
          </w:p>
        </w:tc>
        <w:tc>
          <w:tcPr>
            <w:tcW w:w="300" w:type="dxa"/>
            <w:vAlign w:val="bottom"/>
            <w:gridSpan w:val="6"/>
            <w:shd w:val="clear" w:color="auto" w:fill="CCEEFF"/>
          </w:tcPr>
          <w:p>
            <w:pPr>
              <w:jc w:val="right"/>
              <w:ind w:right="20"/>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131</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6"/>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CHANGE IN REGISTRANT’S CERTIFYING ACCOUNTANT</w:t>
              </w:r>
            </w:hyperlink>
          </w:p>
        </w:tc>
        <w:tc>
          <w:tcPr>
            <w:tcW w:w="300" w:type="dxa"/>
            <w:vAlign w:val="bottom"/>
            <w:gridSpan w:val="6"/>
          </w:tcPr>
          <w:p>
            <w:pPr>
              <w:jc w:val="right"/>
              <w:ind w:right="20"/>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131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6"/>
            <w:shd w:val="clear" w:color="auto" w:fill="CCEEFF"/>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WHERE YOU CAN FIND MORE INFORMATION</w:t>
              </w:r>
            </w:hyperlink>
          </w:p>
        </w:tc>
        <w:tc>
          <w:tcPr>
            <w:tcW w:w="300" w:type="dxa"/>
            <w:vAlign w:val="bottom"/>
            <w:gridSpan w:val="6"/>
            <w:shd w:val="clear" w:color="auto" w:fill="CCEEFF"/>
          </w:tcPr>
          <w:p>
            <w:pPr>
              <w:jc w:val="right"/>
              <w:ind w:right="20"/>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132</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6"/>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INDEX TO FINANCIAL STATEMENTS</w:t>
              </w:r>
            </w:hyperlink>
          </w:p>
        </w:tc>
        <w:tc>
          <w:tcPr>
            <w:tcW w:w="20" w:type="dxa"/>
            <w:vAlign w:val="bottom"/>
          </w:tcPr>
          <w:p>
            <w:pPr>
              <w:spacing w:after="0"/>
              <w:rPr>
                <w:sz w:val="19"/>
                <w:szCs w:val="19"/>
                <w:color w:val="auto"/>
              </w:rPr>
            </w:pPr>
          </w:p>
        </w:tc>
        <w:tc>
          <w:tcPr>
            <w:tcW w:w="280" w:type="dxa"/>
            <w:vAlign w:val="bottom"/>
            <w:gridSpan w:val="5"/>
          </w:tcPr>
          <w:p>
            <w:pPr>
              <w:jc w:val="right"/>
              <w:ind w:right="20"/>
              <w:spacing w:after="0"/>
              <w:rPr>
                <w:rFonts w:ascii="Arial" w:cs="Arial" w:eastAsia="Arial" w:hAnsi="Arial"/>
                <w:sz w:val="18"/>
                <w:szCs w:val="18"/>
                <w:color w:val="0000EE"/>
                <w:w w:val="88"/>
              </w:rPr>
            </w:pPr>
            <w:hyperlink w:anchor="page140">
              <w:r>
                <w:rPr>
                  <w:rFonts w:ascii="Arial" w:cs="Arial" w:eastAsia="Arial" w:hAnsi="Arial"/>
                  <w:sz w:val="18"/>
                  <w:szCs w:val="18"/>
                  <w:color w:val="0000EE"/>
                  <w:w w:val="88"/>
                </w:rPr>
                <w:t>F-1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-5451475</wp:posOffset>
            </wp:positionV>
            <wp:extent cx="111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205740</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w:t>
      </w:r>
    </w:p>
    <w:p>
      <w:pPr>
        <w:spacing w:after="0" w:line="7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WMH, whereupon the separate limited liability company existence of Merger Sub ceased and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and Section 21E of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 this prospectus may include, for example, statements about:</w:t>
      </w:r>
    </w:p>
    <w:p>
      <w:pPr>
        <w:spacing w:after="0" w:line="117" w:lineRule="exact"/>
        <w:rPr>
          <w:sz w:val="20"/>
          <w:szCs w:val="20"/>
          <w:color w:val="auto"/>
        </w:rPr>
      </w:pPr>
    </w:p>
    <w:p>
      <w:pPr>
        <w:jc w:val="both"/>
        <w:ind w:left="1000" w:right="319" w:hanging="348"/>
        <w:spacing w:after="0" w:line="263"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the ability of the combined business to grow and manage growth profitably;</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and business performance, including financial projections and business metrics and any underlying assumptions thereunder;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projections of market opportunity and market share;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expectations and timing related to commercial product launches;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success of our go-to-market strategy;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expectations related to our ability to scale our business and expand our offerings;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strategy, future operations, financial position, estimated revenues and losses, projected costs, prospects and plans;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expectations regarding the time during which we will be an emerging growth company under the JOBS Act;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funding for our future operations;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expansion plans and opportunities;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These statements are subject to known and unknown risks, uncertainties and assumptions that could cause actual results to differ materially from those projected or otherwise implied by the forward-looking statements, including the following:</w:t>
      </w:r>
    </w:p>
    <w:p>
      <w:pPr>
        <w:spacing w:after="0" w:line="76" w:lineRule="exact"/>
        <w:rPr>
          <w:sz w:val="20"/>
          <w:szCs w:val="20"/>
          <w:color w:val="auto"/>
        </w:rPr>
      </w:pPr>
    </w:p>
    <w:p>
      <w:pPr>
        <w:jc w:val="both"/>
        <w:ind w:left="1000" w:right="31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the ability of the combined business to grow and manage growth profitably;</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global, regional or local economic and market conditions affecting the cannabis industry;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development, effects and enforcement of laws and regulations, including with respect to the cannabis industry;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capitalize on new and existing cannabis markets, including our ability to successfully monetize our solutions in those markets;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future growth;</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on our future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officers, key employees or directors;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legal proceedings;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have identified a material weakness in our internal control over financial reporting which, if not corrected, could affect the reliability of our consolidated financial statements;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or competitive factors.</w:t>
      </w:r>
    </w:p>
    <w:p>
      <w:pPr>
        <w:spacing w:after="0" w:line="12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Should one or more of the risks or uncertainties described in this prospectus,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67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3405" cy="826770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73" w:lineRule="auto"/>
        <w:rPr>
          <w:sz w:val="20"/>
          <w:szCs w:val="20"/>
          <w:color w:val="auto"/>
        </w:rPr>
      </w:pPr>
      <w:r>
        <w:rPr>
          <w:rFonts w:ascii="Arial" w:cs="Arial" w:eastAsia="Arial" w:hAnsi="Arial"/>
          <w:sz w:val="17"/>
          <w:szCs w:val="17"/>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“Unaudited Pro Forma Condensed Combined Financial Information,” “Business” and the consolidated financial statements and related notes included elsewhere in this prospectus before making an investment decision.</w:t>
      </w:r>
    </w:p>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jc w:val="both"/>
        <w:ind w:left="320" w:right="279" w:firstLine="360"/>
        <w:spacing w:after="0" w:line="285" w:lineRule="auto"/>
        <w:rPr>
          <w:sz w:val="20"/>
          <w:szCs w:val="20"/>
          <w:color w:val="auto"/>
        </w:rPr>
      </w:pPr>
      <w:r>
        <w:rPr>
          <w:rFonts w:ascii="Arial" w:cs="Arial" w:eastAsia="Arial" w:hAnsi="Arial"/>
          <w:sz w:val="16"/>
          <w:szCs w:val="16"/>
          <w:color w:val="auto"/>
        </w:rPr>
        <w:t>We were founded in 2008, and operate a leading listings marketplace with one of the most comprehensive SaaS subscription offerings sold to retailers and brands in the U.S. state-legal and Canadian cannabis markets. We also provide information on the cannabis plant and the industry and advocates for legalization. We address the challenges facing both consumers seeking to understand cannabis products and businesses seeking brand awareness in a legally compliant fashion with our Weedmaps platform and WM Business SaaS solution. The Weedmaps listings marketplace provides consumers with information regarding cannabis retailers and brands, as well as the strain, pricing, and other information regarding locally available cannabis products, through our website and mobile apps, permitting product discovery and reservation of products for pickup by consumers or delivery to consumers participating retailers. Consumers do not purchase cannabis products using Weedmaps, and all confirmation of product availability, final order entry, order fulfillment, and processing of payments is handled directly between the consumer and our client outside of the Weedmaps listings marketplace. We provide consumers with discovery channels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66"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The mailing address of our principal executive office is 41 Discovery, Irvine, California 92618. Our telephone number is (844) 933-3627.</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left="320" w:right="279" w:firstLine="360"/>
        <w:spacing w:after="0" w:line="286" w:lineRule="auto"/>
        <w:rPr>
          <w:sz w:val="20"/>
          <w:szCs w:val="20"/>
          <w:color w:val="auto"/>
        </w:rPr>
      </w:pPr>
      <w:r>
        <w:rPr>
          <w:rFonts w:ascii="Arial" w:cs="Arial" w:eastAsia="Arial" w:hAnsi="Arial"/>
          <w:sz w:val="16"/>
          <w:szCs w:val="16"/>
          <w:color w:val="auto"/>
        </w:rPr>
        <w:t>We were originally known as Silver Spike Acquisition Corp. On June 16, 2021, Silver Spike, our predecessor company, consummated the Business Combination pursuant to the Merger Agreement, by and among Silver Spike, Merger Sub, Legacy WMH, and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Prior to the Closing Date, each of Silver Spike’s then currently issued and outstanding Class A Ordinary Shares and Class B ordinary shares (“Class B Ordinary Shares”) automatically converted by operation of law, on a one-for-one basis, into shares of Class A Common Stock of Silver Spike. Similarly, all of Silver Spike’s outstanding warrants became warrants to acquire shares of Class A Common Stock of Silver Spike, and no other changes were made to the terms of any outstanding warrants.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consummation of the Business Combination.</w:t>
      </w:r>
    </w:p>
    <w:p>
      <w:pPr>
        <w:spacing w:after="0" w:line="59" w:lineRule="exact"/>
        <w:rPr>
          <w:sz w:val="20"/>
          <w:szCs w:val="20"/>
          <w:color w:val="auto"/>
        </w:rPr>
      </w:pPr>
    </w:p>
    <w:p>
      <w:pPr>
        <w:jc w:val="both"/>
        <w:ind w:left="320" w:right="279" w:firstLine="360"/>
        <w:spacing w:after="0" w:line="253" w:lineRule="auto"/>
        <w:rPr>
          <w:sz w:val="20"/>
          <w:szCs w:val="20"/>
          <w:color w:val="auto"/>
        </w:rPr>
      </w:pPr>
      <w:r>
        <w:rPr>
          <w:rFonts w:ascii="Arial" w:cs="Arial" w:eastAsia="Arial" w:hAnsi="Arial"/>
          <w:sz w:val="18"/>
          <w:szCs w:val="18"/>
          <w:color w:val="auto"/>
        </w:rPr>
        <w:t>The Business Combination was accomplished through what is commonly referred to as an “Up-C” structure, which is often used by partnerships and limited liability companies undertaking an initial public offering. The Up-C structure allowed the Legacy WMH equity holders to retain their equity ownership in WMH LLC, an entity that is classified as a partnership for U.S. federal income tax purposes, in the form of Class A Units and Class P Units and provides potential future tax benefits for both us and the Unit holders when they ultimately exchange their pass-through interests for shares of Class A Common Stock. The Paired Interests are exchangeable on a one-for-one basis for shares of Class A common stock and the Class P Units, upon vesting, are exchangeable into shares of Class A Common Stock at a variable exchange ratio, of up to a one-for-one basis, that accounts for the participation threshold</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 w:name="page7"/>
    <w:bookmarkEnd w:id="6"/>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8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808799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99"/>
        <w:spacing w:after="0" w:line="342" w:lineRule="auto"/>
        <w:rPr>
          <w:sz w:val="20"/>
          <w:szCs w:val="20"/>
          <w:color w:val="auto"/>
        </w:rPr>
      </w:pPr>
      <w:r>
        <w:rPr>
          <w:rFonts w:ascii="Arial" w:cs="Arial" w:eastAsia="Arial" w:hAnsi="Arial"/>
          <w:sz w:val="16"/>
          <w:szCs w:val="16"/>
          <w:color w:val="auto"/>
        </w:rPr>
        <w:t>of the exchanged Class P Units. We are a holding company, and immediately after the consummation of the Business Combination, our principal asset is our ownership interest and managing member interest in WMH LLC.</w:t>
      </w:r>
    </w:p>
    <w:p>
      <w:pPr>
        <w:spacing w:after="0" w:line="16" w:lineRule="exact"/>
        <w:rPr>
          <w:sz w:val="20"/>
          <w:szCs w:val="20"/>
          <w:color w:val="auto"/>
        </w:rPr>
      </w:pPr>
    </w:p>
    <w:p>
      <w:pPr>
        <w:jc w:val="both"/>
        <w:ind w:left="320" w:right="279" w:firstLine="360"/>
        <w:spacing w:after="0" w:line="301" w:lineRule="auto"/>
        <w:rPr>
          <w:sz w:val="20"/>
          <w:szCs w:val="20"/>
          <w:color w:val="auto"/>
        </w:rPr>
      </w:pPr>
      <w:r>
        <w:rPr>
          <w:rFonts w:ascii="Arial" w:cs="Arial" w:eastAsia="Arial" w:hAnsi="Arial"/>
          <w:sz w:val="16"/>
          <w:szCs w:val="16"/>
          <w:color w:val="auto"/>
        </w:rPr>
        <w:t>In December 2020, a number of purchasers subscribed to purchase from Silver Spike an aggregate of 32,500,000 shares of the Silver Spike’s Class A Common Stock (the “PIPE Shares”), for a purchase price of $10.00 per share and an aggregate purchase price of $325,000,000, pursuant to separate subscription agreements (each, a “Subscription Agreement”). The sale of PIPE Shares was consummated concurrently with the Closing.</w:t>
      </w:r>
    </w:p>
    <w:p>
      <w:pPr>
        <w:spacing w:after="0" w:line="49"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Our Class A Common Stock and Public Warrants are currently listed on Nasdaq under the symbols “MAPS” and “MAPSW,” respectively.</w:t>
      </w:r>
    </w:p>
    <w:p>
      <w:pPr>
        <w:spacing w:after="0" w:line="62" w:lineRule="exact"/>
        <w:rPr>
          <w:sz w:val="20"/>
          <w:szCs w:val="20"/>
          <w:color w:val="auto"/>
        </w:rPr>
      </w:pPr>
    </w:p>
    <w:p>
      <w:pPr>
        <w:jc w:val="both"/>
        <w:ind w:left="320" w:right="299" w:firstLine="360"/>
        <w:spacing w:after="0" w:line="273" w:lineRule="auto"/>
        <w:rPr>
          <w:sz w:val="20"/>
          <w:szCs w:val="20"/>
          <w:color w:val="auto"/>
        </w:rPr>
      </w:pPr>
      <w:r>
        <w:rPr>
          <w:rFonts w:ascii="Arial" w:cs="Arial" w:eastAsia="Arial" w:hAnsi="Arial"/>
          <w:sz w:val="17"/>
          <w:szCs w:val="17"/>
          <w:color w:val="auto"/>
        </w:rPr>
        <w:t>The rights of holders of our Class A Common Stock and Warrants are governed by our certificate of incorporation (our “Certificate of Incorporation”), our amended and restated bylaws (our “Bylaws”) and the Delaware General Corporation Law (the “DGCL”), and, in the case of the Warrants, the Warrant Agreement, dated as of August 7, 2019 (the “Warrant Agreement”), between Silver Spike and the Continental Stock Transfer &amp; Trust Company, as the warrant agent (in such capacity, the “Warrant Agent”). See the sections entitled “Description of our Securities” and “Certain Relationships and Related Party Transactions.”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20" w:right="279" w:firstLine="360"/>
        <w:spacing w:after="0" w:line="286" w:lineRule="auto"/>
        <w:rPr>
          <w:sz w:val="20"/>
          <w:szCs w:val="20"/>
          <w:color w:val="auto"/>
        </w:rPr>
      </w:pPr>
      <w:r>
        <w:rPr>
          <w:rFonts w:ascii="Arial" w:cs="Arial" w:eastAsia="Arial" w:hAnsi="Arial"/>
          <w:sz w:val="17"/>
          <w:szCs w:val="17"/>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57" w:lineRule="exact"/>
        <w:rPr>
          <w:sz w:val="20"/>
          <w:szCs w:val="20"/>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12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concentrated in California, and, as a result, our performance may be affected by factors unique to the California market.</w:t>
      </w:r>
    </w:p>
    <w:p>
      <w:pPr>
        <w:spacing w:after="0" w:line="62"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8" w:lineRule="exact"/>
        <w:rPr>
          <w:rFonts w:ascii="Arial" w:cs="Arial" w:eastAsia="Arial" w:hAnsi="Arial"/>
          <w:sz w:val="18"/>
          <w:szCs w:val="18"/>
          <w:color w:val="auto"/>
        </w:rPr>
      </w:pPr>
    </w:p>
    <w:p>
      <w:pPr>
        <w:jc w:val="both"/>
        <w:ind w:left="1020" w:right="299" w:hanging="350"/>
        <w:spacing w:after="0" w:line="342"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currently subject to an ongoing inquiry by the U.S. Attorney’s Office for the Eastern District of California, the results of which could result in material liability and have an adverse effect on our business.</w:t>
      </w:r>
    </w:p>
    <w:p>
      <w:pPr>
        <w:spacing w:after="0" w:line="15" w:lineRule="exact"/>
        <w:rPr>
          <w:rFonts w:ascii="Arial" w:cs="Arial" w:eastAsia="Arial" w:hAnsi="Arial"/>
          <w:sz w:val="16"/>
          <w:szCs w:val="16"/>
          <w:color w:val="auto"/>
        </w:rPr>
      </w:pPr>
    </w:p>
    <w:p>
      <w:pPr>
        <w:jc w:val="both"/>
        <w:ind w:left="1020" w:right="299" w:hanging="350"/>
        <w:spacing w:after="0" w:line="272"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rFonts w:ascii="Arial" w:cs="Arial" w:eastAsia="Arial" w:hAnsi="Arial"/>
          <w:sz w:val="17"/>
          <w:szCs w:val="17"/>
          <w:color w:val="auto"/>
        </w:rPr>
      </w:pPr>
    </w:p>
    <w:p>
      <w:pPr>
        <w:jc w:val="both"/>
        <w:ind w:left="1020" w:right="299" w:hanging="350"/>
        <w:spacing w:after="0" w:line="272"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473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3405" cy="84734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020" w:right="299" w:hanging="350"/>
        <w:spacing w:after="0" w:line="30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6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12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62" w:lineRule="exact"/>
        <w:rPr>
          <w:rFonts w:ascii="Arial" w:cs="Arial" w:eastAsia="Arial" w:hAnsi="Arial"/>
          <w:sz w:val="18"/>
          <w:szCs w:val="18"/>
          <w:color w:val="auto"/>
        </w:rPr>
      </w:pPr>
    </w:p>
    <w:p>
      <w:pPr>
        <w:jc w:val="both"/>
        <w:ind w:left="1020" w:right="299" w:hanging="350"/>
        <w:spacing w:after="0" w:line="279"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rFonts w:ascii="Arial" w:cs="Arial" w:eastAsia="Arial" w:hAnsi="Arial"/>
          <w:sz w:val="17"/>
          <w:szCs w:val="17"/>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payment system and the payment systems of our clients depend on third-party providers and are subject to evolving laws and regulations.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 The mailing address of our principal executive office is 41 Discovery, Irvine, California 92618. Our telephone number is (844) 933-3627.</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We will remain an emerging growth company under the JOBS Act until the earliest of (a) the last day of our first fiscal year following the fifth anniversary of Silver Spike’s IPO, (b) the last date of our fiscal year in which we have total annual gross revenue of at least $1.07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1821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18211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79" w:firstLine="360"/>
        <w:spacing w:after="0" w:line="271" w:lineRule="auto"/>
        <w:rPr>
          <w:sz w:val="20"/>
          <w:szCs w:val="20"/>
          <w:color w:val="auto"/>
        </w:rPr>
      </w:pPr>
      <w:r>
        <w:rPr>
          <w:rFonts w:ascii="Arial" w:cs="Arial" w:eastAsia="Arial" w:hAnsi="Arial"/>
          <w:sz w:val="17"/>
          <w:szCs w:val="17"/>
          <w:color w:val="auto"/>
        </w:rPr>
        <w:t>We are also a “smaller reporting company” as defined in the Securities and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70"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As a result, the information in this prospectus and that we provide to our investors in the future may be different than what you might receive from other public reporting companies.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10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7753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77533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p>
      <w:pPr>
        <w:ind w:left="1320"/>
        <w:spacing w:after="0"/>
        <w:tabs>
          <w:tab w:leader="none" w:pos="56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WM Technology, Inc. (f/k/a Silver Spike Acquisition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Corp.).</w:t>
      </w:r>
    </w:p>
    <w:p>
      <w:pPr>
        <w:spacing w:after="0" w:line="13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Issuance of Class A Common Stock</w:t>
      </w:r>
    </w:p>
    <w:p>
      <w:pPr>
        <w:sectPr>
          <w:pgSz w:w="11900" w:h="16838" w:orient="portrait"/>
          <w:cols w:equalWidth="0" w:num="1">
            <w:col w:w="11020"/>
          </w:cols>
          <w:pgMar w:left="440" w:top="265" w:right="439" w:bottom="1440" w:gutter="0" w:footer="0" w:header="0"/>
        </w:sectPr>
      </w:pPr>
    </w:p>
    <w:p>
      <w:pPr>
        <w:spacing w:after="0" w:line="14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80" w:right="40" w:hanging="179"/>
        <w:spacing w:after="0" w:line="263" w:lineRule="auto"/>
        <w:rPr>
          <w:sz w:val="20"/>
          <w:szCs w:val="20"/>
          <w:color w:val="auto"/>
        </w:rPr>
      </w:pPr>
      <w:r>
        <w:rPr>
          <w:rFonts w:ascii="Arial" w:cs="Arial" w:eastAsia="Arial" w:hAnsi="Arial"/>
          <w:sz w:val="18"/>
          <w:szCs w:val="18"/>
          <w:color w:val="auto"/>
        </w:rPr>
        <w:t>Shares of Class A Common Stock Outstanding Prior to Exercise of All Warrants and Exchange of Paired Interests and Class P Units</w:t>
      </w:r>
    </w:p>
    <w:p>
      <w:pPr>
        <w:spacing w:after="0" w:line="116" w:lineRule="exact"/>
        <w:rPr>
          <w:sz w:val="20"/>
          <w:szCs w:val="20"/>
          <w:color w:val="auto"/>
        </w:rPr>
      </w:pPr>
    </w:p>
    <w:p>
      <w:pPr>
        <w:ind w:left="1480" w:hanging="179"/>
        <w:spacing w:after="0" w:line="263" w:lineRule="auto"/>
        <w:rPr>
          <w:sz w:val="20"/>
          <w:szCs w:val="20"/>
          <w:color w:val="auto"/>
        </w:rPr>
      </w:pPr>
      <w:r>
        <w:rPr>
          <w:rFonts w:ascii="Arial" w:cs="Arial" w:eastAsia="Arial" w:hAnsi="Arial"/>
          <w:sz w:val="18"/>
          <w:szCs w:val="18"/>
          <w:color w:val="auto"/>
        </w:rPr>
        <w:t>Shares of Class A Common Stock Outstanding Assuming Exercise of All Warrants and Exchange of Paired Interests and Class P Units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ind w:right="1280"/>
        <w:spacing w:after="0" w:line="288" w:lineRule="auto"/>
        <w:rPr>
          <w:sz w:val="20"/>
          <w:szCs w:val="20"/>
          <w:color w:val="auto"/>
        </w:rPr>
      </w:pPr>
      <w:r>
        <w:rPr>
          <w:rFonts w:ascii="Arial" w:cs="Arial" w:eastAsia="Arial" w:hAnsi="Arial"/>
          <w:sz w:val="16"/>
          <w:szCs w:val="16"/>
          <w:color w:val="auto"/>
        </w:rPr>
        <w:t>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63,738,563 shares (as of June 16, 2021).</w:t>
      </w:r>
    </w:p>
    <w:p>
      <w:pPr>
        <w:spacing w:after="0" w:line="200" w:lineRule="exact"/>
        <w:rPr>
          <w:sz w:val="20"/>
          <w:szCs w:val="20"/>
          <w:color w:val="auto"/>
        </w:rPr>
      </w:pPr>
    </w:p>
    <w:p>
      <w:pPr>
        <w:spacing w:after="0" w:line="349" w:lineRule="exact"/>
        <w:rPr>
          <w:sz w:val="20"/>
          <w:szCs w:val="20"/>
          <w:color w:val="auto"/>
        </w:rPr>
      </w:pPr>
    </w:p>
    <w:p>
      <w:pPr>
        <w:jc w:val="both"/>
        <w:ind w:right="1300"/>
        <w:spacing w:after="0" w:line="277" w:lineRule="auto"/>
        <w:rPr>
          <w:sz w:val="20"/>
          <w:szCs w:val="20"/>
          <w:color w:val="auto"/>
        </w:rPr>
      </w:pPr>
      <w:r>
        <w:rPr>
          <w:rFonts w:ascii="Arial" w:cs="Arial" w:eastAsia="Arial" w:hAnsi="Arial"/>
          <w:sz w:val="18"/>
          <w:szCs w:val="18"/>
          <w:color w:val="auto"/>
        </w:rPr>
        <w:t>174,636,240 shares (based on total shares outstanding as of June 16, 2021).</w:t>
      </w:r>
    </w:p>
    <w:p>
      <w:pPr>
        <w:spacing w:after="0" w:line="103" w:lineRule="exact"/>
        <w:rPr>
          <w:sz w:val="20"/>
          <w:szCs w:val="20"/>
          <w:color w:val="auto"/>
        </w:rPr>
      </w:pPr>
    </w:p>
    <w:p>
      <w:pPr>
        <w:sectPr>
          <w:pgSz w:w="11900" w:h="16838" w:orient="portrait"/>
          <w:cols w:equalWidth="0" w:num="2">
            <w:col w:w="5300" w:space="340"/>
            <w:col w:w="5380"/>
          </w:cols>
          <w:pgMar w:left="440" w:top="265" w:right="439" w:bottom="1440" w:gutter="0" w:footer="0" w:header="0"/>
          <w:type w:val="continuous"/>
        </w:sectPr>
      </w:pPr>
    </w:p>
    <w:p>
      <w:pPr>
        <w:ind w:left="1320"/>
        <w:spacing w:after="0"/>
        <w:tabs>
          <w:tab w:leader="none" w:pos="5620" w:val="left"/>
        </w:tabs>
        <w:rPr>
          <w:sz w:val="20"/>
          <w:szCs w:val="20"/>
          <w:color w:val="auto"/>
        </w:rPr>
      </w:pPr>
      <w:r>
        <w:rPr>
          <w:rFonts w:ascii="Arial" w:cs="Arial" w:eastAsia="Arial" w:hAnsi="Arial"/>
          <w:sz w:val="18"/>
          <w:szCs w:val="18"/>
          <w:color w:val="auto"/>
        </w:rPr>
        <w:t>Exercise Price of Warrants</w:t>
      </w:r>
      <w:r>
        <w:rPr>
          <w:sz w:val="20"/>
          <w:szCs w:val="20"/>
          <w:color w:val="auto"/>
        </w:rPr>
        <w:tab/>
      </w:r>
      <w:r>
        <w:rPr>
          <w:rFonts w:ascii="Arial" w:cs="Arial" w:eastAsia="Arial" w:hAnsi="Arial"/>
          <w:sz w:val="17"/>
          <w:szCs w:val="17"/>
          <w:color w:val="auto"/>
        </w:rPr>
        <w:t>$11.50 per share, subject to adjustment as described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herein.</w:t>
      </w:r>
    </w:p>
    <w:p>
      <w:pPr>
        <w:spacing w:after="0" w:line="130" w:lineRule="exact"/>
        <w:rPr>
          <w:sz w:val="20"/>
          <w:szCs w:val="20"/>
          <w:color w:val="auto"/>
        </w:rPr>
      </w:pPr>
    </w:p>
    <w:p>
      <w:pPr>
        <w:ind w:left="1320"/>
        <w:spacing w:after="0"/>
        <w:tabs>
          <w:tab w:leader="none" w:pos="56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will receive up to an aggregate of approximately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$224.3  million  from  the  exercise  of  the  Warrants,</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assuming the exercise in full of all of the Warrants for</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cash. We expect to use the net proceeds from the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exercise of the Warrants for general corporate purposes.</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See the section entitled “Use of Proceeds.”</w:t>
      </w:r>
    </w:p>
    <w:p>
      <w:pPr>
        <w:spacing w:after="0" w:line="13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Resale of Class A Common Stock and Warrants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Shares of Class A Common Stock Offered by the</w:t>
      </w:r>
    </w:p>
    <w:p>
      <w:pPr>
        <w:spacing w:after="0" w:line="23" w:lineRule="exact"/>
        <w:rPr>
          <w:sz w:val="20"/>
          <w:szCs w:val="20"/>
          <w:color w:val="auto"/>
        </w:rPr>
      </w:pPr>
    </w:p>
    <w:p>
      <w:pPr>
        <w:ind w:left="1480"/>
        <w:spacing w:after="0"/>
        <w:tabs>
          <w:tab w:leader="none" w:pos="5620" w:val="left"/>
        </w:tabs>
        <w:rPr>
          <w:sz w:val="20"/>
          <w:szCs w:val="20"/>
          <w:color w:val="auto"/>
        </w:rPr>
      </w:pPr>
      <w:r>
        <w:rPr>
          <w:rFonts w:ascii="Arial" w:cs="Arial" w:eastAsia="Arial" w:hAnsi="Arial"/>
          <w:sz w:val="18"/>
          <w:szCs w:val="18"/>
          <w:color w:val="auto"/>
        </w:rPr>
        <w:t>Selling Securityholders</w:t>
      </w:r>
      <w:r>
        <w:rPr>
          <w:sz w:val="20"/>
          <w:szCs w:val="20"/>
          <w:color w:val="auto"/>
        </w:rPr>
        <w:tab/>
      </w:r>
      <w:r>
        <w:rPr>
          <w:rFonts w:ascii="Arial" w:cs="Arial" w:eastAsia="Arial" w:hAnsi="Arial"/>
          <w:sz w:val="16"/>
          <w:szCs w:val="16"/>
          <w:color w:val="auto"/>
        </w:rPr>
        <w:t>Up to (i) 105,014,011 shares of Class A Common Stock,</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consisting  of  (i)  38,750,000  issued  and  outstanding</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shares of Class A Common Stock, (ii) 59,264,011 shares</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of Class A Common Stock issuable upon exchange of</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such Selling Securityholder’s Paired Interests or Class P</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Units and (iii) 7,000,000 shares of Class A Common</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Stock issuable upon exercise of the Private Placement</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Warrants.</w:t>
      </w:r>
    </w:p>
    <w:p>
      <w:pPr>
        <w:sectPr>
          <w:pgSz w:w="11900" w:h="16838" w:orient="portrait"/>
          <w:cols w:equalWidth="0" w:num="1">
            <w:col w:w="11020"/>
          </w:cols>
          <w:pgMar w:left="440" w:top="265" w:right="439" w:bottom="1440" w:gutter="0" w:footer="0" w:header="0"/>
          <w:type w:val="continuous"/>
        </w:sectPr>
      </w:pPr>
    </w:p>
    <w:p>
      <w:pPr>
        <w:spacing w:after="0" w:line="143" w:lineRule="exact"/>
        <w:rPr>
          <w:sz w:val="20"/>
          <w:szCs w:val="20"/>
          <w:color w:val="auto"/>
        </w:rPr>
      </w:pPr>
    </w:p>
    <w:p>
      <w:pPr>
        <w:ind w:left="1320" w:right="140"/>
        <w:spacing w:after="0" w:line="481" w:lineRule="auto"/>
        <w:rPr>
          <w:sz w:val="20"/>
          <w:szCs w:val="20"/>
          <w:color w:val="auto"/>
        </w:rPr>
      </w:pPr>
      <w:r>
        <w:rPr>
          <w:rFonts w:ascii="Arial" w:cs="Arial" w:eastAsia="Arial" w:hAnsi="Arial"/>
          <w:sz w:val="18"/>
          <w:szCs w:val="18"/>
          <w:color w:val="auto"/>
        </w:rPr>
        <w:t>Warrants Offered by the Selling Securityholders Redemption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7,000,000 Private Placement Warrants.</w:t>
      </w:r>
    </w:p>
    <w:p>
      <w:pPr>
        <w:spacing w:after="0" w:line="158" w:lineRule="exact"/>
        <w:rPr>
          <w:sz w:val="20"/>
          <w:szCs w:val="20"/>
          <w:color w:val="auto"/>
        </w:rPr>
      </w:pPr>
    </w:p>
    <w:p>
      <w:pPr>
        <w:jc w:val="both"/>
        <w:ind w:right="1300"/>
        <w:spacing w:after="0" w:line="286" w:lineRule="auto"/>
        <w:rPr>
          <w:sz w:val="20"/>
          <w:szCs w:val="20"/>
          <w:color w:val="auto"/>
        </w:rPr>
      </w:pPr>
      <w:r>
        <w:rPr>
          <w:rFonts w:ascii="Arial" w:cs="Arial" w:eastAsia="Arial" w:hAnsi="Arial"/>
          <w:sz w:val="17"/>
          <w:szCs w:val="17"/>
          <w:color w:val="auto"/>
        </w:rPr>
        <w:t>The Warrants are redeemable in certain circumstances. See the section entitled “Description of our Securities— Warrants” for further discussion.</w:t>
      </w:r>
    </w:p>
    <w:p>
      <w:pPr>
        <w:spacing w:after="0" w:line="98" w:lineRule="exact"/>
        <w:rPr>
          <w:sz w:val="20"/>
          <w:szCs w:val="20"/>
          <w:color w:val="auto"/>
        </w:rPr>
      </w:pPr>
    </w:p>
    <w:p>
      <w:pPr>
        <w:sectPr>
          <w:pgSz w:w="11900" w:h="16838" w:orient="portrait"/>
          <w:cols w:equalWidth="0" w:num="2">
            <w:col w:w="4920" w:space="720"/>
            <w:col w:w="5380"/>
          </w:cols>
          <w:pgMar w:left="440" w:top="265"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88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7060" w:type="dxa"/>
            <w:vAlign w:val="bottom"/>
            <w:gridSpan w:val="2"/>
          </w:tcPr>
          <w:p>
            <w:pPr>
              <w:ind w:left="1680"/>
              <w:spacing w:after="0"/>
              <w:rPr>
                <w:sz w:val="20"/>
                <w:szCs w:val="20"/>
                <w:color w:val="auto"/>
              </w:rPr>
            </w:pPr>
            <w:r>
              <w:rPr>
                <w:rFonts w:ascii="Arial" w:cs="Arial" w:eastAsia="Arial" w:hAnsi="Arial"/>
                <w:sz w:val="18"/>
                <w:szCs w:val="18"/>
                <w:color w:val="auto"/>
              </w:rPr>
              <w:t>We will not receive any proceeds from the sale of shares</w:t>
            </w:r>
          </w:p>
        </w:tc>
      </w:tr>
      <w:tr>
        <w:trPr>
          <w:trHeight w:val="216"/>
        </w:trPr>
        <w:tc>
          <w:tcPr>
            <w:tcW w:w="10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060" w:type="dxa"/>
            <w:vAlign w:val="bottom"/>
            <w:gridSpan w:val="2"/>
          </w:tcPr>
          <w:p>
            <w:pPr>
              <w:ind w:left="1680"/>
              <w:spacing w:after="0"/>
              <w:rPr>
                <w:sz w:val="20"/>
                <w:szCs w:val="20"/>
                <w:color w:val="auto"/>
              </w:rPr>
            </w:pPr>
            <w:r>
              <w:rPr>
                <w:rFonts w:ascii="Arial" w:cs="Arial" w:eastAsia="Arial" w:hAnsi="Arial"/>
                <w:sz w:val="18"/>
                <w:szCs w:val="18"/>
                <w:color w:val="auto"/>
              </w:rPr>
              <w:t>of Class A Common Stock or Warrants by the Selling</w:t>
            </w:r>
          </w:p>
        </w:tc>
      </w:tr>
      <w:tr>
        <w:trPr>
          <w:trHeight w:val="230"/>
        </w:trPr>
        <w:tc>
          <w:tcPr>
            <w:tcW w:w="10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60" w:type="dxa"/>
            <w:vAlign w:val="bottom"/>
            <w:gridSpan w:val="2"/>
          </w:tcPr>
          <w:p>
            <w:pPr>
              <w:ind w:left="1680"/>
              <w:spacing w:after="0"/>
              <w:rPr>
                <w:sz w:val="20"/>
                <w:szCs w:val="20"/>
                <w:color w:val="auto"/>
              </w:rPr>
            </w:pPr>
            <w:r>
              <w:rPr>
                <w:rFonts w:ascii="Arial" w:cs="Arial" w:eastAsia="Arial" w:hAnsi="Arial"/>
                <w:sz w:val="18"/>
                <w:szCs w:val="18"/>
                <w:color w:val="auto"/>
              </w:rPr>
              <w:t>Securityholders.</w:t>
            </w:r>
          </w:p>
        </w:tc>
      </w:tr>
      <w:tr>
        <w:trPr>
          <w:trHeight w:val="213"/>
        </w:trPr>
        <w:tc>
          <w:tcPr>
            <w:tcW w:w="1080" w:type="dxa"/>
            <w:vAlign w:val="bottom"/>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20" w:type="dxa"/>
            <w:vAlign w:val="bottom"/>
          </w:tcPr>
          <w:p>
            <w:pPr>
              <w:jc w:val="right"/>
              <w:ind w:right="4350"/>
              <w:spacing w:after="0"/>
              <w:rPr>
                <w:sz w:val="20"/>
                <w:szCs w:val="20"/>
                <w:color w:val="auto"/>
              </w:rPr>
            </w:pPr>
            <w:r>
              <w:rPr>
                <w:rFonts w:ascii="Arial" w:cs="Arial" w:eastAsia="Arial" w:hAnsi="Arial"/>
                <w:sz w:val="18"/>
                <w:szCs w:val="18"/>
                <w:color w:val="auto"/>
              </w:rPr>
              <w:t>5</w:t>
            </w: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type w:val="continuous"/>
        </w:sectPr>
      </w:pPr>
    </w:p>
    <w:bookmarkStart w:id="10" w:name="page11"/>
    <w:bookmarkEnd w:id="10"/>
    <w:p>
      <w:pPr>
        <w:ind w:left="10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40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Lock-Up Restrictions</w:t>
            </w:r>
          </w:p>
        </w:tc>
        <w:tc>
          <w:tcPr>
            <w:tcW w:w="482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Certain  of  our  stockholders  are  subject  to  certain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restrictions  on  transfer  until  the  termination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applicable  lock-up  periods.  See  the  section  entitled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“Certain Relationships and Related Party Transactions”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4060" w:type="dxa"/>
            <w:vAlign w:val="bottom"/>
          </w:tcPr>
          <w:p>
            <w:pPr>
              <w:spacing w:after="0"/>
              <w:rPr>
                <w:sz w:val="20"/>
                <w:szCs w:val="20"/>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for further discussion.</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w w:val="98"/>
              </w:rPr>
              <w:t>Market for Class A Common Stock and Warrants</w:t>
            </w: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Our Class A Common Stock and Public Warrants are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currently traded on Nasdaq under the symbols “MAPS”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4060" w:type="dxa"/>
            <w:vAlign w:val="bottom"/>
          </w:tcPr>
          <w:p>
            <w:pPr>
              <w:spacing w:after="0"/>
              <w:rPr>
                <w:sz w:val="20"/>
                <w:szCs w:val="20"/>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and “MAPSW,” respectively.</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rPr>
              <w:t>Risk Factors</w:t>
            </w: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See  the  section  entitled  “Risk  Factors”  and  other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information included in this prospectus for a discussion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of factors you should consider before investing in our</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4060" w:type="dxa"/>
            <w:vAlign w:val="bottom"/>
          </w:tcPr>
          <w:p>
            <w:pPr>
              <w:spacing w:after="0"/>
              <w:rPr>
                <w:sz w:val="20"/>
                <w:szCs w:val="20"/>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securities.</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c>
          <w:tcPr>
            <w:tcW w:w="482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820" w:type="dxa"/>
            <w:vAlign w:val="bottom"/>
          </w:tcPr>
          <w:p>
            <w:pPr>
              <w:ind w:left="300"/>
              <w:spacing w:after="0"/>
              <w:rPr>
                <w:sz w:val="20"/>
                <w:szCs w:val="20"/>
                <w:color w:val="auto"/>
              </w:rPr>
            </w:pPr>
            <w:r>
              <w:rPr>
                <w:rFonts w:ascii="Arial" w:cs="Arial" w:eastAsia="Arial" w:hAnsi="Arial"/>
                <w:sz w:val="18"/>
                <w:szCs w:val="18"/>
                <w:color w:val="auto"/>
              </w:rPr>
              <w:t>6</w:t>
            </w:r>
          </w:p>
        </w:tc>
        <w:tc>
          <w:tcPr>
            <w:tcW w:w="1040" w:type="dxa"/>
            <w:vAlign w:val="bottom"/>
          </w:tcPr>
          <w:p>
            <w:pPr>
              <w:spacing w:after="0"/>
              <w:rPr>
                <w:sz w:val="24"/>
                <w:szCs w:val="24"/>
                <w:color w:val="auto"/>
              </w:rPr>
            </w:pPr>
          </w:p>
        </w:tc>
      </w:tr>
      <w:tr>
        <w:trPr>
          <w:trHeight w:val="196"/>
        </w:trPr>
        <w:tc>
          <w:tcPr>
            <w:tcW w:w="110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include, among others, the following:</w:t>
      </w:r>
    </w:p>
    <w:p>
      <w:pPr>
        <w:spacing w:after="0" w:line="62" w:lineRule="exact"/>
        <w:rPr>
          <w:sz w:val="20"/>
          <w:szCs w:val="20"/>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concentrated in California, and, as a result, our performance may be affected by factors unique to the California market.</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8" w:lineRule="exact"/>
        <w:rPr>
          <w:rFonts w:ascii="Arial" w:cs="Arial" w:eastAsia="Arial" w:hAnsi="Arial"/>
          <w:sz w:val="18"/>
          <w:szCs w:val="18"/>
          <w:color w:val="auto"/>
        </w:rPr>
      </w:pPr>
    </w:p>
    <w:p>
      <w:pPr>
        <w:jc w:val="both"/>
        <w:ind w:left="1000" w:right="319" w:hanging="348"/>
        <w:spacing w:after="0" w:line="342"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currently subject to an ongoing inquiry by the U.S. Attorney’s Office for the Eastern District of California, the results of which could result in material liability and have an adverse effect on our business.</w:t>
      </w:r>
    </w:p>
    <w:p>
      <w:pPr>
        <w:spacing w:after="0" w:line="15" w:lineRule="exact"/>
        <w:rPr>
          <w:rFonts w:ascii="Arial" w:cs="Arial" w:eastAsia="Arial" w:hAnsi="Arial"/>
          <w:sz w:val="16"/>
          <w:szCs w:val="16"/>
          <w:color w:val="auto"/>
        </w:rPr>
      </w:pPr>
    </w:p>
    <w:p>
      <w:pPr>
        <w:jc w:val="both"/>
        <w:ind w:left="1000" w:right="299" w:hanging="348"/>
        <w:spacing w:after="0" w:line="272"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rFonts w:ascii="Arial" w:cs="Arial" w:eastAsia="Arial" w:hAnsi="Arial"/>
          <w:sz w:val="17"/>
          <w:szCs w:val="17"/>
          <w:color w:val="auto"/>
        </w:rPr>
      </w:pPr>
    </w:p>
    <w:p>
      <w:pPr>
        <w:jc w:val="both"/>
        <w:ind w:left="1000" w:right="299" w:hanging="348"/>
        <w:spacing w:after="0" w:line="272"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29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62" w:lineRule="exact"/>
        <w:rPr>
          <w:rFonts w:ascii="Arial" w:cs="Arial" w:eastAsia="Arial" w:hAnsi="Arial"/>
          <w:sz w:val="18"/>
          <w:szCs w:val="18"/>
          <w:color w:val="auto"/>
        </w:rPr>
      </w:pPr>
    </w:p>
    <w:p>
      <w:pPr>
        <w:jc w:val="both"/>
        <w:ind w:left="1000" w:right="299" w:hanging="348"/>
        <w:spacing w:after="0" w:line="279"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payment system and the payment systems of our clients depend on third-party providers and are subject to evolving laws and regulations.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48" w:lineRule="exact"/>
        <w:rPr>
          <w:sz w:val="20"/>
          <w:szCs w:val="20"/>
          <w:color w:val="auto"/>
        </w:rPr>
      </w:pPr>
    </w:p>
    <w:p>
      <w:pPr>
        <w:ind w:left="660" w:right="319"/>
        <w:spacing w:after="0" w:line="277" w:lineRule="auto"/>
        <w:rPr>
          <w:sz w:val="20"/>
          <w:szCs w:val="20"/>
          <w:color w:val="auto"/>
        </w:rPr>
      </w:pPr>
      <w:r>
        <w:rPr>
          <w:rFonts w:ascii="Arial" w:cs="Arial" w:eastAsia="Arial" w:hAnsi="Arial"/>
          <w:sz w:val="18"/>
          <w:szCs w:val="18"/>
          <w:b w:val="1"/>
          <w:bCs w:val="1"/>
          <w:i w:val="1"/>
          <w:iCs w:val="1"/>
          <w:color w:val="auto"/>
        </w:rPr>
        <w:t>As our costs increase, we may not be able to generate sufficient revenue to maintain profitability in the future.</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While our revenue has grown in recent periods, this growth may not be sustainable due to a number of factors, including the maturation of our business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68" w:lineRule="exact"/>
        <w:rPr>
          <w:sz w:val="20"/>
          <w:szCs w:val="20"/>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marketing, including continued investment in our current marketing efforts and future marketing initiatives;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of additional employees, including our product and engineering teams;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domestically and internationally in an effort to increase our client usage, client base, and our sales to our clients;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new products, and increased investment in the ongoing development of our existing products; and</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3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compete in a dynamic, innovative market, which we expect will continue to evolve rapidly. We believe that our success is dependent on our ability to continue identifying and anticipating the needs of our clients and consumers and growing our two-sided network by retaining our existing clients and consumers and adding new clients and consumers. This two-sided network takes time to build and may grow more slowly than we expect or than it has grown in the past. As we have become larger through organic growth, the growth rates for MAUs, number of paying clients and monthly revenue per client have at times slowed and may similarly slow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network will be diminished.</w:t>
      </w:r>
    </w:p>
    <w:p>
      <w:pPr>
        <w:spacing w:after="0" w:line="7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the costs associated with client and consumer retention are substantially lower than costs associated with the acquisition of new clients or consumers. We have incurred significant costs to attract clients to our platform and expect to incur significant additional costs to attract and retain clients for the foreseeable future. Because expenditures on our platform can represent a significant financial investment for our clients, our ability to retain clients depends in part on our ability to create and maintain high levels of client satisfaction, which we may not always be capable of providing, including for reasons outside of our control. Our clients generally do not have long-term obligations to purchase our products and solutions and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fail to offer the optimal pricing of our products and solutions.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have limited experience in determining the optimal pricing of our products and solutions, and we may need to change our pricing model from time to time. For example, we recently changed our pricing model for our subscription software services to our WM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WM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fail to expand effectively into new markets, our revenue and business will be adversely affected.</w:t>
      </w:r>
    </w:p>
    <w:p>
      <w:pPr>
        <w:spacing w:after="0" w:line="14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For example, in 2020, we re-launched our sales and marketing efforts in the state of Oregon, and we have incurred and expect to continue to incur significant expenses selling our business solutions and marketing our platform in that market.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Our business is concentrated in California, and, as a result, our performance may be affected by factors unique to the California market.</w:t>
      </w:r>
    </w:p>
    <w:p>
      <w:pPr>
        <w:spacing w:after="0" w:line="62"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California represents one of the largest state legal cannabis markets in the United States, and approximately 64.0% of our revenue for the three months ended March 31, 2021, was generated in California. As new markets develop and our current markets expand, we anticipate that there will be a reduction in the percentage of our revenue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w:t>
      </w:r>
    </w:p>
    <w:p>
      <w:pPr>
        <w:spacing w:after="0" w:line="32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4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7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315"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We are currently subject to an ongoing inquiry by the U.S. Attorney’s Office for the Eastern District of California, the results of which could result in material liability and have an adverse effect on our business.</w:t>
      </w:r>
    </w:p>
    <w:p>
      <w:pPr>
        <w:spacing w:after="0" w:line="1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September 2019, we received a grand-jury subpoena from the U.S. Attorney’s Office for the Eastern District of California, requiring the production of a broad range of documents related to our business, personnel, finances, and operations, including documents related to our dealings with various companies in the cannabis industry. We are fully cooperating with the inquiry. We cannot estimate at this time the potential impact that this inquiry and any results from this inquiry or any related proceedings could have on our business, operating results, financial condition, brand, and reputation. However, the very existence of the inquiry and our response to it could adversely impact our reputation, including our consumers’ and clients’ perception of us.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addition, cooperation with this inquiry may be time-consuming and require a great deal of financial resources and attention from us and our senior management. If, as a result of this inquiry, the U.S. Attorney’s Office initiates legal proceedings against us, we may be subject to significant financial consequences, including criminal fines and penalties, or criminal or civil forfeitures of funds or other property. We also might be required to enter into a settlement with the government resulting in a substantial payment to the government. The conduct that is the subject of the U.S. Attorney’s investigation could also form the basis for private civil litigation by third parties claiming damages from such conduct. In addition, if the U.S. Attorney’s Office or third parties challenge the legality of some of our existing business practices, we may have to change those practices, which could severely impact our business strategy and growth. Any of these consequences could have an adverse effect on our business, operating results, financial condition, brand, and reputation.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licensed status of our clients operating cannabis retail businesses, where we have historically and currently require such clients who request access to our WM Orders, WM Store’s orders feature, WM Ads, WM Retail, or WM Exchange products to provide evidence of a valid state or provincial cannabis license prior to their initial access and from time to time during the term of their use of such products. We have recently begun requiring similar evidence for retail listings clients. Previously, we only required retail listings and premium placement clients to provide us with a state license number at the time we initially onboarded them, and did not routinely validate whether that license number actually belonged to the client or whether it remains valid. We require all operational cannabis retailer clients, including storefronts and delivery services, to display on their WMH listing a valid, unexpired state-issued license number. We also do not currently require cannabis brand clients to provide a valid license number in order to get access to our listings and premium placement products. As a result, some of our clients or their listings currently and in the future may not be in compliance with licensing and related requirements under applicable state laws and regulations. There could be legal enforcement actions against unlicensed or insufficiently licensed entities selling cannabis, which could negatively impact us.</w:t>
      </w:r>
    </w:p>
    <w:p>
      <w:pPr>
        <w:spacing w:after="0" w:line="8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61" w:lineRule="exact"/>
        <w:rPr>
          <w:sz w:val="20"/>
          <w:szCs w:val="20"/>
          <w:color w:val="auto"/>
        </w:rPr>
      </w:pPr>
    </w:p>
    <w:p>
      <w:pPr>
        <w:jc w:val="both"/>
        <w:ind w:left="300" w:right="299" w:firstLine="360"/>
        <w:spacing w:after="0" w:line="316" w:lineRule="auto"/>
        <w:rPr>
          <w:sz w:val="20"/>
          <w:szCs w:val="20"/>
          <w:color w:val="auto"/>
        </w:rPr>
      </w:pPr>
      <w:r>
        <w:rPr>
          <w:rFonts w:ascii="Arial" w:cs="Arial" w:eastAsia="Arial" w:hAnsi="Arial"/>
          <w:sz w:val="15"/>
          <w:szCs w:val="15"/>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a material adverse impact on our business and operating results or financial condition, and as a result, our investors could lose their entire investment. For additional information, see the other risk factors in this section entitled “Risk Factors— 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Our business is dependent on U.S. state laws and regulations and Canadian federal and provincial laws and regulations pertaining to the cannabis industry.</w:t>
      </w:r>
    </w:p>
    <w:p>
      <w:pPr>
        <w:spacing w:after="0" w:line="62"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6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Laws and regulations affecting the cannabis industry in U.S. states and Canada are continually changing. Any change or even the speed of changes could require us to incur substantial costs associated with compliance or alter our business plan, and could detrimentally affect our operations, revenue, and profitability.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8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315"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cannabis industry - and the complex regulatory regime applicable to it -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9" w:lineRule="exact"/>
        <w:rPr>
          <w:sz w:val="20"/>
          <w:szCs w:val="20"/>
          <w:color w:val="auto"/>
        </w:rPr>
      </w:pPr>
    </w:p>
    <w:p>
      <w:pPr>
        <w:jc w:val="both"/>
        <w:ind w:left="1000" w:right="319" w:hanging="348"/>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adapting to rapidly evolving trends in the cannabis industry and the way consumers and cannabis industry businesses interact with technology;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and increasing our base of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continuing to preserve and build our brand while upgrading our existing offerings;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competing with existing and future participants in the cannabis information market and related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attracting, hiring, and retaining qualified personnel to manage operations;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adapting to changes in the cannabis industry if sales of cannabis expands significantly beyond a regulated model, and commodification of the cannabis industry;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and marketing strategies;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Expansion of our business is dependent on the continued legalization of cannabis.</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For example, some ballot measures in 2020 were delayed due to the COVID-19 pandemic.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allows cannabis businesses to deliver products in local jurisdictions that have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More litigation is likely to follow if local governments ban deliveries into their jurisdictions. This result may negatively impact the viability and attractiveness of our offerings in California going forward. We generated approximately 64.0% of our revenue for the three months ended March 31,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39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Additionally, if we filter out helpful content or fail to filter out unhelpful content, clients and consumers alike may stop or reduce their use of our platform and products, which could negatively impact our business. For example, in 2016, the media reported allegations that many of the consumer-generated reviews on our website were fake or inauthentic. Allegations made against us, whether or not accurate, can materially harm our reputation and operating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w:t>
      </w:r>
    </w:p>
    <w:p>
      <w:pPr>
        <w:spacing w:after="0" w:line="4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 Moreover, our platform has evolved substantially since we were founded in 2008. Consumers who were familiar with earlier iterations of our platform may not be aware of our increased functionality (such as WM Orders and WM Store) and as a result may turn to competitors for similar offerings.</w:t>
      </w:r>
    </w:p>
    <w:p>
      <w:pPr>
        <w:spacing w:after="0" w:line="35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53"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efficacy of our marketing efforts;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 high-quality, innovative, and error- and bug-free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high satisfaction among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quality and perceived value of our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implementing and developing new features, including alternative revenue streams;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maintain and enforce trademarks and other indicia of origin that are valuable to our brand;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differentiate our platform from competitors’ products;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compliance with laws and regulations, including those applicable to any political action committees affiliated with us and to our registered lobbying activities;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provide client support;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actual or perceived data breach or data loss, or misuse or perceived misuse of our platform.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our brand recognition and reputation may be affected by factors that are outside our control, such</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w:t>
      </w:r>
    </w:p>
    <w:p>
      <w:pPr>
        <w:spacing w:after="0" w:line="103"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of competitors or other third parties;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and timeliness of our clients’ delivery businesses;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consumers’ experiences with clients or products identified through our platform;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positive or negative publicity, including with respect to events or activities attributed to us, our employees, partners or others associated with any of these parties;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or regulatory developments.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62"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of our platform include cannabis-focused, two-sided networks like Leafly (for retailer listing pages), Dutchie and Jane Technologies (for menu embed and orders functionality), Leaflink (for B2B sales) and a variety of cannabis-focused point-of-sale providers.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marketing budgets.</w:t>
      </w:r>
    </w:p>
    <w:p>
      <w:pPr>
        <w:spacing w:after="0" w:line="8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Additionally, as the legalization of cannabis continues, cannabis cultivators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5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fail to manage our growth effectively, our brand, business and operating results could be harmed.</w:t>
      </w:r>
    </w:p>
    <w:p>
      <w:pPr>
        <w:spacing w:after="0" w:line="14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have experienced rapid organic growth in our headcount and operations, which places substantial demands on management and our operational infrastructure. As a result of our rapid growth, many of our employees have been with us for less than 24 months. To manage the expected growth of our operations and personnel, we will be required to improve existing, and implement new, transaction-processing, operational and financial systems, procedures and controls. We will also be required to expand our finance, administrative and operations staff. We intend to continue making substantial investments in our technology, sales and data infrastructure.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30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If we are unable to recruit, train, retain and motivate key personnel, we may not achieve our business objectives.</w:t>
      </w:r>
    </w:p>
    <w:p>
      <w:pPr>
        <w:spacing w:after="0" w:line="62"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Our future success depends on our ability to recruit, train, retain and motivate key personnel, including Christopher Beals, our Chief Executive Officer; Brian Camire, our General Counsel; Justin Dean, our Chief Technology Officer and Chief Information Officer; and Juanjo Feijoo, our Chief Operating Officer; and Arden Lee, our Chief Financial Officer. Competition for qualified personnel in the technology industry is intense, particularly 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Southern California, where we are headquartered. Additionally, we face additional challenges in attracting, retaining and motivating highly qualified personnel due to our relationship to the cannabis industry, which is rapidly evolving and has varying levels of social acceptance. We do not maintain fixed term employment contracts or key man life insurance with any of our employees. Any failure to attract, train, retain and motivate qualified personnel could materially harm our operating results and growth prospects.</w:t>
      </w:r>
    </w:p>
    <w:p>
      <w:pPr>
        <w:spacing w:after="0" w:line="1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Visits to our website could also decline if our accounts on Facebook, Instagram or Twitter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82"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may need to employ more resource-intensive sales methods, such as increasing our enterprise or field sales teams,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95"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Our platform is available for download on iOS and Android, and is also accessible online. As of March 31, 2021, our mobile application platform was downloaded approximately 8.8 million times on iOS and approximately 5.2 million times on Android.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7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example, we are unable to offer our WM Orders functionality in our iOS Weedmaps mobile application or in our Android Weedmaps mobile application due to restrictions imposed by the Apple iTunes App Store and Google Play, respectively. While our platform is still available in the Apple iTunes App Store and on Google Play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95"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5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To the extent we are not able to continue successfully improving and enhancing our platform, our business could be adversely affected.</w:t>
      </w:r>
    </w:p>
    <w:p>
      <w:pPr>
        <w:spacing w:after="0" w:line="17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Our payment system and the payment systems of our clients depend on third-party providers and are subject to evolving laws and regulations.</w:t>
      </w:r>
    </w:p>
    <w:p>
      <w:pPr>
        <w:spacing w:after="0" w:line="62"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and cannabis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Further, through our agreement with our third-party credit card processors, we are subject to payment card association operating rules and certification requirements, including restrictions on product mix and the Payment Card Industry Data Security Standard, or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92"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4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be unable to prevent others from aggregating or misappropriating data from our websites.</w:t>
      </w:r>
    </w:p>
    <w:p>
      <w:pPr>
        <w:spacing w:after="0" w:line="12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16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platform could adversely affect our operating results and growth prospects.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8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17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5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to regulatory investigations and enforcement and negative publicity, and may cause our clients and consumers to lose confidence in the effectiveness of our data security measures.</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6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65"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7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176" w:lineRule="exact"/>
        <w:rPr>
          <w:sz w:val="20"/>
          <w:szCs w:val="20"/>
          <w:color w:val="auto"/>
        </w:rPr>
      </w:pPr>
    </w:p>
    <w:p>
      <w:pPr>
        <w:jc w:val="both"/>
        <w:ind w:left="300" w:right="299" w:firstLine="360"/>
        <w:spacing w:after="0" w:line="327" w:lineRule="auto"/>
        <w:rPr>
          <w:sz w:val="20"/>
          <w:szCs w:val="20"/>
          <w:color w:val="auto"/>
        </w:rPr>
      </w:pPr>
      <w:r>
        <w:rPr>
          <w:rFonts w:ascii="Arial" w:cs="Arial" w:eastAsia="Arial" w:hAnsi="Arial"/>
          <w:sz w:val="15"/>
          <w:szCs w:val="15"/>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or anywhere else we operates, and the business or operations of our clients, consumers, partners or other third parties with whom we conduct business.</w:t>
      </w:r>
    </w:p>
    <w:p>
      <w:pPr>
        <w:spacing w:after="0" w:line="32"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connection with the COVID-19 pandemic, governments have implemented significant measures intended to control the spread of the virus, including closures, quarantines, travel restrictions and other social distancing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directives, and fiscal stimulus, and legislation designed to deliver monetary aid and other relief. In response to the risks posed by the COVID-19 pandemic and to comply with applicable governmental orders, we have taken active measures to promote health and safety, including requiring substantially all of our employees to work remotely, implementing additional safety protocols for any employees working onsite, and distributing masks to our employees. These and other operational changes we have implemented or may implement in the future may negatively impact productivity and disrupt our business.</w:t>
      </w:r>
    </w:p>
    <w:p>
      <w:pPr>
        <w:spacing w:after="0" w:line="8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To the extent that these restrictions remain in place, additional prevention and mitigation measures are implemented in the future, or there is uncertainty about the effectiveness of these or any other measures to contain or treat COVID-19, there is likely to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Beginning in the first quarter of fiscal 2020, we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(including from technology services fees relating to product reservation orders submitted prior to December 31, 2020, although such per order fee has been eliminated effective January 1, 2021). Although we experienced increased consumer demand in the form of increases in MAU, which grew from 7.4 million in February 2020 to 9.1 million in March 2021, we cannot determine what, if any, impact the pandemic had on our MAU growth in 2020. While we believe, like other industries, the pandemic accelerated existing trends towards consumer adoption of online platforms, we cannot be certain to what impact, if any, the end of the pandemic will have on our MAUs or MAU growth. To the extent the circumstances that accelerated the initial growth of our business stemmed from the effects of the COVID-19 pandemic, this may not continue in the future, and the growth rates in revenue and increases in MAUs may decline in future periods.</w:t>
      </w:r>
    </w:p>
    <w:p>
      <w:pPr>
        <w:spacing w:after="0" w:line="7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Shelter-in-place orders and similar regulations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Even if our clients are able to continue to operate their businesses, many may operate with limited hours and capacity and other limitations.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COVID-19. Further, these conditions may impact our ability to access financial markets to obtain the necessary funding to expand our business as currently contemplated, which may adversely affect our liquidity and working capital.</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Even if a virus or other disease does not spread significantly and such measures are not implemented, the perceived risk of infection or significant health risk may adversely affect our business. Our clients may be perceived as unsafe during such public health threats, even for order delivery or pickup. If the services offered through our platform or at other businesses in our industry become a significant risk for transmitting COVID-19 or similar public health threats, or if there is a public perception that such risk exists, demand for the use of our platform would be adversely affected.</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the CARES Act and FFCRA were enacted to provide economic relief to businesses in response to the COVID-19 pandemic. Pursuant to the relief related to federal employment taxes provided in such legislation, we have (i) elected to defer eligible payroll taxes, which will be due in two equal installments in 2021 and 2022, and</w:t>
      </w:r>
    </w:p>
    <w:p>
      <w:pPr>
        <w:spacing w:after="0" w:line="2" w:lineRule="exact"/>
        <w:rPr>
          <w:sz w:val="20"/>
          <w:szCs w:val="20"/>
          <w:color w:val="auto"/>
        </w:rPr>
      </w:pPr>
    </w:p>
    <w:p>
      <w:pPr>
        <w:jc w:val="both"/>
        <w:ind w:left="300" w:right="299" w:hanging="8"/>
        <w:spacing w:after="0" w:line="270" w:lineRule="auto"/>
        <w:tabs>
          <w:tab w:leader="none" w:pos="573"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claimed certain employment-related tax credits under the legislation. While we may be eligible to receive some economic relief pursuant to the CARES Act, FFCRA or other legislation related to the COVID-19 pandemic, cannabis businesses may not be eligible to take full advantage of the government-sponsored COVID-19 relief packages. As a result, we may not benefit from these relief efforts to the same extent other businesses do in different industries. These relief measures, including the CARES Act, may be beneficial to us in one or more reporting periods but may adversely affect us on a going-forward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extent of COVID-19’s effect on our operational and financial performance will depend on future developments, including the duration, spread and intensity of the pandemic,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may harm our business, and may also have the effect of heightening many of the other risks described in this “Risk Factors” section.</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Fluctuations in our quarterly and annual operating results may adversely affect our business and prospects.</w:t>
      </w:r>
    </w:p>
    <w:p>
      <w:pPr>
        <w:spacing w:after="0" w:line="15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68"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new clients and consumers and retain existing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global, regional or economic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ability of licensed cannabis markets to successfully grow and outcompete illegal cannabis markets;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and effectively manage an adequate rate of growth;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and increase traffic to our platform;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governmental or other regulation affecting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interruptions in platform availability and any related impact on our business, reputation or brand;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attraction and retention of qualified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improve our products and solutions in ways that forego short-term gains.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5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sell our offerings in the United States and Canada, and we have a limited number of non-monetized listings in several international countries including Austria,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76"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related to the legal and regulatory environment in foreign jurisdictions, including with respect to privacy and data protection, and unexpected changes in laws, regulatory requirements, and enforcement;</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tax requirements of multiple jurisdictions;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present our content effectively in foreign languages;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foreign locations;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regulations that might add difficulties in repatriating cash earned outside the United States and otherwise preventing us from freely moving cash;</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complying with the U.S. Foreign Corrupt Practices Act of 1977, as amended, the U.K. Bribery Act 2010, the Corruption of Public Officials Act (Canada), and similar laws in other jurisdictions; and</w:t>
      </w:r>
    </w:p>
    <w:p>
      <w:pPr>
        <w:spacing w:after="0" w:line="3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export controls and economic sanctions administered by the U.S. Department of Commerce Bureau of Industry and Security and the U.S. Treasury Department’s Office of Foreign Assets Control.</w:t>
      </w:r>
    </w:p>
    <w:p>
      <w:pPr>
        <w:spacing w:after="0" w:line="14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76"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4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5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64"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 In addition, the E.U.’s General 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7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6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and the E.U.,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5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16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Governmental regulation of the internet continues to develop, and unfavorable changes could substantially harm our business and operating results.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legal claims based on the content published to our platform.</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33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76" w:lineRule="exact"/>
        <w:rPr>
          <w:sz w:val="20"/>
          <w:szCs w:val="20"/>
          <w:color w:val="auto"/>
        </w:rPr>
      </w:pPr>
    </w:p>
    <w:p>
      <w:pPr>
        <w:jc w:val="both"/>
        <w:ind w:left="1000" w:right="319" w:hanging="348"/>
        <w:spacing w:after="0" w:line="275"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68" w:lineRule="exact"/>
        <w:rPr>
          <w:rFonts w:ascii="Arial" w:cs="Arial" w:eastAsia="Arial" w:hAnsi="Arial"/>
          <w:sz w:val="17"/>
          <w:szCs w:val="17"/>
          <w:color w:val="auto"/>
        </w:rPr>
      </w:pPr>
    </w:p>
    <w:p>
      <w:pPr>
        <w:jc w:val="both"/>
        <w:ind w:left="1000" w:right="299" w:hanging="348"/>
        <w:spacing w:after="0" w:line="259"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acquisition may result in a delay or reduction of sales for both us and the company we acquired due to uncertainty about continuity and effectiveness of products or support from either company;</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strain on our financial and managerial controls and reporting systems and procedures;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known and unknown liabilities associated with an acquired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incur debt to fund such acquisitions, such debt may subject us to material restrictions on our ability to conduct our business as well as financial maintenance covenants;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or goodwill in future acquisitions;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the extent that we issue a significant amount of equity or convertible debt securities in connection with future acquisitions, existing equity holders may be diluted and earnings per share may decrease; and</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the varying intellectual property protection strategies and other activities of an acquired company.</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75" w:lineRule="auto"/>
        <w:rPr>
          <w:sz w:val="20"/>
          <w:szCs w:val="20"/>
          <w:color w:val="auto"/>
        </w:rPr>
      </w:pPr>
      <w:r>
        <w:rPr>
          <w:rFonts w:ascii="Arial" w:cs="Arial" w:eastAsia="Arial" w:hAnsi="Arial"/>
          <w:sz w:val="15"/>
          <w:szCs w:val="15"/>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7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3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w:t>
      </w:r>
      <w:r>
        <w:rPr>
          <w:rFonts w:ascii="Arial" w:cs="Arial" w:eastAsia="Arial" w:hAnsi="Arial"/>
          <w:sz w:val="17"/>
          <w:szCs w:val="17"/>
          <w:i w:val="1"/>
          <w:iCs w:val="1"/>
          <w:color w:val="auto"/>
        </w:rPr>
        <w:t>South Dakota v. Wayfair</w:t>
      </w:r>
      <w:r>
        <w:rPr>
          <w:rFonts w:ascii="Arial" w:cs="Arial" w:eastAsia="Arial" w:hAnsi="Arial"/>
          <w:sz w:val="17"/>
          <w:szCs w:val="17"/>
          <w:color w:val="auto"/>
        </w:rPr>
        <w:t xml:space="preserve">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be subject to potential adverse tax consequences both domestically and in foreign jurisdictions.</w:t>
      </w:r>
    </w:p>
    <w:p>
      <w:pPr>
        <w:spacing w:after="0" w:line="14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a limited liability company that is treated as a partnership for U.S. federal and most applicable state and local income tax purposes. As a result, we generally are not liable for U.S. federal or state and local income taxes in most jurisdictions in which we operate. 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Changes in accounting standards or other factors could negatively impact our future effective tax rate.</w:t>
      </w:r>
    </w:p>
    <w:p>
      <w:pPr>
        <w:spacing w:after="0" w:line="14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Although we believe that our tax estimates are reasonable, we cannot ensure that the final determination of tax audits or tax disputes will not be different from what is reflected in our historical income tax provisions and accruals.</w:t>
      </w:r>
    </w:p>
    <w:p>
      <w:pPr>
        <w:spacing w:after="0" w:line="1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62"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5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7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administrative burden as a result of operating as a public company, and our management will devote substantial time to new compliance initiatives.</w:t>
      </w:r>
    </w:p>
    <w:p>
      <w:pPr>
        <w:spacing w:after="0" w:line="62"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as defined in Section 2(a) of the Securities Act.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we or our independent registered public accounting firm identifies additional material weaknesses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65"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qualify as an “emerging growth company” and a “smaller reporting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79"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We will qualify as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continues to be an emerging growth company, including, but not limited to, (a) not being required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comply with the auditor attestation requirements of Section 404 of the Sarbanes- 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our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 (iv) the last day of the fiscal year following the fifth anniversary of the date of the first sale of our Common Stock in the IPO.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smaller reporting company which has opted out of using the extended transition period difficult or impossible because of the potential differences in accounting standards used.</w:t>
      </w:r>
    </w:p>
    <w:p>
      <w:pPr>
        <w:spacing w:after="0" w:line="7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Even after we no longer qualify as an “emerging growth company,” we may still qualify as a “smaller reporting company,” which would allow us to continue to take advantage of many of the same exemptions from disclosure requirements, including, among other things, not being required to comply with the auditor attestation requirements of Section 404 of the Sarbanes-Oxley Act, presenting only the two most recent fiscal years of audited financial statements in our Annual Report on Form 10-K and reduced disclosure obligations regarding executive compensation in this prospectus and our periodic reports and proxy statements.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At the Closing, our affiliates, executive officers, directors and their respective affiliates as a group beneficially own approximately 46.2%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our stockholder’s ability to bring a claim in a judicial forum that it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Salzburg et al. v. Sciabacucchi,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85"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There is no guarantee that the Warrants will be in the money at the time they become exercisable, and they may expire worthless.</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Warrants will be in the money following the time they become exercisable and prior to their expiration, and as such, the warrants may expire worthless.</w:t>
      </w:r>
    </w:p>
    <w:p>
      <w:pPr>
        <w:spacing w:after="0" w:line="18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with the approval by the holders of at least 50% of the then-outstanding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4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Warrants are issued in registered form under the Warrant Agreement between the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Class A Common Stock purchasable upon exercise of a Warrant.</w:t>
      </w:r>
    </w:p>
    <w:p>
      <w:pPr>
        <w:spacing w:after="0" w:line="18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warrantholders, thereby making such Warrants worthless.</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addition, we may redeem your Warrants after they become exercisable for a number of shares of Class A Common Stock determined based on the redemption date and the fair market value of our Class A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our Class A Common Stock had your Warrants remained outstanding.</w:t>
      </w:r>
    </w:p>
    <w:p>
      <w:pPr>
        <w:spacing w:after="0" w:line="19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5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17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5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Public Warrants.</w:t>
      </w:r>
    </w:p>
    <w:p>
      <w:pPr>
        <w:spacing w:after="0" w:line="6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Furthermore, under the Amended and Restated Registration Rights Agreement (as defined below) and the Subscription Agreement, we agreed to file within 45 days and 15 business days, respectively, of the Closing a resale shelf registration statement covering the resale of all registrable securities.</w:t>
      </w:r>
    </w:p>
    <w:p>
      <w:pPr>
        <w:spacing w:after="0" w:line="184" w:lineRule="exact"/>
        <w:rPr>
          <w:sz w:val="20"/>
          <w:szCs w:val="20"/>
          <w:color w:val="auto"/>
        </w:rPr>
      </w:pPr>
    </w:p>
    <w:p>
      <w:pPr>
        <w:jc w:val="both"/>
        <w:ind w:left="300" w:right="319" w:firstLine="360"/>
        <w:spacing w:after="0" w:line="375" w:lineRule="auto"/>
        <w:rPr>
          <w:sz w:val="20"/>
          <w:szCs w:val="20"/>
          <w:color w:val="auto"/>
        </w:rPr>
      </w:pPr>
      <w:r>
        <w:rPr>
          <w:rFonts w:ascii="Arial" w:cs="Arial" w:eastAsia="Arial" w:hAnsi="Arial"/>
          <w:sz w:val="15"/>
          <w:szCs w:val="15"/>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76"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investors;</w:t>
      </w:r>
    </w:p>
    <w:p>
      <w:pPr>
        <w:spacing w:after="0" w:line="90"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preferred stock is issued with rights senior to those afforded our Class A Common Stock;</w:t>
      </w:r>
    </w:p>
    <w:p>
      <w:pPr>
        <w:spacing w:after="0" w:line="21"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16" w:lineRule="exact"/>
        <w:rPr>
          <w:rFonts w:ascii="Arial" w:cs="Arial" w:eastAsia="Arial" w:hAnsi="Arial"/>
          <w:sz w:val="17"/>
          <w:szCs w:val="17"/>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The impact of global, regional or local economic and market conditions may adversely affect our business, operating results and financial condition.</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may be disproportionately affected by economic downturns. Clients may choose to allocate their spending to items other than our platform, especially during economic downturns.</w:t>
      </w:r>
    </w:p>
    <w:p>
      <w:pPr>
        <w:spacing w:after="0" w:line="7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35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314"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1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All of the Class A Common Stock and Warrants offered by the Selling Securityholders pursuant to this prospectus will be sold by the Selling Securityholders for their respective accounts. We will not receive any of the proceeds from these sales.</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offering price of the shares of Class A Common Stock underlying the Warrants offered hereby is determined by reference to the exercise price of the Warrants of $11.50 per share. The Public Warrants are listed on Nasdaq under the symbol “MAPSW.”</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or Warrants may be sold by the Selling Securityholders under this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Our Class A Common Stock and Public Warrants are currently listed on Nasdaq under the symbols “MAPS” and “MAPSW,” respectively. Prior to the consummation of the Business Combination, our Class A Common Stock and our Public Warrants were listed on Nasdaq under the symbols “SSPKU” and “SSPKW,” respectively. As of June 16, 2021, following the completion of the Business Combination, there 63,738,563 shares of Class A Common Stock issued and outstanding held of record by 70 holders, 65,502,347 shares of Class V Common Stock issued and outstanding held of record by 23 holders and 19,499,993 Warrants outstanding held of record by two holders. No market exists for the Class V Common Stock. We currently do not intend to list the Private Placement Warrants offered hereby on any stock exchange or stock market.</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the we or our subsidiaries incur. We do not anticipate declaring any cash dividends to holders of Common Stock in the foreseeable future.</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As of June 16, 2021, we did not have any securities authorized for issuance under equity compensation plans. In connection with the Business Combination, our stockholders approved WM Technology, Inc. 2021 Equity Incentive Plan (the “2021 Plan”) on June 10, 2021, which became effective immediately upon the Closing.</w:t>
      </w:r>
    </w:p>
    <w:p>
      <w:pPr>
        <w:spacing w:after="0" w:line="4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the shares of Class A Common Stock issued or issuable under the 2021 Plan. Any such Form S-8 registration statement will become effective automatically upon filing. We expect that the initial registration statement on Form S-8 will cover shares of Class A Common Stock underlying the 2021 Plan. Once these shares are registered, they can be sold in the public market upon issuance, subject to applicable restrictions.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 OF LEGACY WMH</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The following tables set forth a summary of Legacy WMH’s historical consolidated financial and operating data as of, and for the periods ended on, the dates indicated. The selected historical consolidated statements of income data of Legacy WMH for the years ended December 31, 2018, 2019 and 2020, and the historical consolidated balance sheet data as of December 31, 2019 and 2020, are derived from Legacy WMH’s audited consolidated financial statements included elsewhere in this prospectus. The selected historical consolidated statements of operations data of Legacy WMH for the three months ended March 31, 2020 and 2021 and the consolidated balance sheet data as of March 31, 2020 and 2021 are derived from Legacy WMH’s unaudited interim condensed consolidated financial statements included elsewhere in this prospectus. In Legacy WMH’s management’s opinion, the unaudited interim condensed consolidated financial statements include all adjustments necessary to state fairly Legacy WMH’s financial position as of March 31, 2020 and March 31, 2021, and the results of operations for the three months ended March 31, 2020 and 2021. Legacy WMH’s historical results are not necessarily indicative of the results that may be expected in the future and Legacy WMH’s results for the three months ended March 31, 2021 are not necessarily indicative of the results that may be expected for the full year ending December 31, 2021 or any other period. You should read the following selected historical consolidated financial and operating data together with “Management’s Discussion and Analysis of Financial Condition and Results of Operations” and Legacy WMH’s consolidated financial statements and related notes included elsewhere in this prospectus.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Statements of Income Data:</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jc w:val="center"/>
              <w:ind w:right="111"/>
              <w:spacing w:after="0"/>
              <w:rPr>
                <w:sz w:val="20"/>
                <w:szCs w:val="20"/>
                <w:color w:val="auto"/>
              </w:rPr>
            </w:pPr>
            <w:r>
              <w:rPr>
                <w:rFonts w:ascii="Arial" w:cs="Arial" w:eastAsia="Arial" w:hAnsi="Arial"/>
                <w:sz w:val="14"/>
                <w:szCs w:val="14"/>
                <w:b w:val="1"/>
                <w:bCs w:val="1"/>
                <w:color w:val="auto"/>
                <w:w w:val="95"/>
              </w:rPr>
              <w:t>Three Months Ended</w:t>
            </w:r>
          </w:p>
        </w:tc>
      </w:tr>
      <w:tr>
        <w:trPr>
          <w:trHeight w:val="186"/>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Pr>
          <w:p>
            <w:pPr>
              <w:spacing w:after="0"/>
              <w:rPr>
                <w:sz w:val="16"/>
                <w:szCs w:val="16"/>
                <w:color w:val="auto"/>
              </w:rPr>
            </w:pPr>
          </w:p>
        </w:tc>
      </w:tr>
      <w:tr>
        <w:trPr>
          <w:trHeight w:val="53"/>
        </w:trPr>
        <w:tc>
          <w:tcPr>
            <w:tcW w:w="39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4"/>
        </w:trPr>
        <w:tc>
          <w:tcPr>
            <w:tcW w:w="3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9"/>
                <w:szCs w:val="19"/>
                <w:color w:val="auto"/>
              </w:rPr>
            </w:pPr>
          </w:p>
        </w:tc>
        <w:tc>
          <w:tcPr>
            <w:tcW w:w="720" w:type="dxa"/>
            <w:vAlign w:val="bottom"/>
          </w:tcPr>
          <w:p>
            <w:pPr>
              <w:jc w:val="center"/>
              <w:ind w:right="171"/>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9"/>
                <w:szCs w:val="19"/>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9"/>
                <w:szCs w:val="19"/>
                <w:color w:val="auto"/>
              </w:rPr>
            </w:pPr>
          </w:p>
        </w:tc>
        <w:tc>
          <w:tcPr>
            <w:tcW w:w="540" w:type="dxa"/>
            <w:vAlign w:val="bottom"/>
          </w:tcPr>
          <w:p>
            <w:pPr>
              <w:jc w:val="right"/>
              <w:ind w:right="151"/>
              <w:spacing w:after="0"/>
              <w:rPr>
                <w:sz w:val="20"/>
                <w:szCs w:val="20"/>
                <w:color w:val="auto"/>
              </w:rPr>
            </w:pPr>
            <w:r>
              <w:rPr>
                <w:rFonts w:ascii="Arial" w:cs="Arial" w:eastAsia="Arial" w:hAnsi="Arial"/>
                <w:sz w:val="14"/>
                <w:szCs w:val="14"/>
                <w:b w:val="1"/>
                <w:bCs w:val="1"/>
                <w:color w:val="auto"/>
                <w:w w:val="89"/>
              </w:rPr>
              <w:t>2021</w:t>
            </w:r>
          </w:p>
        </w:tc>
      </w:tr>
      <w:tr>
        <w:trPr>
          <w:trHeight w:val="53"/>
        </w:trPr>
        <w:tc>
          <w:tcPr>
            <w:tcW w:w="39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gridSpan w:val="5"/>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Borders>
              <w:bottom w:val="single" w:sz="8" w:color="auto"/>
            </w:tcBorders>
            <w:gridSpan w:val="4"/>
          </w:tcPr>
          <w:p>
            <w:pPr>
              <w:spacing w:after="0"/>
              <w:rPr>
                <w:sz w:val="4"/>
                <w:szCs w:val="4"/>
                <w:color w:val="auto"/>
              </w:rPr>
            </w:pPr>
          </w:p>
        </w:tc>
      </w:tr>
      <w:tr>
        <w:trPr>
          <w:trHeight w:val="187"/>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(in thousands, except unit</w:t>
            </w: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(in thousands, except unit</w:t>
            </w:r>
          </w:p>
        </w:tc>
      </w:tr>
      <w:tr>
        <w:trPr>
          <w:trHeight w:val="186"/>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and per unit)</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center"/>
              <w:ind w:right="71"/>
              <w:spacing w:after="0"/>
              <w:rPr>
                <w:sz w:val="20"/>
                <w:szCs w:val="20"/>
                <w:color w:val="auto"/>
              </w:rPr>
            </w:pPr>
            <w:r>
              <w:rPr>
                <w:rFonts w:ascii="Arial" w:cs="Arial" w:eastAsia="Arial" w:hAnsi="Arial"/>
                <w:sz w:val="14"/>
                <w:szCs w:val="14"/>
                <w:b w:val="1"/>
                <w:bCs w:val="1"/>
                <w:color w:val="auto"/>
                <w:w w:val="94"/>
              </w:rPr>
              <w:t>and per unit)</w:t>
            </w:r>
          </w:p>
        </w:tc>
      </w:tr>
      <w:tr>
        <w:trPr>
          <w:trHeight w:val="53"/>
        </w:trPr>
        <w:tc>
          <w:tcPr>
            <w:tcW w:w="39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98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18"/>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tcBorders>
              <w:bottom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7"/>
              </w:rPr>
              <w:t>$101,402</w:t>
            </w:r>
          </w:p>
        </w:tc>
        <w:tc>
          <w:tcPr>
            <w:tcW w:w="98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$144,232</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$161,791</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4"/>
              </w:rPr>
              <w:t>32,210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41,154</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6,304</w:t>
            </w:r>
          </w:p>
        </w:tc>
        <w:tc>
          <w:tcPr>
            <w:tcW w:w="260" w:type="dxa"/>
            <w:vAlign w:val="bottom"/>
          </w:tcPr>
          <w:p>
            <w:pPr>
              <w:spacing w:after="0"/>
              <w:rPr>
                <w:sz w:val="23"/>
                <w:szCs w:val="23"/>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7,074</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7,630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1,607</w:t>
            </w: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1,857</w:t>
            </w: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95,098</w:t>
            </w:r>
          </w:p>
        </w:tc>
        <w:tc>
          <w:tcPr>
            <w:tcW w:w="980" w:type="dxa"/>
            <w:vAlign w:val="bottom"/>
            <w:tcBorders>
              <w:bottom w:val="single" w:sz="8" w:color="CCEEFF"/>
            </w:tcBorders>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137,158</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154,161</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4"/>
              </w:rPr>
              <w:t>30,603</w:t>
            </w: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39,297</w:t>
            </w:r>
          </w:p>
        </w:tc>
      </w:tr>
      <w:tr>
        <w:trPr>
          <w:trHeight w:val="270"/>
        </w:trPr>
        <w:tc>
          <w:tcPr>
            <w:tcW w:w="39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17,799</w:t>
            </w:r>
          </w:p>
        </w:tc>
        <w:tc>
          <w:tcPr>
            <w:tcW w:w="2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0"/>
              </w:rPr>
              <w:t>39,746</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6,631</w:t>
            </w: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9,117</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1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4"/>
              </w:rPr>
              <w:t>20,034</w:t>
            </w:r>
          </w:p>
        </w:tc>
        <w:tc>
          <w:tcPr>
            <w:tcW w:w="260" w:type="dxa"/>
            <w:vAlign w:val="bottom"/>
          </w:tcPr>
          <w:p>
            <w:pPr>
              <w:spacing w:after="0"/>
              <w:rPr>
                <w:sz w:val="23"/>
                <w:szCs w:val="23"/>
                <w:color w:val="auto"/>
              </w:rPr>
            </w:pPr>
          </w:p>
        </w:tc>
        <w:tc>
          <w:tcPr>
            <w:tcW w:w="720" w:type="dxa"/>
            <w:vAlign w:val="bottom"/>
          </w:tcPr>
          <w:p>
            <w:pPr>
              <w:jc w:val="right"/>
              <w:ind w:right="111"/>
              <w:spacing w:after="0"/>
              <w:rPr>
                <w:sz w:val="20"/>
                <w:szCs w:val="20"/>
                <w:color w:val="auto"/>
              </w:rPr>
            </w:pPr>
            <w:r>
              <w:rPr>
                <w:rFonts w:ascii="Arial" w:cs="Arial" w:eastAsia="Arial" w:hAnsi="Arial"/>
                <w:sz w:val="18"/>
                <w:szCs w:val="18"/>
                <w:color w:val="auto"/>
                <w:w w:val="90"/>
              </w:rPr>
              <w:t>29,497</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27,142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6,708</w:t>
            </w: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7,868</w:t>
            </w: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38,935</w:t>
            </w:r>
          </w:p>
        </w:tc>
        <w:tc>
          <w:tcPr>
            <w:tcW w:w="2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0"/>
              </w:rPr>
              <w:t>56,466</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4"/>
              </w:rPr>
              <w:t>11,999</w:t>
            </w: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13,366</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1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2,149</w:t>
            </w:r>
          </w:p>
        </w:tc>
        <w:tc>
          <w:tcPr>
            <w:tcW w:w="260" w:type="dxa"/>
            <w:vAlign w:val="bottom"/>
          </w:tcPr>
          <w:p>
            <w:pPr>
              <w:spacing w:after="0"/>
              <w:rPr>
                <w:sz w:val="23"/>
                <w:szCs w:val="23"/>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5,162</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3,978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999</w:t>
            </w: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78,917</w:t>
            </w:r>
          </w:p>
        </w:tc>
        <w:tc>
          <w:tcPr>
            <w:tcW w:w="980" w:type="dxa"/>
            <w:vAlign w:val="bottom"/>
            <w:tcBorders>
              <w:bottom w:val="single" w:sz="8" w:color="CCEEFF"/>
            </w:tcBorders>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130,871</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112,963</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4"/>
              </w:rPr>
              <w:t>26,337</w:t>
            </w: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31,353</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(1,827)</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w w:val="98"/>
              </w:rPr>
              <w:t>(5,341)</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(457)</w:t>
            </w: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before tax</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14,354</w:t>
            </w:r>
          </w:p>
        </w:tc>
        <w:tc>
          <w:tcPr>
            <w:tcW w:w="2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946</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3,809</w:t>
            </w: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7,972</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1,321</w:t>
            </w:r>
          </w:p>
        </w:tc>
        <w:tc>
          <w:tcPr>
            <w:tcW w:w="16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14,354</w:t>
            </w:r>
          </w:p>
        </w:tc>
        <w:tc>
          <w:tcPr>
            <w:tcW w:w="2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(375)</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3,809</w:t>
            </w: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(1,675)</w:t>
            </w:r>
          </w:p>
        </w:tc>
        <w:tc>
          <w:tcPr>
            <w:tcW w:w="260" w:type="dxa"/>
            <w:vAlign w:val="bottom"/>
          </w:tcPr>
          <w:p>
            <w:pPr>
              <w:spacing w:after="0"/>
              <w:rPr>
                <w:sz w:val="23"/>
                <w:szCs w:val="23"/>
                <w:color w:val="auto"/>
              </w:rPr>
            </w:pPr>
          </w:p>
        </w:tc>
        <w:tc>
          <w:tcPr>
            <w:tcW w:w="7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12,679</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3,809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r>
      <w:tr>
        <w:trPr>
          <w:trHeight w:val="270"/>
        </w:trPr>
        <w:tc>
          <w:tcPr>
            <w:tcW w:w="3900" w:type="dxa"/>
            <w:vAlign w:val="bottom"/>
          </w:tcPr>
          <w:p>
            <w:pPr>
              <w:spacing w:after="0"/>
              <w:rPr>
                <w:sz w:val="20"/>
                <w:szCs w:val="20"/>
                <w:color w:val="auto"/>
              </w:rPr>
            </w:pPr>
            <w:r>
              <w:rPr>
                <w:rFonts w:ascii="Arial" w:cs="Arial" w:eastAsia="Arial" w:hAnsi="Arial"/>
                <w:sz w:val="18"/>
                <w:szCs w:val="18"/>
                <w:b w:val="1"/>
                <w:bCs w:val="1"/>
                <w:color w:val="auto"/>
              </w:rPr>
              <w:t>EARNINGS (LOSS) PER UNIT</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and diluted earnings (loss) per Class A-1, A-</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264"/>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 and A-3 units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16.95</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56"/>
        </w:trPr>
        <w:tc>
          <w:tcPr>
            <w:tcW w:w="3900" w:type="dxa"/>
            <w:vAlign w:val="bottom"/>
          </w:tcPr>
          <w:p>
            <w:pPr>
              <w:spacing w:after="0"/>
              <w:rPr>
                <w:sz w:val="20"/>
                <w:szCs w:val="20"/>
                <w:color w:val="auto"/>
              </w:rPr>
            </w:pPr>
            <w:r>
              <w:rPr>
                <w:rFonts w:ascii="Arial" w:cs="Arial" w:eastAsia="Arial" w:hAnsi="Arial"/>
                <w:sz w:val="18"/>
                <w:szCs w:val="18"/>
                <w:color w:val="auto"/>
                <w:w w:val="97"/>
              </w:rPr>
              <w:t>Basic and diluted earnings per Class A-1, A-2 and</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A-3 units from discontinued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and diluted earnings (loss) per Class A-1, A-</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264"/>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 and A-3 units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14.97</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56"/>
        </w:trPr>
        <w:tc>
          <w:tcPr>
            <w:tcW w:w="3900" w:type="dxa"/>
            <w:vAlign w:val="bottom"/>
          </w:tcPr>
          <w:p>
            <w:pPr>
              <w:spacing w:after="0"/>
              <w:rPr>
                <w:sz w:val="20"/>
                <w:szCs w:val="20"/>
                <w:color w:val="auto"/>
              </w:rPr>
            </w:pPr>
            <w:r>
              <w:rPr>
                <w:rFonts w:ascii="Arial" w:cs="Arial" w:eastAsia="Arial" w:hAnsi="Arial"/>
                <w:sz w:val="18"/>
                <w:szCs w:val="18"/>
                <w:color w:val="auto"/>
              </w:rPr>
              <w:t>Basic and diluted weighted-average number of</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units outstanding</w:t>
            </w: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847,024</w:t>
            </w:r>
          </w:p>
        </w:tc>
        <w:tc>
          <w:tcPr>
            <w:tcW w:w="980" w:type="dxa"/>
            <w:vAlign w:val="bottom"/>
            <w:gridSpan w:val="2"/>
          </w:tcPr>
          <w:p>
            <w:pPr>
              <w:jc w:val="right"/>
              <w:ind w:right="111"/>
              <w:spacing w:after="0"/>
              <w:rPr>
                <w:sz w:val="20"/>
                <w:szCs w:val="20"/>
                <w:color w:val="auto"/>
              </w:rPr>
            </w:pPr>
            <w:r>
              <w:rPr>
                <w:rFonts w:ascii="Arial" w:cs="Arial" w:eastAsia="Arial" w:hAnsi="Arial"/>
                <w:sz w:val="18"/>
                <w:szCs w:val="18"/>
                <w:color w:val="auto"/>
              </w:rPr>
              <w:t>899,160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899,160</w:t>
            </w:r>
          </w:p>
        </w:tc>
        <w:tc>
          <w:tcPr>
            <w:tcW w:w="180" w:type="dxa"/>
            <w:vAlign w:val="bottom"/>
          </w:tcPr>
          <w:p>
            <w:pPr>
              <w:spacing w:after="0"/>
              <w:rPr>
                <w:sz w:val="20"/>
                <w:szCs w:val="20"/>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8"/>
                <w:szCs w:val="18"/>
                <w:color w:val="auto"/>
              </w:rPr>
              <w:t>899,160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899,160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-4919980</wp:posOffset>
            </wp:positionV>
            <wp:extent cx="120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-4919980</wp:posOffset>
            </wp:positionV>
            <wp:extent cx="120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-4919980</wp:posOffset>
            </wp:positionV>
            <wp:extent cx="120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HISTORICAL FINANCIAL INFORMATION OF SILVER SPIKE</w:t>
      </w:r>
    </w:p>
    <w:p>
      <w:pPr>
        <w:spacing w:after="0" w:line="121" w:lineRule="exact"/>
        <w:rPr>
          <w:sz w:val="20"/>
          <w:szCs w:val="20"/>
          <w:color w:val="auto"/>
        </w:rPr>
      </w:pPr>
    </w:p>
    <w:p>
      <w:pPr>
        <w:jc w:val="both"/>
        <w:ind w:left="1300" w:right="1300" w:firstLine="360"/>
        <w:spacing w:after="0" w:line="268" w:lineRule="auto"/>
        <w:rPr>
          <w:sz w:val="20"/>
          <w:szCs w:val="20"/>
          <w:color w:val="auto"/>
        </w:rPr>
      </w:pPr>
      <w:r>
        <w:rPr>
          <w:rFonts w:ascii="Arial" w:cs="Arial" w:eastAsia="Arial" w:hAnsi="Arial"/>
          <w:sz w:val="17"/>
          <w:szCs w:val="17"/>
          <w:color w:val="auto"/>
        </w:rPr>
        <w:t>The following tables set forth a summary of Silver Spike’s historical consolidated financial data as of, and for the periods ended on, the dates indicated. The selected historical statements of operations data of Silver Spike for the period from June 7, 2019 (inception) through December 31, 2019 and for the year ended December 31, 2020, and the historical balance sheet data as of December 31, 2019 and 2020, are derived from Silver Spike’s audited financial statements included elsewhere in this prospectus. The selected historical statements of operations data of Silver Spike for the three months ended March 31, 2020 and 2021 and the balance sheet data as of March 31, 2020 and 2021 are derived from Silver Spike’s unaudited interim financial information has been prepared on a basis consistent with Silver Spike’s audited financial statements and should be read in conjunction with the interim unaudited condensed financial statements and audited financial statements and related notes included elsewhere in this prospectus. Silver Spike’s historical results are not necessarily indicative of the results that may be expected in the future and Silver Spike’s results for the three months ended March 31, 2020 are not necessarily indicative of the results that may be expected for the full year ending December 31, 2021 or any other period. You should read the following selected historical financial data together with Silver Spike’s financial statements and related notes in Silver Spike’s Annual Report on Form 10-K/A for the year ended December 31, 2020 included elsewhere in this prospectus. In connection with the Business Combination, Legacy WMH was determined to be the accounting acquirer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3"/>
              </w:rPr>
              <w:t>As of and For the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As of and For the</w:t>
            </w: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As of and For the</w:t>
            </w:r>
          </w:p>
        </w:tc>
        <w:tc>
          <w:tcPr>
            <w:tcW w:w="1120" w:type="dxa"/>
            <w:vAlign w:val="bottom"/>
            <w:gridSpan w:val="2"/>
            <w:vMerge w:val="restart"/>
          </w:tcPr>
          <w:p>
            <w:pPr>
              <w:jc w:val="center"/>
              <w:ind w:right="12"/>
              <w:spacing w:after="0"/>
              <w:rPr>
                <w:sz w:val="20"/>
                <w:szCs w:val="20"/>
                <w:color w:val="auto"/>
              </w:rPr>
            </w:pPr>
            <w:r>
              <w:rPr>
                <w:rFonts w:ascii="Arial" w:cs="Arial" w:eastAsia="Arial" w:hAnsi="Arial"/>
                <w:sz w:val="14"/>
                <w:szCs w:val="14"/>
                <w:b w:val="1"/>
                <w:bCs w:val="1"/>
                <w:color w:val="auto"/>
                <w:w w:val="90"/>
              </w:rPr>
              <w:t>As of the</w:t>
            </w:r>
          </w:p>
        </w:tc>
        <w:tc>
          <w:tcPr>
            <w:tcW w:w="242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2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91"/>
              </w:rPr>
              <w:t>June 7, 2019</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12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93"/>
              </w:rPr>
              <w:t>Year Ended</w:t>
            </w:r>
          </w:p>
        </w:tc>
        <w:tc>
          <w:tcPr>
            <w:tcW w:w="242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Ended March 31,</w:t>
            </w:r>
          </w:p>
        </w:tc>
        <w:tc>
          <w:tcPr>
            <w:tcW w:w="1400" w:type="dxa"/>
            <w:vAlign w:val="bottom"/>
            <w:gridSpan w:val="2"/>
          </w:tcPr>
          <w:p>
            <w:pPr>
              <w:jc w:val="center"/>
              <w:ind w:left="15"/>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2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center"/>
              <w:ind w:right="212"/>
              <w:spacing w:after="0"/>
              <w:rPr>
                <w:sz w:val="20"/>
                <w:szCs w:val="20"/>
                <w:color w:val="auto"/>
              </w:rPr>
            </w:pPr>
            <w:r>
              <w:rPr>
                <w:rFonts w:ascii="Arial" w:cs="Arial" w:eastAsia="Arial" w:hAnsi="Arial"/>
                <w:sz w:val="14"/>
                <w:szCs w:val="14"/>
                <w:b w:val="1"/>
                <w:bCs w:val="1"/>
                <w:color w:val="auto"/>
                <w:w w:val="89"/>
              </w:rPr>
              <w:t>2021</w:t>
            </w:r>
          </w:p>
        </w:tc>
        <w:tc>
          <w:tcPr>
            <w:tcW w:w="560" w:type="dxa"/>
            <w:vAlign w:val="bottom"/>
          </w:tcPr>
          <w:p>
            <w:pPr>
              <w:spacing w:after="0"/>
              <w:rPr>
                <w:sz w:val="16"/>
                <w:szCs w:val="16"/>
                <w:color w:val="auto"/>
              </w:rPr>
            </w:pPr>
          </w:p>
        </w:tc>
        <w:tc>
          <w:tcPr>
            <w:tcW w:w="840" w:type="dxa"/>
            <w:vAlign w:val="bottom"/>
          </w:tcPr>
          <w:p>
            <w:pPr>
              <w:jc w:val="center"/>
              <w:ind w:right="352"/>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6"/>
                <w:szCs w:val="16"/>
                <w:color w:val="auto"/>
              </w:rPr>
            </w:pPr>
          </w:p>
        </w:tc>
        <w:tc>
          <w:tcPr>
            <w:tcW w:w="820" w:type="dxa"/>
            <w:vAlign w:val="bottom"/>
          </w:tcPr>
          <w:p>
            <w:pPr>
              <w:jc w:val="center"/>
              <w:ind w:right="292"/>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6"/>
                <w:szCs w:val="16"/>
                <w:color w:val="auto"/>
              </w:rPr>
            </w:pPr>
          </w:p>
        </w:tc>
        <w:tc>
          <w:tcPr>
            <w:tcW w:w="800" w:type="dxa"/>
            <w:vAlign w:val="bottom"/>
          </w:tcPr>
          <w:p>
            <w:pPr>
              <w:jc w:val="center"/>
              <w:ind w:right="232"/>
              <w:spacing w:after="0"/>
              <w:rPr>
                <w:sz w:val="20"/>
                <w:szCs w:val="20"/>
                <w:color w:val="auto"/>
              </w:rPr>
            </w:pPr>
            <w:r>
              <w:rPr>
                <w:rFonts w:ascii="Arial" w:cs="Arial" w:eastAsia="Arial" w:hAnsi="Arial"/>
                <w:sz w:val="14"/>
                <w:szCs w:val="14"/>
                <w:b w:val="1"/>
                <w:bCs w:val="1"/>
                <w:color w:val="auto"/>
                <w:w w:val="89"/>
              </w:rPr>
              <w:t>2019</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gridSpan w:val="4"/>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520" w:type="dxa"/>
            <w:vAlign w:val="bottom"/>
            <w:gridSpan w:val="4"/>
          </w:tcPr>
          <w:p>
            <w:pPr>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738</w:t>
            </w:r>
          </w:p>
        </w:tc>
        <w:tc>
          <w:tcPr>
            <w:tcW w:w="560" w:type="dxa"/>
            <w:vAlign w:val="bottom"/>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458</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3,864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587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9"/>
              </w:rPr>
              <w:t>(78,928)</w:t>
            </w:r>
          </w:p>
        </w:tc>
        <w:tc>
          <w:tcPr>
            <w:tcW w:w="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1,822</w:t>
            </w:r>
          </w:p>
        </w:tc>
        <w:tc>
          <w:tcPr>
            <w:tcW w:w="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9"/>
              </w:rPr>
              <w:t>(52,022)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5,353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Loss per ordinary share - basic and diluted</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(5.58)</w:t>
            </w:r>
          </w:p>
        </w:tc>
        <w:tc>
          <w:tcPr>
            <w:tcW w:w="560" w:type="dxa"/>
            <w:vAlign w:val="bottom"/>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(0.02)</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(5.94)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0.42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 of Cash Flows Data:</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(412)</w:t>
            </w:r>
          </w:p>
        </w:tc>
        <w:tc>
          <w:tcPr>
            <w:tcW w:w="560" w:type="dxa"/>
            <w:vAlign w:val="bottom"/>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(100)</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(582)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(467)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w:t>
            </w:r>
          </w:p>
        </w:tc>
        <w:tc>
          <w:tcPr>
            <w:tcW w:w="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$(250,000)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186</w:t>
            </w:r>
          </w:p>
        </w:tc>
        <w:tc>
          <w:tcPr>
            <w:tcW w:w="560" w:type="dxa"/>
            <w:vAlign w:val="bottom"/>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$(251,362)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$254,405</w:t>
            </w: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$255,021</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$254,531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w w:val="89"/>
              </w:rPr>
              <w:t>253,077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$154,400</w:t>
            </w:r>
          </w:p>
        </w:tc>
        <w:tc>
          <w:tcPr>
            <w:tcW w:w="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4"/>
              </w:rPr>
              <w:t>22,229</w:t>
            </w:r>
          </w:p>
        </w:tc>
        <w:tc>
          <w:tcPr>
            <w:tcW w:w="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8"/>
              </w:rPr>
              <w:t>75,583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22,107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redeemable ordinary shares</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98"/>
              </w:rPr>
              <w:t>95,006</w:t>
            </w: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$227,792</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$173,948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w w:val="89"/>
              </w:rPr>
              <w:t>225,970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5,000</w:t>
            </w:r>
          </w:p>
        </w:tc>
        <w:tc>
          <w:tcPr>
            <w:tcW w:w="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5,000</w:t>
            </w:r>
          </w:p>
        </w:tc>
        <w:tc>
          <w:tcPr>
            <w:tcW w:w="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5,000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center"/>
              <w:ind w:right="272"/>
              <w:spacing w:after="0"/>
              <w:rPr>
                <w:sz w:val="20"/>
                <w:szCs w:val="20"/>
                <w:color w:val="auto"/>
              </w:rPr>
            </w:pPr>
            <w:r>
              <w:rPr>
                <w:rFonts w:ascii="Arial" w:cs="Arial" w:eastAsia="Arial" w:hAnsi="Arial"/>
                <w:sz w:val="18"/>
                <w:szCs w:val="18"/>
                <w:color w:val="auto"/>
                <w:w w:val="89"/>
              </w:rPr>
              <w:t>37</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5346700</wp:posOffset>
            </wp:positionH>
            <wp:positionV relativeFrom="paragraph">
              <wp:posOffset>-3274060</wp:posOffset>
            </wp:positionV>
            <wp:extent cx="1200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4695190</wp:posOffset>
            </wp:positionH>
            <wp:positionV relativeFrom="paragraph">
              <wp:posOffset>-3274060</wp:posOffset>
            </wp:positionV>
            <wp:extent cx="1200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-3274060</wp:posOffset>
            </wp:positionV>
            <wp:extent cx="1200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following unaudited pro forma condensed combined financial information presents the combination of the financial information of Silver Spike and Legacy WMH, adjusted to give effect to the Business Combination and related transactions. The following unaudited pro forma condensed combined financial information has been prepared in accordance with Article 11 of Regulation S-X as amended by the final rule, Release 33-10786 “Amendments to Financial Disclosures about Acquired and Disposed Businesses.”</w:t>
      </w:r>
    </w:p>
    <w:p>
      <w:pPr>
        <w:spacing w:after="0" w:line="6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unaudited pro forma condensed combined balance sheet as of March 31, 2021 combines the historical balance sheet of Silver Spike and the historical balance sheet of Legacy WMH on a pro forma basis as if the Business Combination and related transactions, summarized below, had been consummated on March 31, 2021. The unaudited pro forma condensed combined statements of operations for the three months ended March 31, 2021 and year ended December 31, 2019, combine the historical statements of operations of Silver Spike and historical statements of operations of Legacy WMH for such periods on a pro forma basis as if the Business Combination and related transactions, summarized below, had been consummated on January 1, 2020, the beginning of the earliest period presented:</w:t>
      </w:r>
    </w:p>
    <w:p>
      <w:pPr>
        <w:spacing w:after="0" w:line="70" w:lineRule="exact"/>
        <w:rPr>
          <w:sz w:val="20"/>
          <w:szCs w:val="20"/>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Business Combination;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Domestication; and</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and sale of 32,500,000 shares of Class A Common Stock for a purchase price of $10.00 per share and an aggregate purchase price of $325.0 million in the PIPE subscription financing pursuant to the Subscription Agreements.</w:t>
      </w:r>
    </w:p>
    <w:p>
      <w:pPr>
        <w:spacing w:after="0" w:line="76"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unaudited pro forma condensed combined financial statements have been developed from and should be read in conjunction with:</w:t>
      </w:r>
    </w:p>
    <w:p>
      <w:pPr>
        <w:spacing w:after="0" w:line="62" w:lineRule="exact"/>
        <w:rPr>
          <w:sz w:val="20"/>
          <w:szCs w:val="20"/>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information;</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historical audited financial statements of Silver Spike as of and for the year ended December 31, 2020 and the related notes, included in the Proxy Statement/Prospectus;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historical audited financial statements of Legacy WMH as of and for the year ended December 31, 2020 and the related notes, included in the Proxy Statement/Prospectus;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historical unaudited financial statements of Silver Spike as of and for the three months ended March 31, 2021 and the related notes, included in the Proxy Statement/Prospectus;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historical unaudited financial statements of Legacy WMH as of and for the three months ended March 31, 2021 and the related notes, included in the Proxy Statement/Prospectus;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information relating to Silver Spike and Legacy WMH contained in the Proxy Statement/Prospectus, including the Merger Agreement and the description of certain terms thereof set forth in the section entitled “The Business Combination.”</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Pursuant to Silver Spike’s then-existing organizational documents, Silver Spike’s public shareholders were offered the opportunity to redeem, upon the Closing, shares of Class A ordinary shares then held by them for cash equal to their pro rata share of the aggregate amount on deposit (as of two business days prior to the Closing) in the Trust Account (as defined in the Proxy Statement/Prospectus). The unaudited condensed combined pro forma financial statements reflect actual redemptions of 10,012 shares of Class A ordinary shares at $10.17 per share.</w:t>
      </w:r>
    </w:p>
    <w:p>
      <w:pPr>
        <w:spacing w:after="0" w:line="53"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Notwithstanding the legal form of the Business Combination pursuant to the Merger Agreement, the Business Combination is accounted for as a reverse recapitalization in accordance with GAAP. Under this method of accounting, Silver Spike is treated as the acquired company and Legacy WMH is treated as the acquirer for financial statement reporting purposes. Legacy WMH has been determined to be the accounting acquirer based on evaluation of the following facts and circumstances:</w:t>
      </w:r>
    </w:p>
    <w:p>
      <w:pPr>
        <w:spacing w:after="0" w:line="80" w:lineRule="exact"/>
        <w:rPr>
          <w:sz w:val="20"/>
          <w:szCs w:val="20"/>
          <w:color w:val="auto"/>
        </w:rPr>
      </w:pPr>
    </w:p>
    <w:p>
      <w:pPr>
        <w:ind w:left="1000" w:right="31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Legacy WMH Class A Unit holders, through their ownership of the Class V Common Stock, have the greatest voting interest in the Company with over 50% of the voting interest;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Legacy WMH’s directors represent the majority of the new board of directors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Legacy WMH’s senior management is the senior management of the Company;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Legacy WMH is the larger entity based on historical operating activity and has the larger employee base.</w:t>
      </w:r>
    </w:p>
    <w:p>
      <w:pPr>
        <w:spacing w:after="0" w:line="14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Assumptions and estimates underlying the unaudited pro forma adjustments set forth in the unaudited pro forma condensed combined financial statements are described in the accompanying notes. The unaudited pro forma condensed combined financial statements have been presented for illustrative purposes only and are not necessarily indicative of the operating results and financial position that would have been achieved had the Business Combination occurred on the dates indicated. Further, the unaudited pro forma condensed combined financial statements do not purport to project the future operating results or financial position of the Company following the completion of the Business Combination.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UNAUDITED PRO FORMA CONDENSED COMBINED BALANCE SHEET AS OF MARCH 31, 2021 (in thousands)</w:t>
      </w:r>
    </w:p>
    <w:p>
      <w:pPr>
        <w:spacing w:after="0" w:line="1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Transaction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WMH</w:t>
            </w:r>
          </w:p>
        </w:tc>
        <w:tc>
          <w:tcPr>
            <w:tcW w:w="94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3"/>
              </w:rPr>
              <w:t>Silver Spike</w:t>
            </w:r>
          </w:p>
        </w:tc>
        <w:tc>
          <w:tcPr>
            <w:tcW w:w="8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w w:val="98"/>
              </w:rPr>
              <w:t>Accounting</w:t>
            </w:r>
          </w:p>
        </w:tc>
        <w:tc>
          <w:tcPr>
            <w:tcW w:w="560" w:type="dxa"/>
            <w:vAlign w:val="bottom"/>
          </w:tcPr>
          <w:p>
            <w:pPr>
              <w:spacing w:after="0"/>
              <w:rPr>
                <w:sz w:val="12"/>
                <w:szCs w:val="12"/>
                <w:color w:val="auto"/>
              </w:rPr>
            </w:pPr>
          </w:p>
        </w:tc>
        <w:tc>
          <w:tcPr>
            <w:tcW w:w="70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8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6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900" w:type="dxa"/>
            <w:vAlign w:val="bottom"/>
            <w:gridSpan w:val="6"/>
          </w:tcPr>
          <w:p>
            <w:pPr>
              <w:spacing w:after="0"/>
              <w:rPr>
                <w:sz w:val="20"/>
                <w:szCs w:val="20"/>
                <w:color w:val="auto"/>
              </w:rPr>
            </w:pPr>
            <w:r>
              <w:rPr>
                <w:rFonts w:ascii="Arial" w:cs="Arial" w:eastAsia="Arial" w:hAnsi="Arial"/>
                <w:sz w:val="14"/>
                <w:szCs w:val="14"/>
                <w:b w:val="1"/>
                <w:bCs w:val="1"/>
                <w:color w:val="auto"/>
              </w:rPr>
              <w:t>(Historical)</w:t>
            </w:r>
          </w:p>
        </w:tc>
        <w:tc>
          <w:tcPr>
            <w:tcW w:w="9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(Historical)</w:t>
            </w:r>
          </w:p>
        </w:tc>
        <w:tc>
          <w:tcPr>
            <w:tcW w:w="80" w:type="dxa"/>
            <w:vAlign w:val="bottom"/>
          </w:tcPr>
          <w:p>
            <w:pPr>
              <w:spacing w:after="0"/>
              <w:rPr>
                <w:sz w:val="16"/>
                <w:szCs w:val="16"/>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(Note 2)</w:t>
            </w:r>
          </w:p>
        </w:tc>
        <w:tc>
          <w:tcPr>
            <w:tcW w:w="560" w:type="dxa"/>
            <w:vAlign w:val="bottom"/>
          </w:tcPr>
          <w:p>
            <w:pPr>
              <w:spacing w:after="0"/>
              <w:rPr>
                <w:sz w:val="16"/>
                <w:szCs w:val="16"/>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53"/>
        </w:trPr>
        <w:tc>
          <w:tcPr>
            <w:tcW w:w="45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color w:val="auto"/>
              </w:rPr>
              <w:t>Cash</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$19,604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101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254,203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(a)</w:t>
            </w:r>
          </w:p>
        </w:tc>
        <w:tc>
          <w:tcPr>
            <w:tcW w:w="700" w:type="dxa"/>
            <w:vAlign w:val="bottom"/>
            <w:gridSpan w:val="4"/>
          </w:tcPr>
          <w:p>
            <w:pPr>
              <w:jc w:val="right"/>
              <w:ind w:right="100"/>
              <w:spacing w:after="0"/>
              <w:rPr>
                <w:sz w:val="20"/>
                <w:szCs w:val="20"/>
                <w:color w:val="auto"/>
              </w:rPr>
            </w:pPr>
            <w:r>
              <w:rPr>
                <w:rFonts w:ascii="Arial" w:cs="Arial" w:eastAsia="Arial" w:hAnsi="Arial"/>
                <w:sz w:val="14"/>
                <w:szCs w:val="14"/>
                <w:color w:val="auto"/>
                <w:w w:val="99"/>
              </w:rPr>
              <w:t>$104,529</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(8,750)</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w w:val="99"/>
              </w:rPr>
              <w:t>(30,345)</w:t>
            </w:r>
          </w:p>
        </w:tc>
        <w:tc>
          <w:tcPr>
            <w:tcW w:w="560" w:type="dxa"/>
            <w:vAlign w:val="bottom"/>
          </w:tcPr>
          <w:p>
            <w:pPr>
              <w:ind w:left="200"/>
              <w:spacing w:after="0"/>
              <w:rPr>
                <w:sz w:val="20"/>
                <w:szCs w:val="20"/>
                <w:color w:val="auto"/>
              </w:rPr>
            </w:pPr>
            <w:r>
              <w:rPr>
                <w:rFonts w:ascii="Arial" w:cs="Arial" w:eastAsia="Arial" w:hAnsi="Arial"/>
                <w:sz w:val="14"/>
                <w:szCs w:val="14"/>
                <w:color w:val="auto"/>
              </w:rPr>
              <w:t>(c)</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325,000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(102)</w:t>
            </w:r>
          </w:p>
        </w:tc>
        <w:tc>
          <w:tcPr>
            <w:tcW w:w="560" w:type="dxa"/>
            <w:vAlign w:val="bottom"/>
          </w:tcPr>
          <w:p>
            <w:pPr>
              <w:ind w:left="200"/>
              <w:spacing w:after="0"/>
              <w:rPr>
                <w:sz w:val="20"/>
                <w:szCs w:val="20"/>
                <w:color w:val="auto"/>
              </w:rPr>
            </w:pPr>
            <w:r>
              <w:rPr>
                <w:rFonts w:ascii="Arial" w:cs="Arial" w:eastAsia="Arial" w:hAnsi="Arial"/>
                <w:sz w:val="14"/>
                <w:szCs w:val="14"/>
                <w:color w:val="auto"/>
              </w:rPr>
              <w:t>(f)</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(455,182)</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4"/>
                <w:szCs w:val="14"/>
                <w:color w:val="auto"/>
              </w:rPr>
              <w:t>Accounts receivable, net</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7,553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color w:val="auto"/>
              </w:rPr>
              <w:t>7,553</w:t>
            </w: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gridSpan w:val="2"/>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(3,192)</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4,254</w:t>
            </w:r>
          </w:p>
        </w:tc>
        <w:tc>
          <w:tcPr>
            <w:tcW w:w="0" w:type="dxa"/>
            <w:vAlign w:val="bottom"/>
          </w:tcPr>
          <w:p>
            <w:pPr>
              <w:spacing w:after="0"/>
              <w:rPr>
                <w:sz w:val="1"/>
                <w:szCs w:val="1"/>
                <w:color w:val="auto"/>
              </w:rPr>
            </w:pPr>
          </w:p>
        </w:tc>
      </w:tr>
      <w:tr>
        <w:trPr>
          <w:trHeight w:val="189"/>
        </w:trPr>
        <w:tc>
          <w:tcPr>
            <w:tcW w:w="45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Total current assets</w:t>
            </w:r>
          </w:p>
        </w:tc>
        <w:tc>
          <w:tcPr>
            <w:tcW w:w="120" w:type="dxa"/>
            <w:vAlign w:val="bottom"/>
            <w:tcBorders>
              <w:top w:val="single" w:sz="8" w:color="CCEEFF"/>
            </w:tcBorders>
            <w:gridSpan w:val="2"/>
          </w:tcPr>
          <w:p>
            <w:pPr>
              <w:spacing w:after="0"/>
              <w:rPr>
                <w:sz w:val="16"/>
                <w:szCs w:val="16"/>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34,501</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203</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81,632</w:t>
            </w: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116,336</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Marketable securities held in Trust Account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254,203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(254,203)</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6,892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color w:val="auto"/>
              </w:rPr>
              <w:t>6,892</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3,961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3,961</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color w:val="auto"/>
              </w:rPr>
              <w:t>Intangible assets, net</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4,280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Right of use assets</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42,113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42,113</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color w:val="auto"/>
              </w:rPr>
              <w:t>Deferred tax asset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4"/>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157,104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(j)</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157,104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20" w:type="dxa"/>
            <w:vAlign w:val="bottom"/>
            <w:gridSpan w:val="2"/>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3,874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3,874</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580" w:type="dxa"/>
            <w:vAlign w:val="bottom"/>
            <w:gridSpan w:val="4"/>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95,621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254,406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(15,467)</w:t>
            </w:r>
          </w:p>
        </w:tc>
        <w:tc>
          <w:tcPr>
            <w:tcW w:w="560" w:type="dxa"/>
            <w:vAlign w:val="bottom"/>
          </w:tcPr>
          <w:p>
            <w:pPr>
              <w:spacing w:after="0"/>
              <w:rPr>
                <w:sz w:val="16"/>
                <w:szCs w:val="16"/>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334,560</w:t>
            </w:r>
          </w:p>
        </w:tc>
        <w:tc>
          <w:tcPr>
            <w:tcW w:w="0" w:type="dxa"/>
            <w:vAlign w:val="bottom"/>
          </w:tcPr>
          <w:p>
            <w:pPr>
              <w:spacing w:after="0"/>
              <w:rPr>
                <w:sz w:val="1"/>
                <w:szCs w:val="1"/>
                <w:color w:val="auto"/>
              </w:rPr>
            </w:pPr>
          </w:p>
        </w:tc>
      </w:tr>
      <w:tr>
        <w:trPr>
          <w:trHeight w:val="28"/>
        </w:trPr>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 and accrued expenses</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$13,496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3,549</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(3,659)</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$ 13,386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color w:val="auto"/>
              </w:rPr>
              <w:t>Deferred revenue</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6,189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color w:val="auto"/>
              </w:rPr>
              <w:t>6,189</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current portion</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4,884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4,884</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color w:val="auto"/>
              </w:rPr>
              <w:t>Notes payable to members, current portion</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82"/>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Promissory note - related party</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4"/>
                <w:szCs w:val="14"/>
                <w:b w:val="1"/>
                <w:bCs w:val="1"/>
                <w:color w:val="auto"/>
              </w:rPr>
              <w:t>Total current liabilities</w:t>
            </w:r>
          </w:p>
        </w:tc>
        <w:tc>
          <w:tcPr>
            <w:tcW w:w="120" w:type="dxa"/>
            <w:vAlign w:val="bottom"/>
            <w:gridSpan w:val="2"/>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24,774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3,749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(3,659)</w:t>
            </w:r>
          </w:p>
        </w:tc>
        <w:tc>
          <w:tcPr>
            <w:tcW w:w="5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24,864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non-current portion</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43,558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43,558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Long-term payable under Tax Receivable Agreement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133,538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(j)</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133,538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4"/>
                <w:szCs w:val="14"/>
                <w:color w:val="auto"/>
              </w:rPr>
              <w:t>Warrant liability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4"/>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141,900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141,900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Deferred underwriting fee payable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(8,750)</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w:t>
            </w: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top w:val="single" w:sz="8" w:color="CCEEFF"/>
            </w:tcBorders>
            <w:gridSpan w:val="2"/>
          </w:tcPr>
          <w:p>
            <w:pPr>
              <w:spacing w:after="0"/>
              <w:rPr>
                <w:sz w:val="16"/>
                <w:szCs w:val="16"/>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69,238</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154,399</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121,129</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344,766</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b w:val="1"/>
                <w:bCs w:val="1"/>
                <w:color w:val="auto"/>
              </w:rPr>
              <w:t>Commitments and contingencies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Class A ordinary shares subject to possible redemptions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95,006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9"/>
              </w:rPr>
              <w:t>(95,006)</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 (deficit)/ Members' equity</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color w:val="auto"/>
              </w:rPr>
              <w:t>Preferred 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Ordinary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180"/>
              <w:spacing w:after="0"/>
              <w:rPr>
                <w:sz w:val="20"/>
                <w:szCs w:val="20"/>
                <w:color w:val="auto"/>
              </w:rPr>
            </w:pPr>
            <w:r>
              <w:rPr>
                <w:rFonts w:ascii="Arial" w:cs="Arial" w:eastAsia="Arial" w:hAnsi="Arial"/>
                <w:sz w:val="14"/>
                <w:szCs w:val="14"/>
                <w:color w:val="auto"/>
              </w:rPr>
              <w:t>Class 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(e)</w:t>
            </w:r>
          </w:p>
        </w:tc>
        <w:tc>
          <w:tcPr>
            <w:tcW w:w="6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(3)</w:t>
            </w:r>
          </w:p>
        </w:tc>
        <w:tc>
          <w:tcPr>
            <w:tcW w:w="560" w:type="dxa"/>
            <w:vAlign w:val="bottom"/>
          </w:tcPr>
          <w:p>
            <w:pPr>
              <w:ind w:left="200"/>
              <w:spacing w:after="0"/>
              <w:rPr>
                <w:sz w:val="20"/>
                <w:szCs w:val="20"/>
                <w:color w:val="auto"/>
              </w:rPr>
            </w:pPr>
            <w:r>
              <w:rPr>
                <w:rFonts w:ascii="Arial" w:cs="Arial" w:eastAsia="Arial" w:hAnsi="Arial"/>
                <w:sz w:val="14"/>
                <w:szCs w:val="14"/>
                <w:color w:val="auto"/>
              </w:rPr>
              <w:t>(g)</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B</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(g)</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V</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4"/>
                <w:szCs w:val="14"/>
                <w:color w:val="auto"/>
              </w:rPr>
              <w:t>Members' units</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18,809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w w:val="99"/>
              </w:rPr>
              <w:t>(18,809)</w:t>
            </w:r>
          </w:p>
        </w:tc>
        <w:tc>
          <w:tcPr>
            <w:tcW w:w="560" w:type="dxa"/>
            <w:vAlign w:val="bottom"/>
          </w:tcPr>
          <w:p>
            <w:pPr>
              <w:ind w:left="200"/>
              <w:spacing w:after="0"/>
              <w:rPr>
                <w:sz w:val="20"/>
                <w:szCs w:val="20"/>
                <w:color w:val="auto"/>
              </w:rPr>
            </w:pPr>
            <w:r>
              <w:rPr>
                <w:rFonts w:ascii="Arial" w:cs="Arial" w:eastAsia="Arial" w:hAnsi="Arial"/>
                <w:sz w:val="14"/>
                <w:szCs w:val="14"/>
                <w:color w:val="auto"/>
              </w:rPr>
              <w:t>(l)</w:t>
            </w:r>
          </w:p>
        </w:tc>
        <w:tc>
          <w:tcPr>
            <w:tcW w:w="6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 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130,948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9"/>
              </w:rPr>
              <w:t>(26,908)</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(3,337)</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324,997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(d)</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95,005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(102)</w:t>
            </w:r>
          </w:p>
        </w:tc>
        <w:tc>
          <w:tcPr>
            <w:tcW w:w="560" w:type="dxa"/>
            <w:vAlign w:val="bottom"/>
          </w:tcPr>
          <w:p>
            <w:pPr>
              <w:ind w:left="200"/>
              <w:spacing w:after="0"/>
              <w:rPr>
                <w:sz w:val="20"/>
                <w:szCs w:val="20"/>
                <w:color w:val="auto"/>
              </w:rPr>
            </w:pPr>
            <w:r>
              <w:rPr>
                <w:rFonts w:ascii="Arial" w:cs="Arial" w:eastAsia="Arial" w:hAnsi="Arial"/>
                <w:sz w:val="14"/>
                <w:szCs w:val="14"/>
                <w:color w:val="auto"/>
              </w:rPr>
              <w:t>(f)</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(125,950)</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(7)</w:t>
            </w:r>
          </w:p>
        </w:tc>
        <w:tc>
          <w:tcPr>
            <w:tcW w:w="560" w:type="dxa"/>
            <w:vAlign w:val="bottom"/>
          </w:tcPr>
          <w:p>
            <w:pPr>
              <w:ind w:left="200"/>
              <w:spacing w:after="0"/>
              <w:rPr>
                <w:sz w:val="20"/>
                <w:szCs w:val="20"/>
                <w:color w:val="auto"/>
              </w:rPr>
            </w:pPr>
            <w:r>
              <w:rPr>
                <w:rFonts w:ascii="Arial" w:cs="Arial" w:eastAsia="Arial" w:hAnsi="Arial"/>
                <w:sz w:val="14"/>
                <w:szCs w:val="14"/>
                <w:color w:val="auto"/>
              </w:rPr>
              <w:t>(i)</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23,566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(j)</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13,200</w:t>
            </w:r>
          </w:p>
        </w:tc>
        <w:tc>
          <w:tcPr>
            <w:tcW w:w="12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(k)</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(455,182)</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17,096</w:t>
            </w:r>
          </w:p>
        </w:tc>
        <w:tc>
          <w:tcPr>
            <w:tcW w:w="12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(l)</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Retained earnings (accumulated deficit)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7,574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(125,950)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125,950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(2,970)</w:t>
            </w:r>
          </w:p>
        </w:tc>
        <w:tc>
          <w:tcPr>
            <w:tcW w:w="560" w:type="dxa"/>
            <w:vAlign w:val="bottom"/>
          </w:tcPr>
          <w:p>
            <w:pPr>
              <w:ind w:left="200"/>
              <w:spacing w:after="0"/>
              <w:rPr>
                <w:sz w:val="20"/>
                <w:szCs w:val="20"/>
                <w:color w:val="auto"/>
              </w:rPr>
            </w:pPr>
            <w:r>
              <w:rPr>
                <w:rFonts w:ascii="Arial" w:cs="Arial" w:eastAsia="Arial" w:hAnsi="Arial"/>
                <w:sz w:val="14"/>
                <w:szCs w:val="14"/>
                <w:color w:val="auto"/>
              </w:rPr>
              <w:t>(c)</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9"/>
              </w:rPr>
              <w:t>(13,200)</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(k)</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7,562</w:t>
            </w:r>
          </w:p>
        </w:tc>
        <w:tc>
          <w:tcPr>
            <w:tcW w:w="120" w:type="dxa"/>
            <w:vAlign w:val="bottom"/>
          </w:tcPr>
          <w:p>
            <w:pPr>
              <w:spacing w:after="0"/>
              <w:rPr>
                <w:sz w:val="15"/>
                <w:szCs w:val="15"/>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(l)</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equity (deficit) attributable to common shareholders /</w:t>
            </w:r>
          </w:p>
        </w:tc>
        <w:tc>
          <w:tcPr>
            <w:tcW w:w="120" w:type="dxa"/>
            <w:vAlign w:val="bottom"/>
            <w:gridSpan w:val="2"/>
            <w:vMerge w:val="restart"/>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26,383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9"/>
              </w:rPr>
              <w:t>(35,741)</w:t>
            </w:r>
          </w:p>
        </w:tc>
        <w:tc>
          <w:tcPr>
            <w:tcW w:w="560" w:type="dxa"/>
            <w:vAlign w:val="bottom"/>
            <w:shd w:val="clear" w:color="auto" w:fill="CCEEFF"/>
          </w:tcPr>
          <w:p>
            <w:pPr>
              <w:spacing w:after="0"/>
              <w:rPr>
                <w:sz w:val="14"/>
                <w:szCs w:val="14"/>
                <w:color w:val="auto"/>
              </w:rPr>
            </w:pPr>
          </w:p>
        </w:tc>
        <w:tc>
          <w:tcPr>
            <w:tcW w:w="70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(4,357)</w:t>
            </w: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members' equity</w:t>
            </w:r>
          </w:p>
        </w:tc>
        <w:tc>
          <w:tcPr>
            <w:tcW w:w="12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gridSpan w:val="4"/>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(5,849)</w:t>
            </w:r>
          </w:p>
        </w:tc>
        <w:tc>
          <w:tcPr>
            <w:tcW w:w="560" w:type="dxa"/>
            <w:vAlign w:val="bottom"/>
          </w:tcPr>
          <w:p>
            <w:pPr>
              <w:ind w:left="200"/>
              <w:spacing w:after="0"/>
              <w:rPr>
                <w:sz w:val="20"/>
                <w:szCs w:val="20"/>
                <w:color w:val="auto"/>
              </w:rPr>
            </w:pPr>
            <w:r>
              <w:rPr>
                <w:rFonts w:ascii="Arial" w:cs="Arial" w:eastAsia="Arial" w:hAnsi="Arial"/>
                <w:sz w:val="14"/>
                <w:szCs w:val="14"/>
                <w:color w:val="auto"/>
              </w:rPr>
              <w:t>(l)</w:t>
            </w:r>
          </w:p>
        </w:tc>
        <w:tc>
          <w:tcPr>
            <w:tcW w:w="700" w:type="dxa"/>
            <w:vAlign w:val="bottom"/>
            <w:gridSpan w:val="4"/>
          </w:tcPr>
          <w:p>
            <w:pPr>
              <w:jc w:val="right"/>
              <w:ind w:right="60"/>
              <w:spacing w:after="0"/>
              <w:rPr>
                <w:sz w:val="20"/>
                <w:szCs w:val="20"/>
                <w:color w:val="auto"/>
              </w:rPr>
            </w:pPr>
            <w:r>
              <w:rPr>
                <w:rFonts w:ascii="Arial" w:cs="Arial" w:eastAsia="Arial" w:hAnsi="Arial"/>
                <w:sz w:val="14"/>
                <w:szCs w:val="14"/>
                <w:color w:val="auto"/>
              </w:rPr>
              <w:t>(5,849)</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stockholders' equity (deficit)/ members' equity</w:t>
            </w:r>
          </w:p>
        </w:tc>
        <w:tc>
          <w:tcPr>
            <w:tcW w:w="120" w:type="dxa"/>
            <w:vAlign w:val="bottom"/>
            <w:gridSpan w:val="2"/>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26,383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9"/>
              </w:rPr>
              <w:t>(41,590)</w:t>
            </w:r>
          </w:p>
        </w:tc>
        <w:tc>
          <w:tcPr>
            <w:tcW w:w="56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(10,206)</w:t>
            </w:r>
          </w:p>
        </w:tc>
        <w:tc>
          <w:tcPr>
            <w:tcW w:w="0" w:type="dxa"/>
            <w:vAlign w:val="bottom"/>
          </w:tcPr>
          <w:p>
            <w:pPr>
              <w:spacing w:after="0"/>
              <w:rPr>
                <w:sz w:val="1"/>
                <w:szCs w:val="1"/>
                <w:color w:val="auto"/>
              </w:rPr>
            </w:pPr>
          </w:p>
        </w:tc>
      </w:tr>
      <w:tr>
        <w:trPr>
          <w:trHeight w:val="21"/>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 (deficit)/ members' equity</w:t>
            </w:r>
          </w:p>
        </w:tc>
        <w:tc>
          <w:tcPr>
            <w:tcW w:w="580" w:type="dxa"/>
            <w:vAlign w:val="bottom"/>
            <w:gridSpan w:val="4"/>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95,621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254,406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(15,467)</w:t>
            </w:r>
          </w:p>
        </w:tc>
        <w:tc>
          <w:tcPr>
            <w:tcW w:w="560" w:type="dxa"/>
            <w:vAlign w:val="bottom"/>
          </w:tcPr>
          <w:p>
            <w:pPr>
              <w:spacing w:after="0"/>
              <w:rPr>
                <w:sz w:val="16"/>
                <w:szCs w:val="16"/>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334,560</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-8854440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-8854440</wp:posOffset>
            </wp:positionV>
            <wp:extent cx="59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-8854440</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-8854440</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-8854440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9019"/>
          </w:cols>
          <w:pgMar w:left="1440" w:top="265" w:right="1440" w:bottom="142" w:gutter="0" w:footer="0" w:header="0"/>
        </w:sectPr>
      </w:pP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2" w:gutter="0" w:footer="0" w:header="0"/>
          <w:type w:val="continuous"/>
        </w:sectPr>
      </w:pPr>
    </w:p>
    <w:bookmarkStart w:id="45" w:name="page46"/>
    <w:bookmarkEnd w:id="45"/>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STATEMENT OF OPERATIONS FOR THE</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Transaction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WMH</w:t>
            </w:r>
          </w:p>
        </w:tc>
        <w:tc>
          <w:tcPr>
            <w:tcW w:w="8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Silver Spike</w:t>
            </w:r>
          </w:p>
        </w:tc>
        <w:tc>
          <w:tcPr>
            <w:tcW w:w="8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Accounting</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3"/>
            <w:vMerge w:val="restart"/>
          </w:tcPr>
          <w:p>
            <w:pPr>
              <w:jc w:val="right"/>
              <w:ind w:right="148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Adjustments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(Historical)</w:t>
            </w:r>
          </w:p>
        </w:tc>
        <w:tc>
          <w:tcPr>
            <w:tcW w:w="880" w:type="dxa"/>
            <w:vAlign w:val="bottom"/>
            <w:gridSpan w:val="5"/>
          </w:tcPr>
          <w:p>
            <w:pPr>
              <w:ind w:left="40"/>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6"/>
                <w:szCs w:val="16"/>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(Note 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3"/>
          </w:tcPr>
          <w:p>
            <w:pPr>
              <w:jc w:val="right"/>
              <w:ind w:right="1480"/>
              <w:spacing w:after="0"/>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41,154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1,857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7,868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7,868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(bb)</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(455)</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(cc)</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33,210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(515)</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33,433</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Interest earned on marketable securities held in Trust</w:t>
            </w:r>
          </w:p>
        </w:tc>
        <w:tc>
          <w:tcPr>
            <w:tcW w:w="3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w:t>
            </w: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(aa)</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w w:val="90"/>
              </w:rPr>
              <w:t>Unrealized gain on marketable securities held in Trust</w:t>
            </w: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Account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(78,220)</w:t>
            </w: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(78,190)</w:t>
            </w:r>
          </w:p>
        </w:tc>
        <w:tc>
          <w:tcPr>
            <w:tcW w:w="100" w:type="dxa"/>
            <w:vAlign w:val="bottom"/>
          </w:tcPr>
          <w:p>
            <w:pPr>
              <w:spacing w:after="0"/>
              <w:rPr>
                <w:sz w:val="23"/>
                <w:szCs w:val="23"/>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(78,192)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(78,928)</w:t>
            </w:r>
          </w:p>
        </w:tc>
        <w:tc>
          <w:tcPr>
            <w:tcW w:w="10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(70,471)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(8,422)</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rPr>
              <w:t>(ff)</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(8,181)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(78,928)</w:t>
            </w:r>
          </w:p>
        </w:tc>
        <w:tc>
          <w:tcPr>
            <w:tcW w:w="10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8,907</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(62,290)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Net income (loss) attributable to noncontrolling interests</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(40,372)</w:t>
            </w:r>
          </w:p>
        </w:tc>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(gg)</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(40,372)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income (loss) attributable to common shareholders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$ 7,731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(78,928)</w:t>
            </w:r>
          </w:p>
        </w:tc>
        <w:tc>
          <w:tcPr>
            <w:tcW w:w="1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6"/>
              </w:rPr>
              <w:t>$ 49,279</w:t>
            </w: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(21,918)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00" w:type="dxa"/>
            <w:vAlign w:val="bottom"/>
          </w:tcPr>
          <w:p>
            <w:pPr>
              <w:spacing w:after="0"/>
              <w:rPr>
                <w:sz w:val="24"/>
                <w:szCs w:val="24"/>
                <w:color w:val="auto"/>
              </w:rPr>
            </w:pPr>
          </w:p>
        </w:tc>
        <w:tc>
          <w:tcPr>
            <w:tcW w:w="4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2"/>
              </w:rPr>
              <w:t>Basic and diluted weighted average shares outstanding</w:t>
            </w: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 Class A</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63,738,563</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 - Class A</w:t>
            </w:r>
          </w:p>
        </w:tc>
        <w:tc>
          <w:tcPr>
            <w:tcW w:w="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41</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-6196965</wp:posOffset>
            </wp:positionV>
            <wp:extent cx="342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-6196965</wp:posOffset>
            </wp:positionV>
            <wp:extent cx="342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-6196965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-6196965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-6196965</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6" w:name="page47"/>
    <w:bookmarkEnd w:id="46"/>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STATEMENT OF OPERATIONS FOR THE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DECEMBER 31,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0"/>
              </w:rPr>
              <w:t>Transaction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WMH</w:t>
            </w:r>
          </w:p>
        </w:tc>
        <w:tc>
          <w:tcPr>
            <w:tcW w:w="8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Silver Spike</w:t>
            </w:r>
          </w:p>
        </w:tc>
        <w:tc>
          <w:tcPr>
            <w:tcW w:w="80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Accounting</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3"/>
            <w:vMerge w:val="restart"/>
          </w:tcPr>
          <w:p>
            <w:pPr>
              <w:jc w:val="right"/>
              <w:ind w:right="148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80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4"/>
              </w:rPr>
              <w:t>Adjustments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(Historical)</w:t>
            </w:r>
          </w:p>
        </w:tc>
        <w:tc>
          <w:tcPr>
            <w:tcW w:w="880" w:type="dxa"/>
            <w:vAlign w:val="bottom"/>
            <w:gridSpan w:val="5"/>
          </w:tcPr>
          <w:p>
            <w:pPr>
              <w:ind w:left="40"/>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6"/>
                <w:szCs w:val="16"/>
                <w:color w:val="auto"/>
              </w:rPr>
            </w:pPr>
          </w:p>
        </w:tc>
        <w:tc>
          <w:tcPr>
            <w:tcW w:w="7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(Note 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3"/>
          </w:tcPr>
          <w:p>
            <w:pPr>
              <w:jc w:val="right"/>
              <w:ind w:right="1480"/>
              <w:spacing w:after="0"/>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161,791</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7,630</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7,630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27,142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27,142</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(bb)</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65,380</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(2,571)</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(cc)</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13,200</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(dd)</w:t>
            </w: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3,978</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120,593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10,389</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134,846</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41,198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(3,864)</w:t>
            </w:r>
          </w:p>
        </w:tc>
        <w:tc>
          <w:tcPr>
            <w:tcW w:w="100" w:type="dxa"/>
            <w:vAlign w:val="bottom"/>
          </w:tcPr>
          <w:p>
            <w:pPr>
              <w:spacing w:after="0"/>
              <w:rPr>
                <w:sz w:val="23"/>
                <w:szCs w:val="23"/>
                <w:color w:val="auto"/>
              </w:rPr>
            </w:pPr>
          </w:p>
        </w:tc>
        <w:tc>
          <w:tcPr>
            <w:tcW w:w="800" w:type="dxa"/>
            <w:vAlign w:val="bottom"/>
            <w:gridSpan w:val="6"/>
          </w:tcPr>
          <w:p>
            <w:pPr>
              <w:jc w:val="right"/>
              <w:ind w:right="40"/>
              <w:spacing w:after="0"/>
              <w:rPr>
                <w:sz w:val="20"/>
                <w:szCs w:val="20"/>
                <w:color w:val="auto"/>
              </w:rPr>
            </w:pPr>
            <w:r>
              <w:rPr>
                <w:rFonts w:ascii="Arial" w:cs="Arial" w:eastAsia="Arial" w:hAnsi="Arial"/>
                <w:sz w:val="18"/>
                <w:szCs w:val="18"/>
                <w:color w:val="auto"/>
              </w:rPr>
              <w:t>(10,389)</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26,945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w w:val="91"/>
              </w:rPr>
              <w:t>Interest earned on marketable securities held in Trust</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Account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(2,258)</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(aa)</w:t>
            </w:r>
          </w:p>
        </w:tc>
        <w:tc>
          <w:tcPr>
            <w:tcW w:w="216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Unrealized gain on marketable securities held in Trust</w:t>
            </w:r>
          </w:p>
        </w:tc>
        <w:tc>
          <w:tcPr>
            <w:tcW w:w="2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w:t>
            </w:r>
          </w:p>
        </w:tc>
        <w:tc>
          <w:tcPr>
            <w:tcW w:w="2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(aa)</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(50,420)</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(50,420)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(2,970)</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(ee)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(5,336)</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23"/>
                <w:szCs w:val="23"/>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(48,157)</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(5,233)</w:t>
            </w: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(55,758)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38,830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(52,021)</w:t>
            </w:r>
          </w:p>
        </w:tc>
        <w:tc>
          <w:tcPr>
            <w:tcW w:w="100" w:type="dxa"/>
            <w:vAlign w:val="bottom"/>
          </w:tcPr>
          <w:p>
            <w:pPr>
              <w:spacing w:after="0"/>
              <w:rPr>
                <w:sz w:val="23"/>
                <w:szCs w:val="23"/>
                <w:color w:val="auto"/>
              </w:rPr>
            </w:pPr>
          </w:p>
        </w:tc>
        <w:tc>
          <w:tcPr>
            <w:tcW w:w="800" w:type="dxa"/>
            <w:vAlign w:val="bottom"/>
            <w:gridSpan w:val="6"/>
          </w:tcPr>
          <w:p>
            <w:pPr>
              <w:jc w:val="right"/>
              <w:ind w:right="40"/>
              <w:spacing w:after="0"/>
              <w:rPr>
                <w:sz w:val="20"/>
                <w:szCs w:val="20"/>
                <w:color w:val="auto"/>
              </w:rPr>
            </w:pPr>
            <w:r>
              <w:rPr>
                <w:rFonts w:ascii="Arial" w:cs="Arial" w:eastAsia="Arial" w:hAnsi="Arial"/>
                <w:sz w:val="18"/>
                <w:szCs w:val="18"/>
                <w:color w:val="auto"/>
              </w:rPr>
              <w:t>(15,622)</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(28,813)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(3,443)</w:t>
            </w: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(ff)</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38,830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(52,021)</w:t>
            </w:r>
          </w:p>
        </w:tc>
        <w:tc>
          <w:tcPr>
            <w:tcW w:w="100" w:type="dxa"/>
            <w:vAlign w:val="bottom"/>
          </w:tcPr>
          <w:p>
            <w:pPr>
              <w:spacing w:after="0"/>
              <w:rPr>
                <w:sz w:val="23"/>
                <w:szCs w:val="23"/>
                <w:color w:val="auto"/>
              </w:rPr>
            </w:pPr>
          </w:p>
        </w:tc>
        <w:tc>
          <w:tcPr>
            <w:tcW w:w="800" w:type="dxa"/>
            <w:vAlign w:val="bottom"/>
            <w:gridSpan w:val="6"/>
          </w:tcPr>
          <w:p>
            <w:pPr>
              <w:jc w:val="right"/>
              <w:ind w:right="40"/>
              <w:spacing w:after="0"/>
              <w:rPr>
                <w:sz w:val="20"/>
                <w:szCs w:val="20"/>
                <w:color w:val="auto"/>
              </w:rPr>
            </w:pPr>
            <w:r>
              <w:rPr>
                <w:rFonts w:ascii="Arial" w:cs="Arial" w:eastAsia="Arial" w:hAnsi="Arial"/>
                <w:sz w:val="18"/>
                <w:szCs w:val="18"/>
                <w:color w:val="auto"/>
              </w:rPr>
              <w:t>(12,179)</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(25,370)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1"/>
              </w:rPr>
              <w:t>Net income (loss) attributable to noncontrolling interests</w:t>
            </w: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(16,507)</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(gg)</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Net income (loss) attributable to common shareholders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$ 38,830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(52,021)</w:t>
            </w:r>
          </w:p>
        </w:tc>
        <w:tc>
          <w:tcPr>
            <w:tcW w:w="10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4,328</w:t>
            </w:r>
          </w:p>
        </w:tc>
        <w:tc>
          <w:tcPr>
            <w:tcW w:w="80" w:type="dxa"/>
            <w:vAlign w:val="bottom"/>
          </w:tcPr>
          <w:p>
            <w:pPr>
              <w:spacing w:after="0"/>
              <w:rPr>
                <w:sz w:val="23"/>
                <w:szCs w:val="2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(8,863)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300" w:type="dxa"/>
            <w:vAlign w:val="bottom"/>
          </w:tcPr>
          <w:p>
            <w:pPr>
              <w:spacing w:after="0"/>
              <w:rPr>
                <w:sz w:val="24"/>
                <w:szCs w:val="2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0"/>
              </w:rPr>
              <w:t>Basic and diluted weighted average shares outstanding -</w:t>
            </w:r>
          </w:p>
        </w:tc>
        <w:tc>
          <w:tcPr>
            <w:tcW w:w="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A</w:t>
            </w:r>
          </w:p>
        </w:tc>
        <w:tc>
          <w:tcPr>
            <w:tcW w:w="2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63,738,563</w:t>
            </w: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Basic and diluted net loss per share - Class A</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42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-6402705</wp:posOffset>
            </wp:positionV>
            <wp:extent cx="342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-6402705</wp:posOffset>
            </wp:positionV>
            <wp:extent cx="34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-6402705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-6402705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-6402705</wp:posOffset>
            </wp:positionV>
            <wp:extent cx="34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Notes to Unaudited Pro Forma Condensed Combined Financial Statements</w:t>
      </w:r>
    </w:p>
    <w:p>
      <w:pPr>
        <w:spacing w:after="0" w:line="356" w:lineRule="exact"/>
        <w:rPr>
          <w:sz w:val="20"/>
          <w:szCs w:val="20"/>
          <w:color w:val="auto"/>
        </w:rPr>
      </w:pPr>
    </w:p>
    <w:p>
      <w:pPr>
        <w:ind w:left="600" w:hanging="308"/>
        <w:spacing w:after="0"/>
        <w:tabs>
          <w:tab w:leader="none" w:pos="6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Business Combination is accounted for as a reverse recapitalization in accordance with GAAP. Under this method of accounting, Silver Spike is treated as the “acquired” company for financial reporting purposes. Accordingly, for accounting purposes, the Business Combination will be treated as the equivalent of Legacy WMH issuing stock for the net assets of Silver Spike, accompanied by a recapitalization. The net assets of Silver Spike are stated at historical cost, with no goodwill or other intangible assets recorded.</w:t>
      </w:r>
    </w:p>
    <w:p>
      <w:pPr>
        <w:spacing w:after="0" w:line="68"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The unaudited pro forma condensed combined balance sheet as of March 31, 2021 gives pro forma effect to the Business Combination as if it had been consummated on March 31, 2021. The unaudited pro forma condensed combined statements of operations for the three months ended March 31, 2021 and year ended December 31, 2020, give pro forma effect to the Business Combination as if it had been consummated on January 1, 2020.</w:t>
      </w:r>
    </w:p>
    <w:p>
      <w:pPr>
        <w:spacing w:after="0" w:line="4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unaudited pro forma condensed combined balance sheet as of March 31, 2021 has been prepared using, and should be read in conjunction with, the following:</w:t>
      </w:r>
    </w:p>
    <w:p>
      <w:pPr>
        <w:spacing w:after="0" w:line="62" w:lineRule="exact"/>
        <w:rPr>
          <w:sz w:val="20"/>
          <w:szCs w:val="20"/>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Silver Spike’s unaudited balance sheet as of March 31, 2021 and the related notes, included in the Proxy Statement/Prospectus;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Legacy WMH’s unaudited balance sheet as of March 31, 2021 and the related notes, included in the Proxy Statement/Prospectus.</w:t>
      </w:r>
    </w:p>
    <w:p>
      <w:pPr>
        <w:spacing w:after="0" w:line="62"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three months ended March 31, 2021 has been prepared using, and should be read in conjunction with, the following:</w:t>
      </w:r>
    </w:p>
    <w:p>
      <w:pPr>
        <w:spacing w:after="0" w:line="62" w:lineRule="exact"/>
        <w:rPr>
          <w:sz w:val="20"/>
          <w:szCs w:val="20"/>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Silver Spike’s unaudited statement of operations for the three months ended March 31, 2021 and the related notes, included in the Proxy Statement/Prospectus;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Legacy WMH’s unaudited statement of operations for the three months ended March 31, 2021 and the related notes, included in the Proxy Statement/Prospectus.</w:t>
      </w:r>
    </w:p>
    <w:p>
      <w:pPr>
        <w:spacing w:after="0" w:line="62"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has been prepared using, and should be read in conjunction with, the following:</w:t>
      </w:r>
    </w:p>
    <w:p>
      <w:pPr>
        <w:spacing w:after="0" w:line="62" w:lineRule="exact"/>
        <w:rPr>
          <w:sz w:val="20"/>
          <w:szCs w:val="20"/>
          <w:color w:val="auto"/>
        </w:rPr>
      </w:pPr>
    </w:p>
    <w:p>
      <w:pPr>
        <w:ind w:left="1000" w:right="31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Silver Spike’s audited statement of operations for the year ended December 31, 2020 and the related notes, included in the Proxy Statement/Prospectus; and</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Legacy WMH’s audited consolidated statement of operations for the year ended December 31, 2020 and the related notes, included in the Proxy Statement/Prospectus.</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5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pro forma adjustments reflecting the consummation of the Business Combination are based on certain currently available information and certain assumptions and methodologies that management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based on information available to management at the time and that the pro forma adjustments give appropriate effect to those assumptions and are properly applied in the unaudited pro forma condensed combined financial information.</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post-combination company. They should be read in conjunction with the historical financial statements and notes thereto of Silver Spike and Legacy WMH.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5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Adjustments to Unaudited Pro Forma Condensed Combined Financial Information</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to illustrate the effect of the Business Combination and has been prepared for informational purposes only.</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Arial" w:cs="Arial" w:eastAsia="Arial" w:hAnsi="Arial"/>
          <w:sz w:val="17"/>
          <w:szCs w:val="17"/>
          <w:i w:val="1"/>
          <w:iCs w:val="1"/>
          <w:color w:val="auto"/>
        </w:rPr>
        <w:t>Transaction</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Adjustments”</w:t>
      </w:r>
      <w:r>
        <w:rPr>
          <w:rFonts w:ascii="Arial" w:cs="Arial" w:eastAsia="Arial" w:hAnsi="Arial"/>
          <w:sz w:val="17"/>
          <w:szCs w:val="17"/>
          <w:color w:val="auto"/>
        </w:rPr>
        <w:t>) and present the reasonably estimable synergies and other transaction effects that have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occurred or are reasonably expected to occur (</w:t>
      </w:r>
      <w:r>
        <w:rPr>
          <w:rFonts w:ascii="Arial" w:cs="Arial" w:eastAsia="Arial" w:hAnsi="Arial"/>
          <w:sz w:val="17"/>
          <w:szCs w:val="17"/>
          <w:i w:val="1"/>
          <w:iCs w:val="1"/>
          <w:color w:val="auto"/>
        </w:rPr>
        <w:t>“Management’s Adjustments”</w:t>
      </w:r>
      <w:r>
        <w:rPr>
          <w:rFonts w:ascii="Arial" w:cs="Arial" w:eastAsia="Arial" w:hAnsi="Arial"/>
          <w:sz w:val="17"/>
          <w:szCs w:val="17"/>
          <w:color w:val="auto"/>
        </w:rPr>
        <w:t>). The Company has elected not to present Management’s Adjustments and will only be presenting Transaction Accounting Adjustments in the following unaudited pro forma condensed combined financial information.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Silver Spike and Legacy WMH have not had any historical relationship prior to the Business Combination.</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Accordingly, no pro forma adjustments were required to eliminate activities between the companies.</w:t>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Transaction Accounting Adjustments to Unaudited Pro Forma Condensed Combined Balance Sheet</w:t>
      </w:r>
    </w:p>
    <w:p>
      <w:pPr>
        <w:spacing w:after="0" w:line="12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Transaction Accounting Adjustments included in the unaudited pro forma condensed combined balance sheet as of March 31, 2021 are as follows:</w:t>
      </w:r>
    </w:p>
    <w:p>
      <w:pPr>
        <w:spacing w:after="0" w:line="62" w:lineRule="exact"/>
        <w:rPr>
          <w:sz w:val="20"/>
          <w:szCs w:val="20"/>
          <w:color w:val="auto"/>
        </w:rPr>
      </w:pPr>
    </w:p>
    <w:p>
      <w:pPr>
        <w:ind w:left="1000" w:right="31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the reclassification of marketable securities held in the Trust Account that became available following the Business Combination.</w:t>
      </w:r>
    </w:p>
    <w:p>
      <w:pPr>
        <w:spacing w:after="0" w:line="62" w:lineRule="exact"/>
        <w:rPr>
          <w:sz w:val="20"/>
          <w:szCs w:val="20"/>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settlement of $8.75 million in deferred underwriting fees.</w:t>
      </w:r>
    </w:p>
    <w:p>
      <w:pPr>
        <w:spacing w:after="0" w:line="117" w:lineRule="exact"/>
        <w:rPr>
          <w:sz w:val="20"/>
          <w:szCs w:val="20"/>
          <w:color w:val="auto"/>
        </w:rPr>
      </w:pPr>
    </w:p>
    <w:p>
      <w:pPr>
        <w:jc w:val="both"/>
        <w:ind w:left="1000" w:right="319" w:hanging="348"/>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estimated transaction costs incurred by Silver Spike and Legacy WMH of approximately $32.9 million for legal, financial advisory and other professional fees incurred in consummating the Business Combination. Of this amount, approximately:</w:t>
      </w:r>
    </w:p>
    <w:p>
      <w:pPr>
        <w:spacing w:after="0" w:line="75"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$2.6 million was capitalized within Prepaid expenses and other current assets and paid by Legacy WMH as of March 31, 2021.</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$0.6 was capitalized within Prepaid expenses and other current assets and accrued within Accounts payable and accrued expenses by Legacy WMH as of March 31, 2021.</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$3.0 million was accrued by Silver Spike in Accounts payable and accrued expenses as of March 31, 2021 and previously recognized in expense.</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$30.3 million was reflected as a reduction of cash, which represents the estimated transaction costs of $32.9 million less the $2.6 million previously paid by Legacy WMH.</w:t>
      </w:r>
    </w:p>
    <w:p>
      <w:pPr>
        <w:spacing w:after="0" w:line="62"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$3.0 million were not capitalized as part of the Business Combination and reflected as a decrease in accumulated deficit. The costs expensed through accumulated deficit are included in the unaudited pro forma condensed combined statement of operations for the year ended December 31, 2020 as discussed in Note (ee) below.</w:t>
      </w:r>
    </w:p>
    <w:p>
      <w:pPr>
        <w:spacing w:after="0" w:line="78" w:lineRule="exact"/>
        <w:rPr>
          <w:rFonts w:ascii="Arial" w:cs="Arial" w:eastAsia="Arial" w:hAnsi="Arial"/>
          <w:sz w:val="18"/>
          <w:szCs w:val="18"/>
          <w:color w:val="auto"/>
        </w:rPr>
      </w:pPr>
    </w:p>
    <w:p>
      <w:pPr>
        <w:jc w:val="both"/>
        <w:ind w:left="1360" w:right="319" w:hanging="348"/>
        <w:spacing w:after="0" w:line="273" w:lineRule="auto"/>
        <w:tabs>
          <w:tab w:leader="none" w:pos="13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$26.9 million were capitalized and offset against the proceeds from the Business Combination and PIPE subscription financing and reflected as a decrease in additional paid-in capital. This amount represents total estimated transaction costs less: 1) $3.0 million previously recognized in expense by Silver Spike and reclassified to additional paid-in capital in Note 2(h) of this unaudited pro forma condensed combined financial information; and 2) $3.0 million that were not capitalized as part of the Business Combination and reflected as a decrease in accumulated deficit.</w:t>
      </w:r>
    </w:p>
    <w:p>
      <w:pPr>
        <w:spacing w:after="0" w:line="70" w:lineRule="exact"/>
        <w:rPr>
          <w:sz w:val="20"/>
          <w:szCs w:val="20"/>
          <w:color w:val="auto"/>
        </w:rPr>
      </w:pPr>
    </w:p>
    <w:p>
      <w:pPr>
        <w:jc w:val="both"/>
        <w:ind w:left="1000" w:right="319" w:hanging="348"/>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proceeds of $325.0 million from the issuance and sale of 32,500,000 shares of Class A Common Stock at $10.00 per share in the PIPE subscription financing pursuant to the terms of the Subscription Agreements.</w:t>
      </w:r>
    </w:p>
    <w:p>
      <w:pPr>
        <w:spacing w:after="0" w:line="76" w:lineRule="exact"/>
        <w:rPr>
          <w:sz w:val="20"/>
          <w:szCs w:val="20"/>
          <w:color w:val="auto"/>
        </w:rPr>
      </w:pPr>
    </w:p>
    <w:p>
      <w:pPr>
        <w:ind w:left="1000" w:right="31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the reclassification of $95.0 million of Class A ordinary shares subject to possible redemption to permanent equity.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share redemptions of 10,012 shares of Class A ordinary shares for $101,822 allocated to Class A ordinary shares and additional paid-in capital using par value of $0.0001 per share and at a redemption price of $10.17 per share.</w:t>
      </w:r>
    </w:p>
    <w:p>
      <w:pPr>
        <w:spacing w:after="0" w:line="76" w:lineRule="exact"/>
        <w:rPr>
          <w:sz w:val="20"/>
          <w:szCs w:val="20"/>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the conversion of Class A ordinary shares and Class B ordinary shares, on a one-for-one basis, into shares of Class A Common Stock upon the Domestication.</w:t>
      </w:r>
    </w:p>
    <w:p>
      <w:pPr>
        <w:spacing w:after="0" w:line="62" w:lineRule="exact"/>
        <w:rPr>
          <w:sz w:val="20"/>
          <w:szCs w:val="20"/>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elimination of Silver Spike’s historical accumulated deficit.</w:t>
      </w:r>
    </w:p>
    <w:p>
      <w:pPr>
        <w:spacing w:after="0" w:line="117" w:lineRule="exact"/>
        <w:rPr>
          <w:sz w:val="20"/>
          <w:szCs w:val="20"/>
          <w:color w:val="auto"/>
        </w:rPr>
      </w:pPr>
    </w:p>
    <w:p>
      <w:pPr>
        <w:jc w:val="both"/>
        <w:ind w:left="1000" w:right="29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the issuance of 65,502,347 shares of Class V Common Stock upon the Closing. The Class V Common Stock, par value $0.0001, entitle their holder to one vote per share but not any right to dividends or distributions.</w:t>
      </w:r>
    </w:p>
    <w:p>
      <w:pPr>
        <w:spacing w:after="0" w:line="76" w:lineRule="exact"/>
        <w:rPr>
          <w:sz w:val="20"/>
          <w:szCs w:val="20"/>
          <w:color w:val="auto"/>
        </w:rPr>
      </w:pPr>
    </w:p>
    <w:p>
      <w:pPr>
        <w:jc w:val="both"/>
        <w:ind w:left="1000" w:right="319" w:hanging="348"/>
        <w:spacing w:after="0" w:line="291"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pursuant to the terms of the tax receivable agreement (1) the estimated deferred tax asset related to the tax basis step-up on the exchange of common units for cash in the Business Combination, and</w:t>
      </w:r>
    </w:p>
    <w:p>
      <w:pPr>
        <w:jc w:val="both"/>
        <w:ind w:left="1000" w:right="299"/>
        <w:spacing w:after="0" w:line="290" w:lineRule="auto"/>
        <w:rPr>
          <w:rFonts w:ascii="Arial" w:cs="Arial" w:eastAsia="Arial" w:hAnsi="Arial"/>
          <w:sz w:val="16"/>
          <w:szCs w:val="16"/>
          <w:color w:val="auto"/>
        </w:rPr>
      </w:pPr>
      <w:r>
        <w:rPr>
          <w:rFonts w:ascii="Arial" w:cs="Arial" w:eastAsia="Arial" w:hAnsi="Arial"/>
          <w:sz w:val="16"/>
          <w:szCs w:val="16"/>
          <w:color w:val="auto"/>
        </w:rPr>
        <w:t>(2) the tax receivable agreement liability for amounts payable to post-merger WMH equity holders for tax benefits received by the Company on the step-up. The adjustment to deferred tax asset was calculated based on the estimated tax basis step-up multiplied by an estimated effective tax rate of 27.98%. The adjustment to long-term payable under Tax Receivable Agreement is 85% of the estimated tax benefit, in accordance with the terms of the tax receivable agreement. The remaining difference between the deferred tax asset and tax receivable agreement liability is reflected as additional paid-in capital.</w:t>
      </w:r>
    </w:p>
    <w:p>
      <w:pPr>
        <w:spacing w:after="0" w:line="56" w:lineRule="exact"/>
        <w:rPr>
          <w:sz w:val="20"/>
          <w:szCs w:val="20"/>
          <w:color w:val="auto"/>
        </w:rPr>
      </w:pPr>
    </w:p>
    <w:p>
      <w:pPr>
        <w:jc w:val="both"/>
        <w:ind w:left="1000" w:right="319" w:hanging="348"/>
        <w:spacing w:after="0" w:line="259"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approximately $13.2 million of share-based expense associated with vested Legacy WMH Class B units, which expense will be recorded upon the Closing. The cost expensed through accumulated deficit is included in the unaudited pro forma condensed combined statement of operations for the year ended December 31, 2020 as discussed in Note (dd) below.</w:t>
      </w:r>
    </w:p>
    <w:p>
      <w:pPr>
        <w:spacing w:after="0" w:line="79" w:lineRule="exact"/>
        <w:rPr>
          <w:sz w:val="20"/>
          <w:szCs w:val="20"/>
          <w:color w:val="auto"/>
        </w:rPr>
      </w:pPr>
    </w:p>
    <w:p>
      <w:pPr>
        <w:jc w:val="both"/>
        <w:ind w:left="1000" w:right="299" w:hanging="348"/>
        <w:spacing w:after="0" w:line="255"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pro forma adjustment to: 1) reflect the payment of the cash consideration of $455.2 million to the Legacy WMH equity holders, and 2) to present the post-merger WMH units as noncontrolling interest upon the reorganization of the post-combination company into an Up-C structure. The noncontrolling interest adjustment reflects the allocation of the post-combination company’s total equity (deficit) to the holders of post-merger WMH units approximate 57.3% economic interest in the post-combination company, as follows:</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116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160" w:type="dxa"/>
            <w:vAlign w:val="bottom"/>
            <w:gridSpan w:val="5"/>
            <w:vMerge w:val="continue"/>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rPr>
              <w:t>(100%)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center"/>
              <w:ind w:right="14"/>
              <w:spacing w:after="0"/>
              <w:rPr>
                <w:sz w:val="20"/>
                <w:szCs w:val="20"/>
                <w:color w:val="auto"/>
              </w:rPr>
            </w:pPr>
            <w:r>
              <w:rPr>
                <w:rFonts w:ascii="Arial" w:cs="Arial" w:eastAsia="Arial" w:hAnsi="Arial"/>
                <w:sz w:val="14"/>
                <w:szCs w:val="14"/>
                <w:b w:val="1"/>
                <w:bCs w:val="1"/>
                <w:color w:val="auto"/>
                <w:w w:val="97"/>
              </w:rPr>
              <w:t>(57.3%)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(42.7%)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4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Historical Legacy WMH members'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26,383</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11,269</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Historical Silver Spike total stockholders' equity</w:t>
            </w:r>
          </w:p>
        </w:tc>
        <w:tc>
          <w:tcPr>
            <w:tcW w:w="12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5,001</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2,865</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 issued in the PIPE subscription financing</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325,000</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186,186</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138,814</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Reclass of redeemable public shares to permanent equity</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95,006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40,579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Redemption of public shares</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Payment of transaction costs</w:t>
            </w: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(29,878)</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(17,117)</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adjustment related to deferred tax asset and Tax Receivable</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Agreement liabilitiy</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40" w:type="dxa"/>
            <w:vAlign w:val="bottom"/>
          </w:tcPr>
          <w:p>
            <w:pPr>
              <w:spacing w:after="0"/>
              <w:rPr>
                <w:sz w:val="20"/>
                <w:szCs w:val="20"/>
                <w:color w:val="auto"/>
              </w:rPr>
            </w:pPr>
            <w:r>
              <w:rPr>
                <w:rFonts w:ascii="Arial" w:cs="Arial" w:eastAsia="Arial" w:hAnsi="Arial"/>
                <w:sz w:val="18"/>
                <w:szCs w:val="18"/>
                <w:color w:val="auto"/>
              </w:rPr>
              <w:t>Payment of aggregate cash consideration</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(455,182)</w:t>
            </w:r>
          </w:p>
        </w:tc>
        <w:tc>
          <w:tcPr>
            <w:tcW w:w="200" w:type="dxa"/>
            <w:vAlign w:val="bottom"/>
          </w:tcPr>
          <w:p>
            <w:pPr>
              <w:spacing w:after="0"/>
              <w:rPr>
                <w:sz w:val="22"/>
                <w:szCs w:val="22"/>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(260,767)</w:t>
            </w:r>
          </w:p>
        </w:tc>
        <w:tc>
          <w:tcPr>
            <w:tcW w:w="240" w:type="dxa"/>
            <w:vAlign w:val="bottom"/>
          </w:tcPr>
          <w:p>
            <w:pPr>
              <w:spacing w:after="0"/>
              <w:rPr>
                <w:sz w:val="22"/>
                <w:szCs w:val="22"/>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(194,415)</w:t>
            </w:r>
          </w:p>
        </w:tc>
        <w:tc>
          <w:tcPr>
            <w:tcW w:w="0" w:type="dxa"/>
            <w:vAlign w:val="bottom"/>
          </w:tcPr>
          <w:p>
            <w:pPr>
              <w:spacing w:after="0"/>
              <w:rPr>
                <w:sz w:val="1"/>
                <w:szCs w:val="1"/>
                <w:color w:val="auto"/>
              </w:rPr>
            </w:pPr>
          </w:p>
        </w:tc>
      </w:tr>
      <w:tr>
        <w:trPr>
          <w:trHeight w:val="61"/>
        </w:trPr>
        <w:tc>
          <w:tcPr>
            <w:tcW w:w="54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4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(10,206)</w:t>
            </w:r>
          </w:p>
        </w:tc>
        <w:tc>
          <w:tcPr>
            <w:tcW w:w="2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(5,849)</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(4,357)</w:t>
            </w:r>
          </w:p>
        </w:tc>
        <w:tc>
          <w:tcPr>
            <w:tcW w:w="0" w:type="dxa"/>
            <w:vAlign w:val="bottom"/>
          </w:tcPr>
          <w:p>
            <w:pPr>
              <w:spacing w:after="0"/>
              <w:rPr>
                <w:sz w:val="1"/>
                <w:szCs w:val="1"/>
                <w:color w:val="auto"/>
              </w:rPr>
            </w:pPr>
          </w:p>
        </w:tc>
      </w:tr>
      <w:tr>
        <w:trPr>
          <w:trHeight w:val="27"/>
        </w:trPr>
        <w:tc>
          <w:tcPr>
            <w:tcW w:w="5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-2022475</wp:posOffset>
            </wp:positionV>
            <wp:extent cx="120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-2022475</wp:posOffset>
            </wp:positionV>
            <wp:extent cx="120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-2022475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adjustment to noncontrolling interest was recorded with an offset: (1) to eliminate WMH equity holders’ units balance of $18.8 million; (2) to retained earnings for $7.6 million, representing the portion of the share-based expense in Note (k) allocated to noncontrolling interests; and (3) to additional paid-in capital for the residual amount of $15.3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Transaction Accounting Adjustments to Unaudited Pro Forma Condensed Combined Statements of Operations</w:t>
      </w:r>
    </w:p>
    <w:p>
      <w:pPr>
        <w:spacing w:after="0" w:line="152"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The Transaction Accounting Adjustments included in the unaudited pro forma condensed combined statements of operations for the three months ended March 31, 2021 and year ended December 31, 2020 as follows:</w:t>
      </w:r>
    </w:p>
    <w:p>
      <w:pPr>
        <w:spacing w:after="0" w:line="16" w:lineRule="exact"/>
        <w:rPr>
          <w:sz w:val="20"/>
          <w:szCs w:val="20"/>
          <w:color w:val="auto"/>
        </w:rPr>
      </w:pPr>
    </w:p>
    <w:p>
      <w:pPr>
        <w:ind w:left="1000" w:right="3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pro forma adjustment to eliminate interest income and unrealized gains on marketable securities held in the Trust Account.</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pro forma adjustment to eliminate historical expenses related to Silver Spike’s office space, administrative and support services paid to the sponsor, which terminated upon consummation of the Business Combination.</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pro forma adjustment to eliminate transaction costs expensed by Silver Spike during the three months ended March 31, 2021 and year ended December 31, 2020, which will be capitalized as part of the Business Combination or recognized in expense in Note (ee) below.</w:t>
      </w:r>
    </w:p>
    <w:p>
      <w:pPr>
        <w:spacing w:after="0" w:line="75" w:lineRule="exact"/>
        <w:rPr>
          <w:rFonts w:ascii="Arial" w:cs="Arial" w:eastAsia="Arial" w:hAnsi="Arial"/>
          <w:sz w:val="18"/>
          <w:szCs w:val="18"/>
          <w:color w:val="auto"/>
        </w:rPr>
      </w:pPr>
    </w:p>
    <w:p>
      <w:pPr>
        <w:jc w:val="both"/>
        <w:ind w:left="1000" w:right="319" w:hanging="348"/>
        <w:spacing w:after="0" w:line="279"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approximately $13.2 million of share-based expense associated with vested Legacy WMH Class B units, which expense is recorded upon the Closing. These costs are reflected as incurred on January 1, 2020, the date the Business Combination occurred for purposes of the unaudited pro forma condensed combined statements of operations. This is a non-recurring item.</w:t>
      </w:r>
    </w:p>
    <w:p>
      <w:pPr>
        <w:spacing w:after="0" w:line="63" w:lineRule="exact"/>
        <w:rPr>
          <w:rFonts w:ascii="Arial" w:cs="Arial" w:eastAsia="Arial" w:hAnsi="Arial"/>
          <w:sz w:val="17"/>
          <w:szCs w:val="17"/>
          <w:color w:val="auto"/>
        </w:rPr>
      </w:pPr>
    </w:p>
    <w:p>
      <w:pPr>
        <w:jc w:val="both"/>
        <w:ind w:left="1000" w:right="319" w:hanging="348"/>
        <w:spacing w:after="0" w:line="279"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Reflects estimated transaction costs allocated to the public and private placement warrant liabilities that are assumed as part of the Business Combination. These costs are reflected as if incurred on January 1, 2020, the date the Business Combination occurred for the purposes of the unaudited pro forma condensed combined statements of operations. This is a non-recurring item.</w:t>
      </w:r>
    </w:p>
    <w:p>
      <w:pPr>
        <w:spacing w:after="0" w:line="63" w:lineRule="exact"/>
        <w:rPr>
          <w:rFonts w:ascii="Arial" w:cs="Arial" w:eastAsia="Arial" w:hAnsi="Arial"/>
          <w:sz w:val="17"/>
          <w:szCs w:val="17"/>
          <w:color w:val="auto"/>
        </w:rPr>
      </w:pPr>
    </w:p>
    <w:p>
      <w:pPr>
        <w:ind w:left="1000" w:hanging="348"/>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pro forma adjustment for income taxes, applying an estimated statutory tax rate of 27.98%.</w:t>
      </w:r>
    </w:p>
    <w:p>
      <w:pPr>
        <w:spacing w:after="0" w:line="140" w:lineRule="exact"/>
        <w:rPr>
          <w:rFonts w:ascii="Arial" w:cs="Arial" w:eastAsia="Arial" w:hAnsi="Arial"/>
          <w:sz w:val="16"/>
          <w:szCs w:val="16"/>
          <w:color w:val="auto"/>
        </w:rPr>
      </w:pPr>
    </w:p>
    <w:p>
      <w:pPr>
        <w:jc w:val="both"/>
        <w:ind w:left="1000" w:right="299" w:hanging="348"/>
        <w:spacing w:after="0" w:line="286"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the pro forma adjustment to allocate net loss to the noncontrolling interests. As the provision for income taxes was all attributable to common shareholders, the allocation of net loss to the noncontrolling interests was determined using Loss before provision for income taxes, as follows:</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860" w:type="dxa"/>
            <w:vAlign w:val="bottom"/>
          </w:tcPr>
          <w:p>
            <w:pPr>
              <w:jc w:val="right"/>
              <w:ind w:right="24"/>
              <w:spacing w:after="0"/>
              <w:rPr>
                <w:sz w:val="20"/>
                <w:szCs w:val="20"/>
                <w:color w:val="auto"/>
              </w:rPr>
            </w:pPr>
            <w:r>
              <w:rPr>
                <w:rFonts w:ascii="Arial" w:cs="Arial" w:eastAsia="Arial" w:hAnsi="Arial"/>
                <w:sz w:val="14"/>
                <w:szCs w:val="14"/>
                <w:b w:val="1"/>
                <w:bCs w:val="1"/>
                <w:color w:val="auto"/>
                <w:w w:val="96"/>
              </w:rPr>
              <w:t>Year Ended</w:t>
            </w:r>
          </w:p>
        </w:tc>
      </w:tr>
      <w:tr>
        <w:trPr>
          <w:trHeight w:val="148"/>
        </w:trPr>
        <w:tc>
          <w:tcPr>
            <w:tcW w:w="63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6"/>
        </w:trPr>
        <w:tc>
          <w:tcPr>
            <w:tcW w:w="630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2021</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53"/>
        </w:trPr>
        <w:tc>
          <w:tcPr>
            <w:tcW w:w="63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84"/>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before provision for income taxes</w:t>
            </w:r>
          </w:p>
        </w:tc>
        <w:tc>
          <w:tcPr>
            <w:tcW w:w="9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$(70,471)</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$(28,813)</w:t>
            </w:r>
          </w:p>
        </w:tc>
      </w:tr>
      <w:tr>
        <w:trPr>
          <w:trHeight w:val="237"/>
        </w:trPr>
        <w:tc>
          <w:tcPr>
            <w:tcW w:w="6300" w:type="dxa"/>
            <w:vAlign w:val="bottom"/>
          </w:tcPr>
          <w:p>
            <w:pPr>
              <w:spacing w:after="0"/>
              <w:rPr>
                <w:sz w:val="20"/>
                <w:szCs w:val="20"/>
                <w:color w:val="auto"/>
              </w:rPr>
            </w:pPr>
            <w:r>
              <w:rPr>
                <w:rFonts w:ascii="Arial" w:cs="Arial" w:eastAsia="Arial" w:hAnsi="Arial"/>
                <w:sz w:val="16"/>
                <w:szCs w:val="16"/>
                <w:color w:val="auto"/>
              </w:rPr>
              <w:t>Economic interest held by noncontrolling interest holders</w:t>
            </w:r>
          </w:p>
        </w:tc>
        <w:tc>
          <w:tcPr>
            <w:tcW w:w="980" w:type="dxa"/>
            <w:vAlign w:val="bottom"/>
          </w:tcPr>
          <w:p>
            <w:pPr>
              <w:jc w:val="right"/>
              <w:spacing w:after="0"/>
              <w:rPr>
                <w:sz w:val="20"/>
                <w:szCs w:val="20"/>
                <w:color w:val="auto"/>
              </w:rPr>
            </w:pPr>
            <w:r>
              <w:rPr>
                <w:rFonts w:ascii="Arial" w:cs="Arial" w:eastAsia="Arial" w:hAnsi="Arial"/>
                <w:sz w:val="16"/>
                <w:szCs w:val="16"/>
                <w:color w:val="auto"/>
              </w:rPr>
              <w:t>57.3%</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47"/>
        </w:trPr>
        <w:tc>
          <w:tcPr>
            <w:tcW w:w="6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43"/>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noncontrolling interests</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$(40,372)</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$(16,507)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-539115</wp:posOffset>
            </wp:positionV>
            <wp:extent cx="1714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-539115</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left="600" w:hanging="308"/>
        <w:spacing w:after="0"/>
        <w:tabs>
          <w:tab w:leader="none" w:pos="6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Represents the net loss per share calculated using the historical weighted average shares outstanding, and the issuance of additional shares in connection with the PIPE subscription financing, assuming the shares were outstanding since January 1, 2020. As the Business Combination is being reflected as if it had occurred at the beginning of the periods presented, the calculation of weighted average shares outstanding for basic and diluted net loss per share assumes that the shares issuable relating to the PIPE subscription financing have been outstanding for the entire periods presented.</w:t>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12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9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86"/>
        </w:trPr>
        <w:tc>
          <w:tcPr>
            <w:tcW w:w="12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2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March 31,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53"/>
        </w:trPr>
        <w:tc>
          <w:tcPr>
            <w:tcW w:w="1280" w:type="dxa"/>
            <w:vAlign w:val="bottom"/>
            <w:tcBorders>
              <w:bottom w:val="single" w:sz="8" w:color="CCEEFF"/>
            </w:tcBorders>
          </w:tcPr>
          <w:p>
            <w:pPr>
              <w:spacing w:after="0"/>
              <w:rPr>
                <w:sz w:val="4"/>
                <w:szCs w:val="4"/>
                <w:color w:val="auto"/>
              </w:rPr>
            </w:pPr>
          </w:p>
        </w:tc>
        <w:tc>
          <w:tcPr>
            <w:tcW w:w="50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84"/>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Pro forma net loss attributable to common shareholders (in thousands)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(21,918)</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(8,863)</w:t>
            </w:r>
          </w:p>
        </w:tc>
      </w:tr>
      <w:tr>
        <w:trPr>
          <w:trHeight w:val="237"/>
        </w:trPr>
        <w:tc>
          <w:tcPr>
            <w:tcW w:w="6280" w:type="dxa"/>
            <w:vAlign w:val="bottom"/>
            <w:gridSpan w:val="2"/>
          </w:tcPr>
          <w:p>
            <w:pPr>
              <w:spacing w:after="0"/>
              <w:rPr>
                <w:sz w:val="20"/>
                <w:szCs w:val="20"/>
                <w:color w:val="auto"/>
              </w:rPr>
            </w:pPr>
            <w:r>
              <w:rPr>
                <w:rFonts w:ascii="Arial" w:cs="Arial" w:eastAsia="Arial" w:hAnsi="Arial"/>
                <w:sz w:val="16"/>
                <w:szCs w:val="16"/>
                <w:color w:val="auto"/>
              </w:rPr>
              <w:t>Pro forma weighted average shares outstanding, basic and diluted - Class A</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63,738,563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63,738,563</w:t>
            </w:r>
          </w:p>
        </w:tc>
      </w:tr>
      <w:tr>
        <w:trPr>
          <w:trHeight w:val="46"/>
        </w:trPr>
        <w:tc>
          <w:tcPr>
            <w:tcW w:w="12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4"/>
        </w:trPr>
        <w:tc>
          <w:tcPr>
            <w:tcW w:w="6280" w:type="dxa"/>
            <w:vAlign w:val="bottom"/>
            <w:gridSpan w:val="2"/>
            <w:shd w:val="clear" w:color="auto" w:fill="CCEEFF"/>
          </w:tcPr>
          <w:p>
            <w:pPr>
              <w:spacing w:after="0" w:line="283" w:lineRule="exact"/>
              <w:rPr>
                <w:sz w:val="20"/>
                <w:szCs w:val="20"/>
                <w:color w:val="auto"/>
              </w:rPr>
            </w:pPr>
            <w:r>
              <w:rPr>
                <w:rFonts w:ascii="Arial" w:cs="Arial" w:eastAsia="Arial" w:hAnsi="Arial"/>
                <w:sz w:val="16"/>
                <w:szCs w:val="16"/>
                <w:color w:val="auto"/>
              </w:rPr>
              <w:t>Pro forma net loss per share, basic and diluted - Class A</w:t>
            </w:r>
            <w:r>
              <w:rPr>
                <w:rFonts w:ascii="Arial" w:cs="Arial" w:eastAsia="Arial" w:hAnsi="Arial"/>
                <w:sz w:val="26"/>
                <w:szCs w:val="26"/>
                <w:color w:val="auto"/>
                <w:vertAlign w:val="superscript"/>
              </w:rPr>
              <w:t>(1)(2)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(0.34)</w:t>
            </w:r>
          </w:p>
        </w:tc>
        <w:tc>
          <w:tcPr>
            <w:tcW w:w="260" w:type="dxa"/>
            <w:vAlign w:val="bottom"/>
            <w:shd w:val="clear" w:color="auto" w:fill="CCEEFF"/>
          </w:tcPr>
          <w:p>
            <w:pPr>
              <w:spacing w:after="0"/>
              <w:rPr>
                <w:sz w:val="24"/>
                <w:szCs w:val="24"/>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(0.14)</w:t>
            </w:r>
          </w:p>
        </w:tc>
      </w:tr>
      <w:tr>
        <w:trPr>
          <w:trHeight w:val="237"/>
        </w:trPr>
        <w:tc>
          <w:tcPr>
            <w:tcW w:w="6280" w:type="dxa"/>
            <w:vAlign w:val="bottom"/>
            <w:gridSpan w:val="2"/>
          </w:tcPr>
          <w:p>
            <w:pPr>
              <w:spacing w:after="0"/>
              <w:rPr>
                <w:sz w:val="20"/>
                <w:szCs w:val="20"/>
                <w:color w:val="auto"/>
              </w:rPr>
            </w:pPr>
            <w:r>
              <w:rPr>
                <w:rFonts w:ascii="Arial" w:cs="Arial" w:eastAsia="Arial" w:hAnsi="Arial"/>
                <w:sz w:val="16"/>
                <w:szCs w:val="16"/>
                <w:b w:val="1"/>
                <w:bCs w:val="1"/>
                <w:color w:val="auto"/>
              </w:rPr>
              <w:t>Pro forma weighted average shares calculation, basis and diluted - Class A</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12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4"/>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Silver Spike public shareholders - Class A</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24,988,563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24,988,563</w:t>
            </w:r>
          </w:p>
        </w:tc>
      </w:tr>
      <w:tr>
        <w:trPr>
          <w:trHeight w:val="237"/>
        </w:trPr>
        <w:tc>
          <w:tcPr>
            <w:tcW w:w="6280" w:type="dxa"/>
            <w:vAlign w:val="bottom"/>
            <w:gridSpan w:val="2"/>
          </w:tcPr>
          <w:p>
            <w:pPr>
              <w:spacing w:after="0"/>
              <w:rPr>
                <w:sz w:val="20"/>
                <w:szCs w:val="20"/>
                <w:color w:val="auto"/>
              </w:rPr>
            </w:pPr>
            <w:r>
              <w:rPr>
                <w:rFonts w:ascii="Arial" w:cs="Arial" w:eastAsia="Arial" w:hAnsi="Arial"/>
                <w:sz w:val="16"/>
                <w:szCs w:val="16"/>
                <w:color w:val="auto"/>
              </w:rPr>
              <w:t>Holders of founder shares - Class A</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6,250,000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6,250,000</w:t>
            </w:r>
          </w:p>
        </w:tc>
      </w:tr>
      <w:tr>
        <w:trPr>
          <w:trHeight w:val="47"/>
        </w:trPr>
        <w:tc>
          <w:tcPr>
            <w:tcW w:w="12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Subscription investors - Class A</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32,500,000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32,500,000</w:t>
            </w:r>
          </w:p>
        </w:tc>
      </w:tr>
      <w:tr>
        <w:trPr>
          <w:trHeight w:val="61"/>
        </w:trPr>
        <w:tc>
          <w:tcPr>
            <w:tcW w:w="1280" w:type="dxa"/>
            <w:vAlign w:val="bottom"/>
            <w:tcBorders>
              <w:top w:val="single" w:sz="8" w:color="CCEEFF"/>
            </w:tcBorders>
            <w:shd w:val="clear" w:color="auto" w:fill="CCEEFF"/>
          </w:tcPr>
          <w:p>
            <w:pPr>
              <w:spacing w:after="0"/>
              <w:rPr>
                <w:sz w:val="5"/>
                <w:szCs w:val="5"/>
                <w:color w:val="auto"/>
              </w:rPr>
            </w:pPr>
          </w:p>
        </w:tc>
        <w:tc>
          <w:tcPr>
            <w:tcW w:w="5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56"/>
        </w:trPr>
        <w:tc>
          <w:tcPr>
            <w:tcW w:w="128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89"/>
              </w:rPr>
              <w:t>63,738,563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63,738,563</w:t>
            </w:r>
          </w:p>
        </w:tc>
      </w:tr>
      <w:tr>
        <w:trPr>
          <w:trHeight w:val="20"/>
        </w:trPr>
        <w:tc>
          <w:tcPr>
            <w:tcW w:w="12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-1593850</wp:posOffset>
            </wp:positionV>
            <wp:extent cx="1714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-1593850</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 w:lineRule="exact"/>
        <w:rPr>
          <w:sz w:val="20"/>
          <w:szCs w:val="20"/>
          <w:color w:val="auto"/>
        </w:rPr>
      </w:pPr>
    </w:p>
    <w:p>
      <w:pPr>
        <w:jc w:val="both"/>
        <w:ind w:left="640" w:right="299" w:hanging="348"/>
        <w:spacing w:after="0" w:line="238" w:lineRule="auto"/>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Shares of Class V Common Stock will not share in the earnings or losses of the Company and are therefore not participating securities. As such, separate calculations of basic and diluted net loss per share for Class V Common Stock under the two-class method has not been presented.</w:t>
      </w:r>
    </w:p>
    <w:p>
      <w:pPr>
        <w:spacing w:after="0" w:line="20"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 the purpose of calculating diluted net loss per share, it was assumed that all outstanding public and private placement warrants are exchanged for shares of Class A Common Stock. However, since this results in anti-dilution, the effect of such exchange was not included in the calculation of diluted net loss per share.</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0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the sections entitled “Cautionary Statement Regarding Forward-Looking Statements” and “Risk Factors” in this prospectus.</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were founded in 2008, and operate a leading listings marketplace with one of the most comprehensive SaaS subscription offerings sold to retailers and brands in the U.S. state-legal and Canadian cannabis markets. We also provide information on the cannabis plant and the industry and advocates for legalization. We address the challenges facing both consumers seeking to understand cannabis products and businesses who serve cannabis users in a legally compliant fashion with our Weedmaps platform and WM Business SaaS solution. Over the past 13 years, we have grown the Weedmaps listings marketplace to become the premier destination for cannabis consumers to discover and browse information regarding cannabis and cannabis products, with over 9 million MAUs on the demand-side and more than 4,000 paying business clients on the supply-side of our marketplace as of March 31, 2021. These paying clients include retailers, brands and other client types (such as doctors). Further, these clients, who can choose to purchase multiple listings solutions for each business, had purchased approximately 8,700 listing pages as of March 2021 (of the over 17,300 listing pages listing pages on the marketplace). The Weedmaps listings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We provide consumers with discovery channels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7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Over the last three years, we have developed and launched several SaaS solutions for our retailer clients. These solutions now comprise an integrated platform for retailers, which we call “WM Business”. WM Business provides a comprehensive set of tools to enable cannabis businesses to provide their goods and services compliantly, with what we refer to as “business-in-a-box” functionality. Our “business-in-a-box” solution helps cannabis retailers to improve their workflows and regulatory compliance in the course of serving cannabis consumers.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listings marketplace), (iii) logistics software such as driver apps and fleet-tracking tools to permit legal compliance with state delivery regulations, (iv) retail point-of-sale, or POS, solutions to manage inventory and track-and-trace compliance reporting, (v) analytics dashboards, (vi) access to our online wholesale exchange marketplace to browse brand catalogs and efficiently identify brands to obtain inventory from (and review license information and certificates of analysis, among other compliance features), and (vii) application program interface, or API, integrations to streamline workflows, thereby helping eliminate human error in recordkeeping and promoting compliance through accuracy. We also offer a growing set of offerings for brands to reach consumers and retailers as well as manage their brand catalog information.</w:t>
      </w:r>
    </w:p>
    <w:p>
      <w:pPr>
        <w:spacing w:after="0" w:line="29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WM Business solution is sold as a value-priced monthly subscription package. We also offer several upsell and add-on products that allow businesses to have more prominent placement on the Weedmaps listings marketplace either through featured listings, display ads or promoted deal offerings. We sell our offerings in the United States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Canada, and we have a limited number of non-monetized listings in several international countries including Austria, Germany, the Netherlands, Spain, and Switzerland. As of March 31, 2021, we actively operated in 23 U.S. states and territories that have adult-use and/or medical-use regulations in place.</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As we continue to expand the presence and increase the number of consumers on the Weedmaps listings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SaaS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solutions are designed to address these challenges facing cannabis consumers and businesses. The Weedmaps listings marketplace allows cannabis users to search for and browse cannabis products from retailers and brands, and ultimately reserve products from local retailers, in a manner similar to technology platforms in other consumer goods verticals with a breadth and depth of product, brand, and retailer selection, although confirmation of orders and processing of payments may only occur outside the Weedmaps listings marketplace. With the development of our WM Business SaaS solution, we offer an end-to-end platform for licensed cannabis retailers to comply with state law applicable to the products these businesses are selling. The success of our business model is driven by our ability to increase the number of consumers engaging with the Weedmaps listings marketplace as well as our ability to attract new clients, retain existing clients and increase our sales to both new and existing clients in the local markets in which we operate through growing user engagements and offering compelling software solutions.</w:t>
      </w:r>
    </w:p>
    <w:p>
      <w:pPr>
        <w:spacing w:after="0" w:line="74"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We operate a cloud-based platform, and unlike other cannabis-related businesses, we require minimal physical footprint and are not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growth, margins and cash flow while achieving our growth. From 2014 to 2020, we grew revenue at a CAGR of 35% and expanded gross margin from 92% to 95%. For the year ended December 31, 2020, we generated $162 million revenue, which represented 12% growth over the prior year and 40% growth over that same period when adjusting the prior year to eliminate revenue associated with non-licensed operators in California that we removed from the Weedmaps listings marketplace at the end of fiscal year 2019. For the year ended December 31, 2020, we generated net income of $39 million and EBITDA of $43 million. For the three months ended March 31, 2021, we generated $41 million in revenue, which represented 28% growth over the prior year and 58% growth over that same period when adjusting the prior year to eliminate revenue associated with non-licensed operators in Canada that we removed from the Weedmaps listings marketplace between September and November 2020. For the three months ended March 31, 2021, we generated net income of $8 million and EBITDA of $9 million. For further information about how we calculate EBITDA, limitations of its use and a reconciliation of EBITDA to net income, see “—Key Operating and Financial Metrics-EBITDA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164465</wp:posOffset>
            </wp:positionV>
            <wp:extent cx="5186045" cy="131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8604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Combination and Public Company Costs</w:t>
      </w:r>
    </w:p>
    <w:p>
      <w:pPr>
        <w:spacing w:after="0" w:line="12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On June 16, 2021, Silver Spike, our predecessor company, consummated the Business Combination pursuant to the Merger Agreement, by and among Silver Spike, Merger Sub, Legacy WMH, and the Holder Representative.</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consummation of the Business Combination.</w:t>
      </w:r>
    </w:p>
    <w:p>
      <w:pPr>
        <w:spacing w:after="0" w:line="7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the legal acquirer in the Merger Agreement is Silver Spike, for financial accounting and reporting purposes under GAAP, Legacy WMH was the accounting acquirer and 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will be presented as those of Legacy WMH in future reports. The net assets of Silver Spike were recognized at historical cost (which are consistent with carrying value), with no goodwill or other intangible assets recorded.</w:t>
      </w:r>
    </w:p>
    <w:p>
      <w:pPr>
        <w:spacing w:after="0" w:line="6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Upon consummation of the Business Combination and the closing of the PIPE subscription financing, the most significant change in Legacy WMH’s future reported financial position and results of operations was an increase in cash and cash equivalents (as compared to Legacy WMH’s balance sheet at March 31, 2021) of approximately $85 million, including $325.0 million in gross proceeds from the PIPE subscription financing. Total direct and incremental transaction costs of Silver Spike and Legacy WMH were approximately $42 million and will be treated as a reduction of the cash proceeds and deducted from the combined company’s additional paid-in capital or retained earnings, as applicable. See the section entitled “Unaudited Pro Forma Condensed Combined Financial Information.”</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We Seed and Scale Markets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Our efforts to attract and retain clients are tailored to the dynamics of individual jurisdictions and markets. We typically develop each new target market in the following stages:</w:t>
      </w:r>
    </w:p>
    <w:p>
      <w:pPr>
        <w:spacing w:after="0" w:line="62" w:lineRule="exact"/>
        <w:rPr>
          <w:sz w:val="20"/>
          <w:szCs w:val="20"/>
          <w:color w:val="auto"/>
        </w:rPr>
      </w:pPr>
    </w:p>
    <w:p>
      <w:pPr>
        <w:jc w:val="both"/>
        <w:ind w:left="1000" w:right="319" w:hanging="348"/>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Identify. </w:t>
      </w:r>
      <w:r>
        <w:rPr>
          <w:rFonts w:ascii="Arial" w:cs="Arial" w:eastAsia="Arial" w:hAnsi="Arial"/>
          <w:sz w:val="18"/>
          <w:szCs w:val="18"/>
          <w:color w:val="auto"/>
        </w:rPr>
        <w:t>Leveraging our policy and government relations expertise, we identify jurisdictions that are likely</w:t>
      </w:r>
      <w:r>
        <w:rPr>
          <w:rFonts w:ascii="Arial" w:cs="Arial" w:eastAsia="Arial" w:hAnsi="Arial"/>
          <w:sz w:val="18"/>
          <w:szCs w:val="18"/>
          <w:i w:val="1"/>
          <w:iCs w:val="1"/>
          <w:color w:val="auto"/>
        </w:rPr>
        <w:t xml:space="preserve"> </w:t>
      </w:r>
      <w:r>
        <w:rPr>
          <w:rFonts w:ascii="Arial" w:cs="Arial" w:eastAsia="Arial" w:hAnsi="Arial"/>
          <w:sz w:val="18"/>
          <w:szCs w:val="18"/>
          <w:color w:val="auto"/>
        </w:rPr>
        <w:t>to liberalize the market for cannabis. We select new markets within those jurisdictions based on several criteria, including population size, existing cannabis retailer density, potential licenses to be granted within the market and proximity to existing markets.</w:t>
      </w:r>
    </w:p>
    <w:p>
      <w:pPr>
        <w:spacing w:after="0" w:line="78" w:lineRule="exact"/>
        <w:rPr>
          <w:rFonts w:ascii="Arial" w:cs="Arial" w:eastAsia="Arial" w:hAnsi="Arial"/>
          <w:sz w:val="18"/>
          <w:szCs w:val="18"/>
          <w:color w:val="auto"/>
        </w:rPr>
      </w:pPr>
    </w:p>
    <w:p>
      <w:pPr>
        <w:jc w:val="both"/>
        <w:ind w:left="1000" w:right="299" w:hanging="348"/>
        <w:spacing w:after="0" w:line="269"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Seed. </w:t>
      </w:r>
      <w:r>
        <w:rPr>
          <w:rFonts w:ascii="Arial" w:cs="Arial" w:eastAsia="Arial" w:hAnsi="Arial"/>
          <w:sz w:val="17"/>
          <w:szCs w:val="17"/>
          <w:color w:val="auto"/>
        </w:rPr>
        <w:t>Before launching a market in any jurisdiction, we typically engage in market and brand awareness</w:t>
      </w:r>
      <w:r>
        <w:rPr>
          <w:rFonts w:ascii="Arial" w:cs="Arial" w:eastAsia="Arial" w:hAnsi="Arial"/>
          <w:sz w:val="17"/>
          <w:szCs w:val="17"/>
          <w:i w:val="1"/>
          <w:iCs w:val="1"/>
          <w:color w:val="auto"/>
        </w:rPr>
        <w:t xml:space="preserve"> </w:t>
      </w:r>
      <w:r>
        <w:rPr>
          <w:rFonts w:ascii="Arial" w:cs="Arial" w:eastAsia="Arial" w:hAnsi="Arial"/>
          <w:sz w:val="17"/>
          <w:szCs w:val="17"/>
          <w:color w:val="auto"/>
        </w:rPr>
        <w:t>campaigns, typically out-of-home, or OOH, and digital advertising, targeted at both potential clients and consumers. We obtain license application or license information from the relevant regulatory agencies and create individual basic listings for each business location in the market. We do not monetize these free basic listings, which include basic contact information and reviews to attract cannabis businesses to our platform but lack functionality such as product menus, which we include only as part of our subscription offering in most markets. At launch, consumers can read and write reviews about any business on our platform. We also identify jurisdiction-specific regulatory approvals which would be needed for individual solutions within the WM Business suite and analyze state-specific regulations that would need to be incorporated into WM Business suite solutions.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69"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Grow</w:t>
      </w:r>
      <w:r>
        <w:rPr>
          <w:rFonts w:ascii="Arial" w:cs="Arial" w:eastAsia="Arial" w:hAnsi="Arial"/>
          <w:sz w:val="17"/>
          <w:szCs w:val="17"/>
          <w:color w:val="auto"/>
        </w:rPr>
        <w:t>. After launch, we focus on attracting clients and consumers to our platform. These efforts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clients free trial periods to the WM Business subscription solution, demonstrating the attractive return on spend of the listing presence on the Weedmaps listings marketplace as well as the value of the software solutions in creating operating efficiencies while enabling compliance functionality. We also continue hosting market and brand awareness campaigns, planning and executing engaging local events for the community, while deploying our inside and field sales force. Through these activities, we help increase the frequency of use of our marketplace driving a network effect, whereby the breadth and depth of consumer engagement expands and this expansion draws an increasing number of businesses to use additional features of our platform. This in turn further increases the richness of available information and thus attracts new and existing clients and consumers to use our platform.</w:t>
      </w:r>
    </w:p>
    <w:p>
      <w:pPr>
        <w:spacing w:after="0" w:line="77" w:lineRule="exact"/>
        <w:rPr>
          <w:rFonts w:ascii="Arial" w:cs="Arial" w:eastAsia="Arial" w:hAnsi="Arial"/>
          <w:sz w:val="17"/>
          <w:szCs w:val="17"/>
          <w:color w:val="auto"/>
        </w:rPr>
      </w:pPr>
    </w:p>
    <w:p>
      <w:pPr>
        <w:jc w:val="both"/>
        <w:ind w:left="1000" w:right="299" w:hanging="348"/>
        <w:spacing w:after="0" w:line="291"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Scale. </w:t>
      </w:r>
      <w:r>
        <w:rPr>
          <w:rFonts w:ascii="Arial" w:cs="Arial" w:eastAsia="Arial" w:hAnsi="Arial"/>
          <w:sz w:val="16"/>
          <w:szCs w:val="16"/>
          <w:color w:val="auto"/>
        </w:rPr>
        <w:t>At scale, our platform reaches a critical mass of clients and consumers, and we begin an active sales</w:t>
      </w:r>
      <w:r>
        <w:rPr>
          <w:rFonts w:ascii="Arial" w:cs="Arial" w:eastAsia="Arial" w:hAnsi="Arial"/>
          <w:sz w:val="16"/>
          <w:szCs w:val="16"/>
          <w:i w:val="1"/>
          <w:iCs w:val="1"/>
          <w:color w:val="auto"/>
        </w:rPr>
        <w:t xml:space="preserve"> </w:t>
      </w:r>
      <w:r>
        <w:rPr>
          <w:rFonts w:ascii="Arial" w:cs="Arial" w:eastAsia="Arial" w:hAnsi="Arial"/>
          <w:sz w:val="16"/>
          <w:szCs w:val="16"/>
          <w:color w:val="auto"/>
        </w:rPr>
        <w:t>effort to other local cannabis businesses that aren’t on the platform. Our sales efforts are increasingly consultative as we work to educate businesses about the value of our offerings and dynamics in their local market so that they can optimize their compliance. In more mature markets, the mix of our advertising spend shifts from market and brand awareness towards digital performance marketing. In markets that have attained this level of development, we have achieved economies of scale and operating cost leverage and are able to drive higher levels of engagement within the WM Business solutions.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How We Monetize Our Platform</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monetize our platform through the following offerings:</w:t>
      </w:r>
    </w:p>
    <w:p>
      <w:pPr>
        <w:spacing w:after="0" w:line="117" w:lineRule="exact"/>
        <w:rPr>
          <w:sz w:val="20"/>
          <w:szCs w:val="20"/>
          <w:color w:val="auto"/>
        </w:rPr>
      </w:pPr>
    </w:p>
    <w:p>
      <w:pPr>
        <w:jc w:val="both"/>
        <w:ind w:left="1000" w:right="299" w:hanging="348"/>
        <w:spacing w:after="0" w:line="254"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Monthly subscription offering. </w:t>
      </w:r>
      <w:r>
        <w:rPr>
          <w:rFonts w:ascii="Arial" w:cs="Arial" w:eastAsia="Arial" w:hAnsi="Arial"/>
          <w:sz w:val="18"/>
          <w:szCs w:val="18"/>
          <w:color w:val="auto"/>
        </w:rPr>
        <w:t>Through December 31, 2020, we offered standard listing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access to a listing page on weedmaps.com in addition to free access to our SaaS solutions, including WM Orders, WM Dispatch, WM Exchange, WM Retail and WM Store, along with our API integrations with third-party POS systems. These standard listing clients were also then required to pay a $5.00 technology services fee per delivery order submitted which we imposed beginning in September 2019 (regardless of whether the proposed order was canceled or completed). Standard listing clients did not have access to WM Dashboard, which was only available to clients who purchased our featured listings upsell solution.</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of January 1, 2021, we migrated all standard listing subscription clients to our new WM Business subscription package. Under this new subscription package, all retailers continue to receive access to a standard listing page and SaaS solutions. In addition, we began including access to WM Dashboard and eliminated the technology services fee on delivery orders as part of the transition to the new WM Business subscription package. Since January 1, 2021, the number of reservations for pick-up or delivery submitted through our WM Orders or WM Store features has had no impact on our revenue.</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have taken a pricing increase concurrent with this transition to reflect the additional value embedded within the WM Business subscription package associated with access to the full SaaS solution set that we offer in a particular jurisdiction, including WM Dashboard and potentially including the compliance and management tools included in our WM Dispatch software solution to help facilitate compliant delivery orders. Our monthly price for the WM Business subscription is generally $495 per month for dispensaries and $395 per month for delivery businesses.</w:t>
      </w:r>
    </w:p>
    <w:p>
      <w:pPr>
        <w:spacing w:after="0" w:line="84"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do not expect a material impact to revenue from the elimination of the technology services fee on delivery orders as these fees were less than 5% of our revenue for the year ending December 31, 2020 and we expect them to be partially offset by the pricing increase associated with the new WM Business subscription package.</w:t>
      </w:r>
    </w:p>
    <w:p>
      <w:pPr>
        <w:spacing w:after="0" w:line="41" w:lineRule="exact"/>
        <w:rPr>
          <w:sz w:val="20"/>
          <w:szCs w:val="20"/>
          <w:color w:val="auto"/>
        </w:rPr>
      </w:pPr>
    </w:p>
    <w:p>
      <w:pPr>
        <w:ind w:left="1000" w:right="31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Additional offerings. </w:t>
      </w:r>
      <w:r>
        <w:rPr>
          <w:rFonts w:ascii="Arial" w:cs="Arial" w:eastAsia="Arial" w:hAnsi="Arial"/>
          <w:sz w:val="18"/>
          <w:szCs w:val="18"/>
          <w:color w:val="auto"/>
        </w:rPr>
        <w:t>We also offer several add-on and upsell solutions to our paying subscription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Nearby listings, which allow clients to increase presence in adjacent regions next to their home region to the extent permitted by their license.</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Promoted deals, which allows retailers to showcase discounts and promotions on products to assist price-conscious consumers.</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Display advertising, which provides clients with targeted ad solutions in highly visible slots across our digital surfaces.</w:t>
      </w:r>
    </w:p>
    <w:p>
      <w:pPr>
        <w:spacing w:after="0" w:line="62" w:lineRule="exact"/>
        <w:rPr>
          <w:rFonts w:ascii="Arial" w:cs="Arial" w:eastAsia="Arial" w:hAnsi="Arial"/>
          <w:sz w:val="18"/>
          <w:szCs w:val="18"/>
          <w:color w:val="auto"/>
        </w:rPr>
      </w:pPr>
    </w:p>
    <w:p>
      <w:pPr>
        <w:ind w:left="1360" w:right="319" w:hanging="348"/>
        <w:spacing w:after="0" w:line="342" w:lineRule="auto"/>
        <w:tabs>
          <w:tab w:leader="none" w:pos="13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Featured listings, which allow clients to drive additional traffic through prominent placement on our Weedmaps listings marketplace. These featured listings provide our clients with prominent visibility</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80" w:right="299"/>
        <w:spacing w:after="0" w:line="270" w:lineRule="auto"/>
        <w:rPr>
          <w:sz w:val="20"/>
          <w:szCs w:val="20"/>
          <w:color w:val="auto"/>
        </w:rPr>
      </w:pPr>
      <w:r>
        <w:rPr>
          <w:rFonts w:ascii="Arial" w:cs="Arial" w:eastAsia="Arial" w:hAnsi="Arial"/>
          <w:sz w:val="17"/>
          <w:szCs w:val="17"/>
          <w:color w:val="auto"/>
        </w:rPr>
        <w:t>on our geo-targeted map page views and our homepage within a given market, which drives higher levels of engagement as consumers more easily navigate to a featured listing client’s listing page. We have a fixed inventory of featured listings that we sell in each of our markets and currently price these listings using a competitive bid-auction process, reflecting local market demand. Clients who win the auction are entitled to their featured listing at the fixed price by which they won the auction for a 60-day period, independent of the user engagements we generate to the client’s listing page during that period. As an individual market increases in client density relative to consumer demand, we have the ability to cleave markets, which increases the inventory of available advertising placements that we can monetize.</w:t>
      </w:r>
    </w:p>
    <w:p>
      <w:pPr>
        <w:spacing w:after="0" w:line="73" w:lineRule="exact"/>
        <w:rPr>
          <w:sz w:val="20"/>
          <w:szCs w:val="20"/>
          <w:color w:val="auto"/>
        </w:rPr>
      </w:pPr>
    </w:p>
    <w:p>
      <w:pPr>
        <w:jc w:val="both"/>
        <w:ind w:left="1380" w:right="299"/>
        <w:spacing w:after="0" w:line="286" w:lineRule="auto"/>
        <w:rPr>
          <w:sz w:val="20"/>
          <w:szCs w:val="20"/>
          <w:color w:val="auto"/>
        </w:rPr>
      </w:pPr>
      <w:r>
        <w:rPr>
          <w:rFonts w:ascii="Arial" w:cs="Arial" w:eastAsia="Arial" w:hAnsi="Arial"/>
          <w:sz w:val="16"/>
          <w:szCs w:val="16"/>
          <w:color w:val="auto"/>
        </w:rPr>
        <w:t>Featured listings revenue contributed 55% and 76% of our total revenue for the three months ended March 31, 2021 and the year ended December 31, 2020, respectively. While we have had great success in using our featured listings bid-auction to grow our monthly revenue per client, we believe there is an opportunity to increase pricing further in selected markets by transitioning towards a performance-based pricing model where we sell featured listings inventory on a cost-per-impression or cost-per-click basis. For example, the implied cost-per-click across our featured listings inventory was $0.49 in December 2020, which is significantly lower than other digital marketing platforms servicing less specialized end-markets without requiring the level of user targeting that our platform provides. Further, during the last six months of fiscal 2020, our platform had an average click-through-rate in excess of 10% for our dispensary and delivery featured listings inventory which is significantly higher than other less specialized digital marketing platforms. We recently launched a self-serve bidding engine in select regions within Michigan and Colorado, allowing clients to purchase featured listings on a cost-per-click basis based on a target budget. We will look to expand these performance-based pricing tests in additional markets over time.</w:t>
      </w:r>
    </w:p>
    <w:p>
      <w:pPr>
        <w:spacing w:after="0" w:line="6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seen significant growth in our monthly revenue per client over time. We have generally seen that the longer clients stay on the Weedmaps listings marketplace and leverage our WM Business solutions, the more they spend with us. We have also experienced rising levels of spend by our more recent client cohorts as seen in the below chart, which is dated as of December 31, 2020, where our more recent 2018 and 2019 client cohorts are spending at higher levels in the first three months on the platform vs. our 2016 and 2017 client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154305</wp:posOffset>
            </wp:positionV>
            <wp:extent cx="5271770" cy="25374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7177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believe these dynamics are driven by (i) increasing retail density as license issuance continues within the markets we serve, creating more new potential clients and increased competition among clients we serve, and</w:t>
      </w:r>
    </w:p>
    <w:p>
      <w:pPr>
        <w:ind w:left="300" w:right="319" w:hanging="8"/>
        <w:spacing w:after="0" w:line="260" w:lineRule="auto"/>
        <w:tabs>
          <w:tab w:leader="none" w:pos="5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more client engagement across our WM Business solution set, leading to an enhanced awareness of the return on investment that our clients receive from spend on our platform.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We sell our offerings in the United States and Canada, and we have a limited number of non-monetized listings in several international countries including Austria, Germany, the Netherlands, Spain, and Switzerland. As of March 31, 2021, we actively operate in 23 U.S. states and territories that have adult-use and/or medical-use regulations in place.</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We monitor the following key financial and operational metrics to evaluate our business, measure our performance, identify trends affecting our business, formulate business plans, and make strategic decisions.</w:t>
      </w:r>
    </w:p>
    <w:p>
      <w:pPr>
        <w:spacing w:after="0" w:line="8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6"/>
            <w:vMerge w:val="continue"/>
          </w:tcPr>
          <w:p>
            <w:pPr>
              <w:spacing w:after="0"/>
              <w:rPr>
                <w:sz w:val="16"/>
                <w:szCs w:val="16"/>
                <w:color w:val="auto"/>
              </w:rPr>
            </w:pPr>
          </w:p>
        </w:tc>
        <w:tc>
          <w:tcPr>
            <w:tcW w:w="138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6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gridSpan w:val="5"/>
          </w:tcPr>
          <w:p>
            <w:pPr>
              <w:spacing w:after="0"/>
              <w:rPr>
                <w:sz w:val="4"/>
                <w:szCs w:val="4"/>
                <w:color w:val="auto"/>
              </w:rPr>
            </w:pPr>
          </w:p>
        </w:tc>
        <w:tc>
          <w:tcPr>
            <w:tcW w:w="15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20" w:type="dxa"/>
            <w:vAlign w:val="bottom"/>
            <w:gridSpan w:val="8"/>
          </w:tcPr>
          <w:p>
            <w:pPr>
              <w:jc w:val="right"/>
              <w:ind w:right="352"/>
              <w:spacing w:after="0"/>
              <w:rPr>
                <w:sz w:val="20"/>
                <w:szCs w:val="20"/>
                <w:color w:val="auto"/>
              </w:rPr>
            </w:pPr>
            <w:r>
              <w:rPr>
                <w:rFonts w:ascii="Arial" w:cs="Arial" w:eastAsia="Arial" w:hAnsi="Arial"/>
                <w:sz w:val="14"/>
                <w:szCs w:val="14"/>
                <w:b w:val="1"/>
                <w:bCs w:val="1"/>
                <w:color w:val="auto"/>
                <w:w w:val="99"/>
              </w:rPr>
              <w:t>(dollars in thousands, except for revenue by client)</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76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$101,402</w:t>
            </w:r>
          </w:p>
        </w:tc>
        <w:tc>
          <w:tcPr>
            <w:tcW w:w="90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w w:val="98"/>
              </w:rPr>
              <w:t>$144,232</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$161,791</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$32,210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$41,154</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w w:val="90"/>
              </w:rPr>
              <w:t>12,679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38,830</w:t>
            </w:r>
          </w:p>
        </w:tc>
        <w:tc>
          <w:tcPr>
            <w:tcW w:w="160" w:type="dxa"/>
            <w:vAlign w:val="bottom"/>
          </w:tcPr>
          <w:p>
            <w:pPr>
              <w:spacing w:after="0"/>
              <w:rPr>
                <w:sz w:val="23"/>
                <w:szCs w:val="23"/>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w w:val="93"/>
              </w:rPr>
              <w:t>$ 3,809</w:t>
            </w:r>
          </w:p>
        </w:tc>
        <w:tc>
          <w:tcPr>
            <w:tcW w:w="700" w:type="dxa"/>
            <w:vAlign w:val="bottom"/>
          </w:tcPr>
          <w:p>
            <w:pPr>
              <w:jc w:val="right"/>
              <w:spacing w:after="0"/>
              <w:rPr>
                <w:sz w:val="20"/>
                <w:szCs w:val="20"/>
                <w:color w:val="auto"/>
              </w:rPr>
            </w:pPr>
            <w:r>
              <w:rPr>
                <w:rFonts w:ascii="Arial" w:cs="Arial" w:eastAsia="Arial" w:hAnsi="Arial"/>
                <w:sz w:val="18"/>
                <w:szCs w:val="18"/>
                <w:color w:val="auto"/>
              </w:rPr>
              <w:t>$ 7,731</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56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0"/>
              </w:rPr>
              <w:t>15,448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6,232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42,808</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3"/>
              </w:rPr>
              <w:t>$ 4,808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$ 8,974</w:t>
            </w:r>
          </w:p>
        </w:tc>
        <w:tc>
          <w:tcPr>
            <w:tcW w:w="0" w:type="dxa"/>
            <w:vAlign w:val="bottom"/>
          </w:tcPr>
          <w:p>
            <w:pPr>
              <w:spacing w:after="0"/>
              <w:rPr>
                <w:sz w:val="1"/>
                <w:szCs w:val="1"/>
                <w:color w:val="auto"/>
              </w:rPr>
            </w:pPr>
          </w:p>
        </w:tc>
      </w:tr>
      <w:tr>
        <w:trPr>
          <w:trHeight w:val="324"/>
        </w:trPr>
        <w:tc>
          <w:tcPr>
            <w:tcW w:w="3560" w:type="dxa"/>
            <w:vAlign w:val="bottom"/>
          </w:tcPr>
          <w:p>
            <w:pPr>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w w:val="90"/>
              </w:rPr>
              <w:t>17,123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13,828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42,808</w:t>
            </w:r>
          </w:p>
        </w:tc>
        <w:tc>
          <w:tcPr>
            <w:tcW w:w="160" w:type="dxa"/>
            <w:vAlign w:val="bottom"/>
          </w:tcPr>
          <w:p>
            <w:pPr>
              <w:spacing w:after="0"/>
              <w:rPr>
                <w:sz w:val="24"/>
                <w:szCs w:val="24"/>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w w:val="93"/>
              </w:rPr>
              <w:t>$ 4,808</w:t>
            </w:r>
          </w:p>
        </w:tc>
        <w:tc>
          <w:tcPr>
            <w:tcW w:w="700" w:type="dxa"/>
            <w:vAlign w:val="bottom"/>
          </w:tcPr>
          <w:p>
            <w:pPr>
              <w:jc w:val="right"/>
              <w:spacing w:after="0"/>
              <w:rPr>
                <w:sz w:val="20"/>
                <w:szCs w:val="20"/>
                <w:color w:val="auto"/>
              </w:rPr>
            </w:pPr>
            <w:r>
              <w:rPr>
                <w:rFonts w:ascii="Arial" w:cs="Arial" w:eastAsia="Arial" w:hAnsi="Arial"/>
                <w:sz w:val="18"/>
                <w:szCs w:val="18"/>
                <w:color w:val="auto"/>
              </w:rPr>
              <w:t>$ 8,974</w:t>
            </w:r>
          </w:p>
        </w:tc>
        <w:tc>
          <w:tcPr>
            <w:tcW w:w="0" w:type="dxa"/>
            <w:vAlign w:val="bottom"/>
          </w:tcPr>
          <w:p>
            <w:pPr>
              <w:spacing w:after="0"/>
              <w:rPr>
                <w:sz w:val="1"/>
                <w:szCs w:val="1"/>
                <w:color w:val="auto"/>
              </w:rPr>
            </w:pPr>
          </w:p>
        </w:tc>
      </w:tr>
      <w:tr>
        <w:trPr>
          <w:trHeight w:val="324"/>
        </w:trPr>
        <w:tc>
          <w:tcPr>
            <w:tcW w:w="356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Monthly revenue per paying client</w:t>
            </w:r>
            <w:r>
              <w:rPr>
                <w:rFonts w:ascii="Arial" w:cs="Arial" w:eastAsia="Arial" w:hAnsi="Arial"/>
                <w:sz w:val="29"/>
                <w:szCs w:val="29"/>
                <w:color w:val="auto"/>
                <w:vertAlign w:val="superscript"/>
              </w:rPr>
              <w:t>(2)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2,888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3"/>
              </w:rPr>
              <w:t>$ 2,842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$ 3,689</w:t>
            </w:r>
          </w:p>
        </w:tc>
        <w:tc>
          <w:tcPr>
            <w:tcW w:w="0" w:type="dxa"/>
            <w:vAlign w:val="bottom"/>
          </w:tcPr>
          <w:p>
            <w:pPr>
              <w:spacing w:after="0"/>
              <w:rPr>
                <w:sz w:val="1"/>
                <w:szCs w:val="1"/>
                <w:color w:val="auto"/>
              </w:rPr>
            </w:pPr>
          </w:p>
        </w:tc>
      </w:tr>
      <w:tr>
        <w:trPr>
          <w:trHeight w:val="324"/>
        </w:trPr>
        <w:tc>
          <w:tcPr>
            <w:tcW w:w="3560" w:type="dxa"/>
            <w:vAlign w:val="bottom"/>
          </w:tcPr>
          <w:p>
            <w:pPr>
              <w:spacing w:after="0" w:line="324" w:lineRule="exact"/>
              <w:rPr>
                <w:sz w:val="20"/>
                <w:szCs w:val="20"/>
                <w:color w:val="auto"/>
              </w:rPr>
            </w:pPr>
            <w:r>
              <w:rPr>
                <w:rFonts w:ascii="Arial" w:cs="Arial" w:eastAsia="Arial" w:hAnsi="Arial"/>
                <w:sz w:val="18"/>
                <w:szCs w:val="18"/>
                <w:color w:val="auto"/>
              </w:rPr>
              <w:t>Paying clients</w:t>
            </w:r>
            <w:r>
              <w:rPr>
                <w:rFonts w:ascii="Arial" w:cs="Arial" w:eastAsia="Arial" w:hAnsi="Arial"/>
                <w:sz w:val="29"/>
                <w:szCs w:val="29"/>
                <w:color w:val="auto"/>
                <w:vertAlign w:val="superscript"/>
              </w:rPr>
              <w:t>(3)</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4,024</w:t>
            </w:r>
          </w:p>
        </w:tc>
        <w:tc>
          <w:tcPr>
            <w:tcW w:w="20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4,644</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3,786</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4,101</w:t>
            </w:r>
          </w:p>
        </w:tc>
        <w:tc>
          <w:tcPr>
            <w:tcW w:w="700" w:type="dxa"/>
            <w:vAlign w:val="bottom"/>
          </w:tcPr>
          <w:p>
            <w:pPr>
              <w:jc w:val="right"/>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324"/>
        </w:trPr>
        <w:tc>
          <w:tcPr>
            <w:tcW w:w="356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MAUs (in thousands)</w:t>
            </w:r>
            <w:r>
              <w:rPr>
                <w:rFonts w:ascii="Arial" w:cs="Arial" w:eastAsia="Arial" w:hAnsi="Arial"/>
                <w:sz w:val="29"/>
                <w:szCs w:val="29"/>
                <w:color w:val="auto"/>
                <w:vertAlign w:val="superscript"/>
              </w:rPr>
              <w:t>(4)</w:t>
            </w: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8,009</w:t>
            </w: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-1636395</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-1636395</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-1636395</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-1636395</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right="299" w:hanging="348"/>
        <w:spacing w:after="0" w:line="253"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and Adjusted EBITDA as well as limitations of its use and a reconciliation of EBITDA and Adjusted EBITDA to net income, see the section entitled “—EBITDA and Adjusted EBITDA.”</w:t>
      </w:r>
    </w:p>
    <w:p>
      <w:pPr>
        <w:spacing w:after="0" w:line="1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Monthly revenue per client is defined as monthly revenue for the last month of any particular period divided by the number of paying clients in that last month of a particular period. The calculation of monthly revenue includes revenue from any clients that cease to be paying clients during the applicable month.</w:t>
      </w:r>
    </w:p>
    <w:p>
      <w:pPr>
        <w:spacing w:after="0" w:line="20"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Paying clients are defined as the number of paying clients billed during the last month of a particular period (and for which services were provided).</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MAUs are defined as the number of unique users opening our Weedmaps mobile app or accessing our Weedmaps.com website over the course of a calendar month. Monthly active users in this table is for the last month in the period.</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in the table above EBITDA and Adjusted EBITDA, both of which are non-GAAP financial measures that we calculate as net income before interest, taxes, depreciation and amortization in the case of EBITDA and further adjusted to exclude loss from discontinued operations, and other unusual and/or infrequent costs in the case of Adjusted EBITDA. Below we have provided a reconciliation of net income (the most directly comparable GAAP financial measure) to EBITDA and from EBITDA to Adjusted EBITDA.</w:t>
      </w:r>
    </w:p>
    <w:p>
      <w:pPr>
        <w:spacing w:after="0" w:line="8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present EBITDA and Adjusted EBITDA because these metrics are a key measure used by our management and board of managers to evaluate our operating performance, generate future operating plans and make strategic decisions regarding the allocation of investment capacity. Accordingly, we believe that EBITDA and Adjusted EBITDA provides useful information to investors and others in understanding and evaluating our operating results in the same manner as our management and board of managers.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EBITDA and Adjusted EBITDA have limitations as an analytical tool, and you should not consider it in isolation or as a substitute for analysis of our results as reported under GAAP. Some of these limitations are:</w:t>
      </w:r>
    </w:p>
    <w:p>
      <w:pPr>
        <w:spacing w:after="0" w:line="38" w:lineRule="exact"/>
        <w:rPr>
          <w:sz w:val="20"/>
          <w:szCs w:val="20"/>
          <w:color w:val="auto"/>
        </w:rPr>
      </w:pPr>
    </w:p>
    <w:p>
      <w:pPr>
        <w:jc w:val="both"/>
        <w:ind w:left="1000" w:right="319" w:hanging="348"/>
        <w:spacing w:after="0" w:line="311"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net income to non-GAAP EBITDA and Adjusted EBITDA is as follows: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48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86"/>
        </w:trPr>
        <w:tc>
          <w:tcPr>
            <w:tcW w:w="450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144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3"/>
        </w:trPr>
        <w:tc>
          <w:tcPr>
            <w:tcW w:w="45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19"/>
                <w:szCs w:val="19"/>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9"/>
                <w:szCs w:val="19"/>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720" w:type="dxa"/>
            <w:vAlign w:val="bottom"/>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3"/>
        </w:trPr>
        <w:tc>
          <w:tcPr>
            <w:tcW w:w="4500" w:type="dxa"/>
            <w:vAlign w:val="bottom"/>
          </w:tcPr>
          <w:p>
            <w:pPr>
              <w:spacing w:after="0"/>
              <w:rPr>
                <w:sz w:val="4"/>
                <w:szCs w:val="4"/>
                <w:color w:val="auto"/>
              </w:rPr>
            </w:pPr>
          </w:p>
        </w:tc>
        <w:tc>
          <w:tcPr>
            <w:tcW w:w="2260" w:type="dxa"/>
            <w:vAlign w:val="bottom"/>
            <w:tcBorders>
              <w:bottom w:val="single" w:sz="8" w:color="auto"/>
            </w:tcBorders>
            <w:gridSpan w:val="4"/>
          </w:tcPr>
          <w:p>
            <w:pPr>
              <w:spacing w:after="0"/>
              <w:rPr>
                <w:sz w:val="4"/>
                <w:szCs w:val="4"/>
                <w:color w:val="auto"/>
              </w:rPr>
            </w:pPr>
          </w:p>
        </w:tc>
        <w:tc>
          <w:tcPr>
            <w:tcW w:w="166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19"/>
                <w:szCs w:val="19"/>
                <w:color w:val="auto"/>
              </w:rPr>
            </w:pPr>
          </w:p>
        </w:tc>
        <w:tc>
          <w:tcPr>
            <w:tcW w:w="3920" w:type="dxa"/>
            <w:vAlign w:val="bottom"/>
            <w:gridSpan w:val="7"/>
          </w:tcPr>
          <w:p>
            <w:pPr>
              <w:jc w:val="right"/>
              <w:ind w:right="332"/>
              <w:spacing w:after="0"/>
              <w:rPr>
                <w:sz w:val="20"/>
                <w:szCs w:val="20"/>
                <w:color w:val="auto"/>
              </w:rPr>
            </w:pPr>
            <w:r>
              <w:rPr>
                <w:rFonts w:ascii="Arial" w:cs="Arial" w:eastAsia="Arial" w:hAnsi="Arial"/>
                <w:sz w:val="14"/>
                <w:szCs w:val="14"/>
                <w:b w:val="1"/>
                <w:bCs w:val="1"/>
                <w:color w:val="auto"/>
              </w:rPr>
              <w:t>(dollars in thousands, except for revenue by client)</w:t>
            </w:r>
          </w:p>
        </w:tc>
        <w:tc>
          <w:tcPr>
            <w:tcW w:w="0" w:type="dxa"/>
            <w:vAlign w:val="bottom"/>
          </w:tcPr>
          <w:p>
            <w:pPr>
              <w:spacing w:after="0"/>
              <w:rPr>
                <w:sz w:val="1"/>
                <w:szCs w:val="1"/>
                <w:color w:val="auto"/>
              </w:rPr>
            </w:pPr>
          </w:p>
        </w:tc>
      </w:tr>
      <w:tr>
        <w:trPr>
          <w:trHeight w:val="53"/>
        </w:trPr>
        <w:tc>
          <w:tcPr>
            <w:tcW w:w="4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86"/>
              </w:rPr>
              <w:t>$12,679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8"/>
              </w:rPr>
              <w:t>$3,809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Arial" w:cs="Arial" w:eastAsia="Arial" w:hAnsi="Arial"/>
                <w:sz w:val="18"/>
                <w:szCs w:val="18"/>
                <w:color w:val="auto"/>
              </w:rPr>
              <w:t>Interest expenses &amp; taxes</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620</w:t>
            </w:r>
          </w:p>
        </w:tc>
        <w:tc>
          <w:tcPr>
            <w:tcW w:w="240" w:type="dxa"/>
            <w:vAlign w:val="bottom"/>
          </w:tcPr>
          <w:p>
            <w:pPr>
              <w:spacing w:after="0"/>
              <w:rPr>
                <w:sz w:val="23"/>
                <w:szCs w:val="23"/>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w w:val="97"/>
              </w:rPr>
              <w:t>1,445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2,149</w:t>
            </w: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5,162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999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EBITDA</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w w:val="86"/>
              </w:rPr>
              <w:t>$15,448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6,232</w:t>
            </w:r>
          </w:p>
        </w:tc>
        <w:tc>
          <w:tcPr>
            <w:tcW w:w="700" w:type="dxa"/>
            <w:vAlign w:val="bottom"/>
          </w:tcPr>
          <w:p>
            <w:pPr>
              <w:jc w:val="right"/>
              <w:spacing w:after="0"/>
              <w:rPr>
                <w:sz w:val="20"/>
                <w:szCs w:val="20"/>
                <w:color w:val="auto"/>
              </w:rPr>
            </w:pPr>
            <w:r>
              <w:rPr>
                <w:rFonts w:ascii="Arial" w:cs="Arial" w:eastAsia="Arial" w:hAnsi="Arial"/>
                <w:sz w:val="18"/>
                <w:szCs w:val="18"/>
                <w:color w:val="auto"/>
              </w:rPr>
              <w:t>$42,808</w:t>
            </w:r>
          </w:p>
        </w:tc>
        <w:tc>
          <w:tcPr>
            <w:tcW w:w="220" w:type="dxa"/>
            <w:vAlign w:val="bottom"/>
          </w:tcPr>
          <w:p>
            <w:pPr>
              <w:spacing w:after="0"/>
              <w:rPr>
                <w:sz w:val="23"/>
                <w:szCs w:val="23"/>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w w:val="98"/>
              </w:rPr>
              <w:t>$4,808</w:t>
            </w:r>
          </w:p>
        </w:tc>
        <w:tc>
          <w:tcPr>
            <w:tcW w:w="720" w:type="dxa"/>
            <w:vAlign w:val="bottom"/>
          </w:tcPr>
          <w:p>
            <w:pPr>
              <w:jc w:val="right"/>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1,675</w:t>
            </w: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Arial" w:cs="Arial" w:eastAsia="Arial" w:hAnsi="Arial"/>
                <w:sz w:val="18"/>
                <w:szCs w:val="18"/>
                <w:color w:val="auto"/>
              </w:rPr>
              <w:t>Financing fees</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w w:val="97"/>
              </w:rPr>
              <w:t>3,394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 in force</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4,202</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Adjusted EBITDA</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w w:val="86"/>
              </w:rPr>
              <w:t>$17,123</w:t>
            </w:r>
          </w:p>
        </w:tc>
        <w:tc>
          <w:tcPr>
            <w:tcW w:w="860" w:type="dxa"/>
            <w:vAlign w:val="bottom"/>
            <w:gridSpan w:val="2"/>
          </w:tcPr>
          <w:p>
            <w:pPr>
              <w:jc w:val="right"/>
              <w:ind w:right="72"/>
              <w:spacing w:after="0"/>
              <w:rPr>
                <w:sz w:val="20"/>
                <w:szCs w:val="20"/>
                <w:color w:val="auto"/>
              </w:rPr>
            </w:pPr>
            <w:r>
              <w:rPr>
                <w:rFonts w:ascii="Arial" w:cs="Arial" w:eastAsia="Arial" w:hAnsi="Arial"/>
                <w:sz w:val="18"/>
                <w:szCs w:val="18"/>
                <w:color w:val="auto"/>
              </w:rPr>
              <w:t>$13,828</w:t>
            </w:r>
          </w:p>
        </w:tc>
        <w:tc>
          <w:tcPr>
            <w:tcW w:w="700" w:type="dxa"/>
            <w:vAlign w:val="bottom"/>
          </w:tcPr>
          <w:p>
            <w:pPr>
              <w:jc w:val="right"/>
              <w:spacing w:after="0"/>
              <w:rPr>
                <w:sz w:val="20"/>
                <w:szCs w:val="20"/>
                <w:color w:val="auto"/>
              </w:rPr>
            </w:pPr>
            <w:r>
              <w:rPr>
                <w:rFonts w:ascii="Arial" w:cs="Arial" w:eastAsia="Arial" w:hAnsi="Arial"/>
                <w:sz w:val="18"/>
                <w:szCs w:val="18"/>
                <w:color w:val="auto"/>
              </w:rPr>
              <w:t>$42,808</w:t>
            </w:r>
          </w:p>
        </w:tc>
        <w:tc>
          <w:tcPr>
            <w:tcW w:w="220" w:type="dxa"/>
            <w:vAlign w:val="bottom"/>
          </w:tcPr>
          <w:p>
            <w:pPr>
              <w:spacing w:after="0"/>
              <w:rPr>
                <w:sz w:val="23"/>
                <w:szCs w:val="23"/>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w w:val="98"/>
              </w:rPr>
              <w:t>$4,808</w:t>
            </w:r>
          </w:p>
        </w:tc>
        <w:tc>
          <w:tcPr>
            <w:tcW w:w="720" w:type="dxa"/>
            <w:vAlign w:val="bottom"/>
          </w:tcPr>
          <w:p>
            <w:pPr>
              <w:jc w:val="right"/>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-1808480</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-1808480</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-1808480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-1808480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Monthly Revenue Per Paying Client</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Monthly revenue per paying client measures how much clients, as of the period of measurement, are willing to pay us for our subscription and additional offerings and the efficiency of the bid-auction process for our featured listings placements. We calculate this metric by dividing total monthly revenue for the last month of any particular period by the number of paying clients in that last month of a particular period. The calculation of total monthly revenue includes revenue from any clients that cease to be paying clients during the applicable month. We have consistently grown our monthly revenue per paying client, reflecting the increased functionality we have provided over time with our WM Business software solutions and the increased retailer density within the markets we serve.</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Paying Clients</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define paying clients as the number of clients billed during the last month of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While we have historically seen consistent growth in the number of our paying clients, we saw a decline starting in late 2017 through the first half of 2018 that we believe was driven by the uncertainty around legalization of adult-use cannabis by California on January 2, 2018. The first half of 2018 was a transition period within the state of California during which only temporary licenses were granted to local retailers and the status and scope of permanent licenses was uncertain. During such time, we experienced a decline in paying clients, which moderated in the second half of 2018 when we saw our results in California to begin to return to more typical patterns.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non-licensed operators. In June 2020, we initiated a similar effort in Canada to discontinue services to Canada-based retail</w:t>
      </w:r>
    </w:p>
    <w:p>
      <w:pPr>
        <w:sectPr>
          <w:pgSz w:w="11900" w:h="16838" w:orient="portrait"/>
          <w:cols w:equalWidth="0" w:num="1">
            <w:col w:w="9019"/>
          </w:cols>
          <w:pgMar w:left="1440" w:top="265"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operators clients who failed to provide valid license information, which drove a decline in paying clients beginning in September 2020. This reset of Canada was completed on November 30, 2020.</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MAUs</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7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As our business has grown, our MAUs increased each year from 2018 through 2020.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non-licensed operators in certain markets can have outsized impacts on MAU growth. We cannot determine what, if any, impact the pandemic had on our MAU growth in 2020.</w:t>
      </w:r>
    </w:p>
    <w:p>
      <w:pPr>
        <w:spacing w:after="0" w:line="6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Since the beginning of the pandemic, we have grown our MAUs from 7.4 million in February 2020 to 9.1 million in March 2021. While we believe, like other industries, the pandemic accelerated existing trends towards consumer adoption of online platforms, we cannot be certain to what impact, if any, the end of the pandemic will have on our MAUs or MAU growth.</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believe as we increase MAUs, we increase the value of our bundled SaaS solutions to business customers. We intend to disclose MAUs on a quarterly basis (based on the last month of the applicable quarter) going forward in connection with our quarterly reporting and filings.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Factors Affecting Our Performance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of Our Two-Sided Weedmaps Listings Marketplace</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historically grown through and intend to focus on continuing to grow through the expansion of our two-sided listings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and Retention of Our Paying Clients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for clients in a given month who were paying clients in the immediately preceding month, has averaged at 100% for the eleven months between February 1 and December 31, 2020 (we exclude January 2020 given the high level of client churn that we experienced as a result of our decision to remove non-licensed operators in California at the end of 2019). In the first quarter of 2021, our net dollar retention averaged 102%, as we removed our paid Canada-based retail operator clients who failed to provide valid license information beginning in September 2020 (following the earlier removal of such Canada-based clients who were receiving free listing subscriptions), which resulted in a decrease in our overall net dollar retention for the period from February 2020 to December 2020. For fiscal years 2018-2019, our monthly net dollar retention averaged 98%.</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Regulation and Maturation of Cannabis Markets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We believe that we will have significant opportunities for greater growth as more jurisdictions legalize cannabis for medical and/or adult use and the regulatory environment continues to develop. Thirty-six U.S. states, the District</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of Columbia, Puerto Rico, and several U.S. territories have legalized some form of whole-plant cannabis cultivation, sales, and use for certain medical purposes. Seventeen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also have a significant opportunity to monetize transactions originating from users engaging with a retailer on the Weedmaps listings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8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8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Brand Recognition and Reputation</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OOH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7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6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intend to continue to make focused investments to grow our revenue and scale operations to support that growth. 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build new CRM and loyalty functionality, evolve our current listings and software offerings to our brand clients, among other areas. We anticipate undertaking such investments in order to be positioned to capitalize on the rapidly expanding cannabis market. As operating expenses and capital expenditures fluctuate over time, we may accordingly experience short-term, negative impacts to our operating results and cash flows.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generate revenue from the sale of our subscription offerings, which consist of access to the Weedmaps listings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Depreciation and amortization expenses primarily consist of depreciation on computer equipment, furniture and fixtures, leasehold improvements, and amortization of purchased intangibles. We expect depreciation and amortization expenses to increase on an absolute basis for the foreseeable future as we scale our business.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Other expense, net consists primarily of political contributions, interest expense, legal settlements, financing fees and other tax related expenses.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9"/>
            <w:vMerge w:val="restart"/>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9"/>
            <w:vMerge w:val="continue"/>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53"/>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1400" w:type="dxa"/>
            <w:vAlign w:val="bottom"/>
            <w:gridSpan w:val="3"/>
          </w:tcPr>
          <w:p>
            <w:pPr>
              <w:jc w:val="right"/>
              <w:ind w:right="202"/>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9"/>
                <w:szCs w:val="19"/>
                <w:color w:val="auto"/>
              </w:rPr>
            </w:pPr>
          </w:p>
        </w:tc>
        <w:tc>
          <w:tcPr>
            <w:tcW w:w="520" w:type="dxa"/>
            <w:vAlign w:val="bottom"/>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3"/>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40" w:type="dxa"/>
            <w:vAlign w:val="bottom"/>
            <w:gridSpan w:val="10"/>
          </w:tcPr>
          <w:p>
            <w:pPr>
              <w:jc w:val="right"/>
              <w:ind w:right="240"/>
              <w:spacing w:after="0"/>
              <w:rPr>
                <w:sz w:val="20"/>
                <w:szCs w:val="20"/>
                <w:color w:val="auto"/>
              </w:rPr>
            </w:pPr>
            <w:r>
              <w:rPr>
                <w:rFonts w:ascii="Arial" w:cs="Arial" w:eastAsia="Arial" w:hAnsi="Arial"/>
                <w:sz w:val="14"/>
                <w:szCs w:val="14"/>
                <w:b w:val="1"/>
                <w:bCs w:val="1"/>
                <w:color w:val="auto"/>
                <w:w w:val="94"/>
              </w:rPr>
              <w:t>(in thousands, except unit and per unit)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$101,402</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$144,232</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$161,791</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$32,210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$41,154</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400" w:type="dxa"/>
            <w:vAlign w:val="bottom"/>
            <w:gridSpan w:val="3"/>
          </w:tcPr>
          <w:p>
            <w:pPr>
              <w:jc w:val="right"/>
              <w:ind w:right="42"/>
              <w:spacing w:after="0"/>
              <w:rPr>
                <w:sz w:val="20"/>
                <w:szCs w:val="20"/>
                <w:color w:val="auto"/>
              </w:rPr>
            </w:pPr>
            <w:r>
              <w:rPr>
                <w:rFonts w:ascii="Arial" w:cs="Arial" w:eastAsia="Arial" w:hAnsi="Arial"/>
                <w:sz w:val="18"/>
                <w:szCs w:val="18"/>
                <w:color w:val="auto"/>
              </w:rPr>
              <w:t>6,304</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7,074</w:t>
            </w:r>
          </w:p>
        </w:tc>
        <w:tc>
          <w:tcPr>
            <w:tcW w:w="140" w:type="dxa"/>
            <w:vAlign w:val="bottom"/>
          </w:tcPr>
          <w:p>
            <w:pPr>
              <w:spacing w:after="0"/>
              <w:rPr>
                <w:sz w:val="23"/>
                <w:szCs w:val="23"/>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7,630</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1,607</w:t>
            </w:r>
          </w:p>
        </w:tc>
        <w:tc>
          <w:tcPr>
            <w:tcW w:w="620" w:type="dxa"/>
            <w:vAlign w:val="bottom"/>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95,098</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137,158</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154,161</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30,603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39,297</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17,799</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39,746</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30,716</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Product development expenses</w:t>
            </w:r>
          </w:p>
        </w:tc>
        <w:tc>
          <w:tcPr>
            <w:tcW w:w="1400" w:type="dxa"/>
            <w:vAlign w:val="bottom"/>
            <w:gridSpan w:val="3"/>
          </w:tcPr>
          <w:p>
            <w:pPr>
              <w:jc w:val="right"/>
              <w:ind w:right="42"/>
              <w:spacing w:after="0"/>
              <w:rPr>
                <w:sz w:val="20"/>
                <w:szCs w:val="20"/>
                <w:color w:val="auto"/>
              </w:rPr>
            </w:pPr>
            <w:r>
              <w:rPr>
                <w:rFonts w:ascii="Arial" w:cs="Arial" w:eastAsia="Arial" w:hAnsi="Arial"/>
                <w:sz w:val="18"/>
                <w:szCs w:val="18"/>
                <w:color w:val="auto"/>
              </w:rPr>
              <w:t>20,034</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29,497</w:t>
            </w:r>
          </w:p>
        </w:tc>
        <w:tc>
          <w:tcPr>
            <w:tcW w:w="140" w:type="dxa"/>
            <w:vAlign w:val="bottom"/>
          </w:tcPr>
          <w:p>
            <w:pPr>
              <w:spacing w:after="0"/>
              <w:rPr>
                <w:sz w:val="23"/>
                <w:szCs w:val="23"/>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27,142</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6,708</w:t>
            </w:r>
          </w:p>
        </w:tc>
        <w:tc>
          <w:tcPr>
            <w:tcW w:w="620" w:type="dxa"/>
            <w:vAlign w:val="bottom"/>
          </w:tcPr>
          <w:p>
            <w:pPr>
              <w:jc w:val="right"/>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38,935</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56,466</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51,127</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1400" w:type="dxa"/>
            <w:vAlign w:val="bottom"/>
            <w:gridSpan w:val="3"/>
          </w:tcPr>
          <w:p>
            <w:pPr>
              <w:jc w:val="right"/>
              <w:ind w:right="42"/>
              <w:spacing w:after="0"/>
              <w:rPr>
                <w:sz w:val="20"/>
                <w:szCs w:val="20"/>
                <w:color w:val="auto"/>
              </w:rPr>
            </w:pPr>
            <w:r>
              <w:rPr>
                <w:rFonts w:ascii="Arial" w:cs="Arial" w:eastAsia="Arial" w:hAnsi="Arial"/>
                <w:sz w:val="18"/>
                <w:szCs w:val="18"/>
                <w:color w:val="auto"/>
              </w:rPr>
              <w:t>2,149</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5,162</w:t>
            </w:r>
          </w:p>
        </w:tc>
        <w:tc>
          <w:tcPr>
            <w:tcW w:w="140" w:type="dxa"/>
            <w:vAlign w:val="bottom"/>
          </w:tcPr>
          <w:p>
            <w:pPr>
              <w:spacing w:after="0"/>
              <w:rPr>
                <w:sz w:val="23"/>
                <w:szCs w:val="23"/>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3.978</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999</w:t>
            </w:r>
          </w:p>
        </w:tc>
        <w:tc>
          <w:tcPr>
            <w:tcW w:w="620" w:type="dxa"/>
            <w:vAlign w:val="bottom"/>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78,917</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130,871</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112,963</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26,337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31,353</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(1,827)</w:t>
            </w:r>
          </w:p>
        </w:tc>
        <w:tc>
          <w:tcPr>
            <w:tcW w:w="28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(5,341)</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(2,368)</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before tax</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14,354</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38,830</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14,354</w:t>
            </w: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38,830</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(1,675)</w:t>
            </w:r>
          </w:p>
        </w:tc>
        <w:tc>
          <w:tcPr>
            <w:tcW w:w="28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$ 12,679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$ 38,830</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$ 3,809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$ 7,731</w:t>
            </w:r>
          </w:p>
        </w:tc>
        <w:tc>
          <w:tcPr>
            <w:tcW w:w="0" w:type="dxa"/>
            <w:vAlign w:val="bottom"/>
          </w:tcPr>
          <w:p>
            <w:pPr>
              <w:spacing w:after="0"/>
              <w:rPr>
                <w:sz w:val="1"/>
                <w:szCs w:val="1"/>
                <w:color w:val="auto"/>
              </w:rPr>
            </w:pPr>
          </w:p>
        </w:tc>
      </w:tr>
      <w:tr>
        <w:trPr>
          <w:trHeight w:val="315"/>
        </w:trPr>
        <w:tc>
          <w:tcPr>
            <w:tcW w:w="3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9"/>
            <w:vMerge w:val="restart"/>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gridSpan w:val="3"/>
          </w:tcPr>
          <w:p>
            <w:pPr>
              <w:jc w:val="center"/>
              <w:ind w:right="1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9"/>
            <w:vMerge w:val="continue"/>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53"/>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660" w:type="dxa"/>
            <w:vAlign w:val="bottom"/>
          </w:tcPr>
          <w:p>
            <w:pPr>
              <w:spacing w:after="0"/>
              <w:rPr>
                <w:sz w:val="19"/>
                <w:szCs w:val="19"/>
                <w:color w:val="auto"/>
              </w:rPr>
            </w:pPr>
          </w:p>
        </w:tc>
        <w:tc>
          <w:tcPr>
            <w:tcW w:w="140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3"/>
        </w:trPr>
        <w:tc>
          <w:tcPr>
            <w:tcW w:w="366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Product development expenses</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before tax</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54"/>
        </w:trPr>
        <w:tc>
          <w:tcPr>
            <w:tcW w:w="36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-6925945</wp:posOffset>
            </wp:positionV>
            <wp:extent cx="1028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-6925945</wp:posOffset>
            </wp:positionV>
            <wp:extent cx="1028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-6925945</wp:posOffset>
            </wp:positionV>
            <wp:extent cx="1028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-6925945</wp:posOffset>
            </wp:positionV>
            <wp:extent cx="1028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-3102610</wp:posOffset>
            </wp:positionV>
            <wp:extent cx="1714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-3102610</wp:posOffset>
            </wp:positionV>
            <wp:extent cx="1714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-3102610</wp:posOffset>
            </wp:positionV>
            <wp:extent cx="1714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-3102610</wp:posOffset>
            </wp:positionV>
            <wp:extent cx="1714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-3102610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9019"/>
          </w:cols>
          <w:pgMar w:left="1440" w:top="265" w:right="1440" w:bottom="156"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56" w:gutter="0" w:footer="0" w:header="0"/>
          <w:type w:val="continuous"/>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Comparison of Three Months Ended March 31, 2021 and 2020 Revenue</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8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Ended March 31,</w:t>
            </w:r>
          </w:p>
        </w:tc>
        <w:tc>
          <w:tcPr>
            <w:tcW w:w="1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400" w:type="dxa"/>
            <w:vAlign w:val="bottom"/>
          </w:tcPr>
          <w:p>
            <w:pPr>
              <w:spacing w:after="0"/>
              <w:rPr>
                <w:sz w:val="19"/>
                <w:szCs w:val="19"/>
                <w:color w:val="auto"/>
              </w:rPr>
            </w:pPr>
          </w:p>
        </w:tc>
        <w:tc>
          <w:tcPr>
            <w:tcW w:w="33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6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40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$41,154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54"/>
        </w:trPr>
        <w:tc>
          <w:tcPr>
            <w:tcW w:w="3400" w:type="dxa"/>
            <w:vAlign w:val="bottom"/>
            <w:shd w:val="clear" w:color="auto" w:fill="CCEEFF"/>
          </w:tcPr>
          <w:p>
            <w:pPr>
              <w:spacing w:after="0"/>
              <w:rPr>
                <w:sz w:val="4"/>
                <w:szCs w:val="4"/>
                <w:color w:val="auto"/>
              </w:rPr>
            </w:pPr>
          </w:p>
        </w:tc>
        <w:tc>
          <w:tcPr>
            <w:tcW w:w="27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-222250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-222250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-222250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-222250</wp:posOffset>
            </wp:positionV>
            <wp:extent cx="34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Total revenue increased by $8.9 million, or 28% for the three months ended March 31, 2021 compared to the same period in 2020. The increase was driven by a 30% increase in the monthly revenue per paying client, which was partially offset by a 1% decrease in total paying clients as a result of factors described below. Our growth in monthly revenue per paying client reflects continued growth in the average price paid for our featured listings, more client engagement driven by the increased functionality across our WM Business suite of solutions and the impact of the pricing increase related to transitioning all of our standard listing subscription clients to our new WM Business subscription package. These impacts were partially offset by the removal of Canada-based clients who had higher monthly spend than our average client base as well as the elimination of our technology services fee on all delivery orders.</w:t>
      </w:r>
    </w:p>
    <w:p>
      <w:pPr>
        <w:spacing w:after="0" w:line="8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As a result, we removed a significant number of paying clients who generated approximately $31.4 million of revenue in fiscal 2020, of which $6.2 million was generated in the first quarter of fiscal 2020 and $5.2 million was generated in the fourth quarter of fiscal 2020. This reset of Canada was completed on November 30, 2020.</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Further, beginning in the first quarter of fiscal 2020, we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as we experienced increased delivery orders submitted through the platform. In fiscal 2020, standard listing clients were required to pay a $5.00 technology services fee on all delivery orders submitted. As a result of the increased delivery orders submitted through the platform, the revenue associated with the technology services fee averaged approximately 2.9x more per month from the beginning of March 2020 through December 2020 when compared with the average in January 2020 and February 2020. Total revenue associated with the technology services fee represented less than 5% of our fiscal 2020 revenue. However, as we eliminated the technology services fee on January 1, 2021, and given the pricing model of our other products, it is not possible to quantify any other impact of the pandemic on revenue.</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800" w:type="dxa"/>
            <w:vAlign w:val="bottom"/>
          </w:tcPr>
          <w:p>
            <w:pPr>
              <w:spacing w:after="0"/>
              <w:rPr>
                <w:sz w:val="16"/>
                <w:szCs w:val="16"/>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Ended March 31,</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8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800" w:type="dxa"/>
            <w:vAlign w:val="bottom"/>
          </w:tcPr>
          <w:p>
            <w:pPr>
              <w:spacing w:after="0"/>
              <w:rPr>
                <w:sz w:val="19"/>
                <w:szCs w:val="19"/>
                <w:color w:val="auto"/>
              </w:rPr>
            </w:pPr>
          </w:p>
        </w:tc>
        <w:tc>
          <w:tcPr>
            <w:tcW w:w="640" w:type="dxa"/>
            <w:vAlign w:val="bottom"/>
          </w:tcPr>
          <w:p>
            <w:pPr>
              <w:jc w:val="right"/>
              <w:ind w:right="101"/>
              <w:spacing w:after="0"/>
              <w:rPr>
                <w:sz w:val="20"/>
                <w:szCs w:val="20"/>
                <w:color w:val="auto"/>
              </w:rPr>
            </w:pPr>
            <w:r>
              <w:rPr>
                <w:rFonts w:ascii="Arial" w:cs="Arial" w:eastAsia="Arial" w:hAnsi="Arial"/>
                <w:sz w:val="14"/>
                <w:szCs w:val="14"/>
                <w:b w:val="1"/>
                <w:bCs w:val="1"/>
                <w:color w:val="auto"/>
              </w:rPr>
              <w:t>2020</w:t>
            </w:r>
          </w:p>
        </w:tc>
        <w:tc>
          <w:tcPr>
            <w:tcW w:w="920" w:type="dxa"/>
            <w:vAlign w:val="bottom"/>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9"/>
                <w:szCs w:val="19"/>
                <w:color w:val="auto"/>
              </w:rPr>
            </w:pPr>
          </w:p>
        </w:tc>
        <w:tc>
          <w:tcPr>
            <w:tcW w:w="400" w:type="dxa"/>
            <w:vAlign w:val="bottom"/>
          </w:tcPr>
          <w:p>
            <w:pPr>
              <w:jc w:val="right"/>
              <w:ind w:right="10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8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w w:val="87"/>
              </w:rPr>
              <w:t>$1,607</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$1,857</w:t>
            </w:r>
          </w:p>
        </w:tc>
        <w:tc>
          <w:tcPr>
            <w:tcW w:w="2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w w:val="79"/>
              </w:rPr>
              <w:t>250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8"/>
                <w:szCs w:val="18"/>
                <w:color w:val="auto"/>
              </w:rPr>
              <w:t>Gross margin</w:t>
            </w: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5208905</wp:posOffset>
            </wp:positionH>
            <wp:positionV relativeFrom="paragraph">
              <wp:posOffset>-556895</wp:posOffset>
            </wp:positionV>
            <wp:extent cx="1714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-556895</wp:posOffset>
            </wp:positionV>
            <wp:extent cx="1714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-556895</wp:posOffset>
            </wp:positionV>
            <wp:extent cx="1714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28"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Cost of revenue increased by $0.3 million, or 16% for the three months ended March 31, 2021, compared to the same period in 2020. The increase was due to an increase in web hosting and internet services of $0.2 million as traffic to our website continues to increase requiring us to increase our server capacity. Cost of revenues also included an additional cost of $0.1 million related to the cost of hardware to operate our point of sales software.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7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17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Ended March 31,</w:t>
            </w: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8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820" w:type="dxa"/>
            <w:vAlign w:val="bottom"/>
          </w:tcPr>
          <w:p>
            <w:pPr>
              <w:spacing w:after="0"/>
              <w:rPr>
                <w:sz w:val="19"/>
                <w:szCs w:val="19"/>
                <w:color w:val="auto"/>
              </w:rPr>
            </w:pPr>
          </w:p>
        </w:tc>
        <w:tc>
          <w:tcPr>
            <w:tcW w:w="760" w:type="dxa"/>
            <w:vAlign w:val="bottom"/>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760" w:type="dxa"/>
            <w:vAlign w:val="bottom"/>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500" w:type="dxa"/>
            <w:vAlign w:val="bottom"/>
          </w:tcPr>
          <w:p>
            <w:pPr>
              <w:jc w:val="right"/>
              <w:ind w:right="14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820" w:type="dxa"/>
            <w:vAlign w:val="bottom"/>
          </w:tcPr>
          <w:p>
            <w:pPr>
              <w:spacing w:after="0"/>
              <w:rPr>
                <w:sz w:val="4"/>
                <w:szCs w:val="4"/>
                <w:color w:val="auto"/>
              </w:rPr>
            </w:pPr>
          </w:p>
        </w:tc>
        <w:tc>
          <w:tcPr>
            <w:tcW w:w="152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820" w:type="dxa"/>
            <w:vAlign w:val="bottom"/>
          </w:tcPr>
          <w:p>
            <w:pPr>
              <w:spacing w:after="0"/>
              <w:rPr>
                <w:sz w:val="19"/>
                <w:szCs w:val="19"/>
                <w:color w:val="auto"/>
              </w:rPr>
            </w:pPr>
          </w:p>
        </w:tc>
        <w:tc>
          <w:tcPr>
            <w:tcW w:w="2240" w:type="dxa"/>
            <w:vAlign w:val="bottom"/>
            <w:gridSpan w:val="4"/>
          </w:tcPr>
          <w:p>
            <w:pPr>
              <w:ind w:left="6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8"/>
                <w:szCs w:val="18"/>
                <w:color w:val="auto"/>
                <w:w w:val="87"/>
              </w:rPr>
              <w:t>$6,631</w:t>
            </w:r>
          </w:p>
        </w:tc>
        <w:tc>
          <w:tcPr>
            <w:tcW w:w="7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$9,117</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w w:val="84"/>
              </w:rPr>
              <w:t>2,486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Arial" w:cs="Arial" w:eastAsia="Arial" w:hAnsi="Arial"/>
                <w:sz w:val="18"/>
                <w:szCs w:val="18"/>
                <w:color w:val="auto"/>
              </w:rPr>
              <w:t>Percentage of revenue</w:t>
            </w:r>
          </w:p>
        </w:tc>
        <w:tc>
          <w:tcPr>
            <w:tcW w:w="760" w:type="dxa"/>
            <w:vAlign w:val="bottom"/>
          </w:tcPr>
          <w:p>
            <w:pPr>
              <w:jc w:val="right"/>
              <w:ind w:right="42"/>
              <w:spacing w:after="0"/>
              <w:rPr>
                <w:sz w:val="20"/>
                <w:szCs w:val="20"/>
                <w:color w:val="auto"/>
              </w:rPr>
            </w:pPr>
            <w:r>
              <w:rPr>
                <w:rFonts w:ascii="Arial" w:cs="Arial" w:eastAsia="Arial" w:hAnsi="Arial"/>
                <w:sz w:val="18"/>
                <w:szCs w:val="18"/>
                <w:color w:val="auto"/>
              </w:rPr>
              <w:t>21%</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-556895</wp:posOffset>
            </wp:positionV>
            <wp:extent cx="137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-556895</wp:posOffset>
            </wp:positionV>
            <wp:extent cx="137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-556895</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Sales and marketing expenses increased by $2.5 million, or 37% for the three months ended March 31, 2021, compared to the same period in 2020. Personnel-related cost increased by $1.3 million due to an increase in headcount and an increase in sales incentive plan compensation due to higher revenues. Branding and advertising expense, which mostly consisted of out-of-home advertising, increased by $0.2 million and online advertising increased by $0.8 million as more advertising options became available in the cannabis industry and we continued to invest in marketing spend. We also incurred additional costs related to event spend, merchandise giveaways and endorsements totaling $0.2 million.</w:t>
      </w:r>
    </w:p>
    <w:p>
      <w:pPr>
        <w:spacing w:after="0" w:line="3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Years Ended</w:t>
            </w:r>
          </w:p>
        </w:tc>
        <w:tc>
          <w:tcPr>
            <w:tcW w:w="220" w:type="dxa"/>
            <w:vAlign w:val="bottom"/>
          </w:tcPr>
          <w:p>
            <w:pPr>
              <w:spacing w:after="0"/>
              <w:rPr>
                <w:sz w:val="14"/>
                <w:szCs w:val="14"/>
                <w:color w:val="auto"/>
              </w:rPr>
            </w:pPr>
          </w:p>
        </w:tc>
        <w:tc>
          <w:tcPr>
            <w:tcW w:w="72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2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9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980" w:type="dxa"/>
            <w:vAlign w:val="bottom"/>
          </w:tcPr>
          <w:p>
            <w:pPr>
              <w:spacing w:after="0"/>
              <w:rPr>
                <w:sz w:val="19"/>
                <w:szCs w:val="19"/>
                <w:color w:val="auto"/>
              </w:rPr>
            </w:pPr>
          </w:p>
        </w:tc>
        <w:tc>
          <w:tcPr>
            <w:tcW w:w="24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860" w:type="dxa"/>
            <w:vAlign w:val="bottom"/>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94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9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9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9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2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$6,708</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$7,868</w:t>
            </w:r>
          </w:p>
        </w:tc>
        <w:tc>
          <w:tcPr>
            <w:tcW w:w="9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-573405</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-573405</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-573405</wp:posOffset>
            </wp:positionV>
            <wp:extent cx="137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Product development expenses increased by $1.2 million, or 17% for the three months ended March 31, 2021, compared to the same period in 2020. This increase was primarily due to an increase in personnel-related cost of $1.0 million as headcount increased. There was also an increase in outside development services of $0.2 million. Increase in headcount and outside development services was driven by development of new products and features.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62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162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Ended March 31,</w:t>
            </w: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7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720" w:type="dxa"/>
            <w:vAlign w:val="bottom"/>
          </w:tcPr>
          <w:p>
            <w:pPr>
              <w:spacing w:after="0"/>
              <w:rPr>
                <w:sz w:val="19"/>
                <w:szCs w:val="19"/>
                <w:color w:val="auto"/>
              </w:rPr>
            </w:pPr>
          </w:p>
        </w:tc>
        <w:tc>
          <w:tcPr>
            <w:tcW w:w="800" w:type="dxa"/>
            <w:vAlign w:val="bottom"/>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7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720" w:type="dxa"/>
            <w:vAlign w:val="bottom"/>
          </w:tcPr>
          <w:p>
            <w:pPr>
              <w:spacing w:after="0"/>
              <w:rPr>
                <w:sz w:val="4"/>
                <w:szCs w:val="4"/>
                <w:color w:val="auto"/>
              </w:rPr>
            </w:pPr>
          </w:p>
        </w:tc>
        <w:tc>
          <w:tcPr>
            <w:tcW w:w="180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720" w:type="dxa"/>
            <w:vAlign w:val="bottom"/>
          </w:tcPr>
          <w:p>
            <w:pPr>
              <w:spacing w:after="0"/>
              <w:rPr>
                <w:sz w:val="19"/>
                <w:szCs w:val="19"/>
                <w:color w:val="auto"/>
              </w:rPr>
            </w:pPr>
          </w:p>
        </w:tc>
        <w:tc>
          <w:tcPr>
            <w:tcW w:w="2380" w:type="dxa"/>
            <w:vAlign w:val="bottom"/>
            <w:gridSpan w:val="4"/>
          </w:tcPr>
          <w:p>
            <w:pPr>
              <w:ind w:left="68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w w:val="86"/>
              </w:rPr>
              <w:t>$11,999</w:t>
            </w: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$13,366</w:t>
            </w:r>
          </w:p>
        </w:tc>
        <w:tc>
          <w:tcPr>
            <w:tcW w:w="7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$1,367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37%</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-574040</wp:posOffset>
            </wp:positionV>
            <wp:extent cx="1028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-574040</wp:posOffset>
            </wp:positionV>
            <wp:extent cx="1028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-574040</wp:posOffset>
            </wp:positionV>
            <wp:extent cx="102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General and administrative expenses increased by $1.4 million, or 11% for the three months ended March 31, 2021, compared to the same period in 2020. The increase was primarily due to an increase in rent expense of $1.0 million due to a new office lease that commenced in March 2020 together with an increased software cost of $0.3 million as we entered into new software service agreements to effectively operate the business. There was also an increase in outside and professional services of $0.4 million due to higher legal and lobbying expenses as well as additional cost for consultants to implement new software solutions. We also recorded additional bad debt expense of $0.1 million compared to the prior period. The increase was partially offset by a decrease in facility and travel related costs $0.4 million, mostly due to work-from-home guidelines which we put into effect in March 2020.</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8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Ended March 31,</w:t>
            </w: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8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860" w:type="dxa"/>
            <w:vAlign w:val="bottom"/>
          </w:tcPr>
          <w:p>
            <w:pPr>
              <w:spacing w:after="0"/>
              <w:rPr>
                <w:sz w:val="19"/>
                <w:szCs w:val="19"/>
                <w:color w:val="auto"/>
              </w:rPr>
            </w:pPr>
          </w:p>
        </w:tc>
        <w:tc>
          <w:tcPr>
            <w:tcW w:w="560" w:type="dxa"/>
            <w:vAlign w:val="bottom"/>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960" w:type="dxa"/>
            <w:vAlign w:val="bottom"/>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9"/>
                <w:szCs w:val="19"/>
                <w:color w:val="auto"/>
              </w:rPr>
            </w:pPr>
          </w:p>
        </w:tc>
        <w:tc>
          <w:tcPr>
            <w:tcW w:w="340" w:type="dxa"/>
            <w:vAlign w:val="bottom"/>
          </w:tcPr>
          <w:p>
            <w:pPr>
              <w:jc w:val="right"/>
              <w:ind w:right="82"/>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8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w w:val="92"/>
              </w:rPr>
              <w:t>(dollars in thousands)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5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w w:val="89"/>
              </w:rPr>
              <w:t>$999</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$1,002</w:t>
            </w:r>
          </w:p>
        </w:tc>
        <w:tc>
          <w:tcPr>
            <w:tcW w:w="3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w w:val="79"/>
              </w:rPr>
              <w:t>$3</w:t>
            </w:r>
          </w:p>
        </w:tc>
        <w:tc>
          <w:tcPr>
            <w:tcW w:w="40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Percentage of revenue</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-574040</wp:posOffset>
            </wp:positionV>
            <wp:extent cx="4972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-574040</wp:posOffset>
            </wp:positionV>
            <wp:extent cx="1885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12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Depreciation and amortization were consistent for the three months ended March 31, 2021, compared to the same period in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Ended March 31,</w:t>
            </w: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8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860" w:type="dxa"/>
            <w:vAlign w:val="bottom"/>
          </w:tcPr>
          <w:p>
            <w:pPr>
              <w:spacing w:after="0"/>
              <w:rPr>
                <w:sz w:val="19"/>
                <w:szCs w:val="19"/>
                <w:color w:val="auto"/>
              </w:rPr>
            </w:pPr>
          </w:p>
        </w:tc>
        <w:tc>
          <w:tcPr>
            <w:tcW w:w="800" w:type="dxa"/>
            <w:vAlign w:val="bottom"/>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480" w:type="dxa"/>
            <w:vAlign w:val="bottom"/>
          </w:tcPr>
          <w:p>
            <w:pPr>
              <w:jc w:val="right"/>
              <w:ind w:right="122"/>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860" w:type="dxa"/>
            <w:vAlign w:val="bottom"/>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860" w:type="dxa"/>
            <w:vAlign w:val="bottom"/>
          </w:tcPr>
          <w:p>
            <w:pPr>
              <w:spacing w:after="0"/>
              <w:rPr>
                <w:sz w:val="19"/>
                <w:szCs w:val="19"/>
                <w:color w:val="auto"/>
              </w:rPr>
            </w:pPr>
          </w:p>
        </w:tc>
        <w:tc>
          <w:tcPr>
            <w:tcW w:w="2060" w:type="dxa"/>
            <w:vAlign w:val="bottom"/>
            <w:gridSpan w:val="4"/>
          </w:tcPr>
          <w:p>
            <w:pPr>
              <w:ind w:left="620"/>
              <w:spacing w:after="0"/>
              <w:rPr>
                <w:sz w:val="20"/>
                <w:szCs w:val="20"/>
                <w:color w:val="auto"/>
              </w:rPr>
            </w:pPr>
            <w:r>
              <w:rPr>
                <w:rFonts w:ascii="Arial" w:cs="Arial" w:eastAsia="Arial" w:hAnsi="Arial"/>
                <w:sz w:val="14"/>
                <w:szCs w:val="14"/>
                <w:b w:val="1"/>
                <w:bCs w:val="1"/>
                <w:color w:val="auto"/>
                <w:w w:val="97"/>
              </w:rPr>
              <w:t>(dollars in thousands)</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$(457)</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w w:val="84"/>
              </w:rPr>
              <w:t>$485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jc w:val="right"/>
              <w:ind w:right="82"/>
              <w:spacing w:after="0"/>
              <w:rPr>
                <w:sz w:val="20"/>
                <w:szCs w:val="20"/>
                <w:color w:val="auto"/>
              </w:rPr>
            </w:pPr>
            <w:r>
              <w:rPr>
                <w:rFonts w:ascii="Arial" w:cs="Arial" w:eastAsia="Arial" w:hAnsi="Arial"/>
                <w:sz w:val="18"/>
                <w:szCs w:val="18"/>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-574040</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-574040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-574040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Other expense decreased by $0.5 million, or 106% for the three months ended March 31, 2021 compared to the same period in 2020. The decrease is due to a decrease in finance related cost of $0.2 million, a decrease in political contributions of $0.1 million and loss from foreign currency exchange that decreased by $0.2 million related to revenue generated in Canada.</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Years Ended</w:t>
            </w:r>
          </w:p>
        </w:tc>
        <w:tc>
          <w:tcPr>
            <w:tcW w:w="100" w:type="dxa"/>
            <w:vAlign w:val="bottom"/>
          </w:tcPr>
          <w:p>
            <w:pPr>
              <w:spacing w:after="0"/>
              <w:rPr>
                <w:sz w:val="14"/>
                <w:szCs w:val="14"/>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280" w:type="dxa"/>
            <w:vAlign w:val="bottom"/>
          </w:tcPr>
          <w:p>
            <w:pPr>
              <w:spacing w:after="0"/>
              <w:rPr>
                <w:sz w:val="19"/>
                <w:szCs w:val="19"/>
                <w:color w:val="auto"/>
              </w:rPr>
            </w:pPr>
          </w:p>
        </w:tc>
        <w:tc>
          <w:tcPr>
            <w:tcW w:w="33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7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560" w:type="dxa"/>
            <w:vAlign w:val="bottom"/>
            <w:tcBorders>
              <w:bottom w:val="single" w:sz="8" w:color="auto"/>
            </w:tcBorders>
            <w:gridSpan w:val="3"/>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2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0" w:type="dxa"/>
            <w:vAlign w:val="bottom"/>
            <w:gridSpan w:val="4"/>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$144,232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$161,791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54"/>
        </w:trPr>
        <w:tc>
          <w:tcPr>
            <w:tcW w:w="3280" w:type="dxa"/>
            <w:vAlign w:val="bottom"/>
            <w:shd w:val="clear" w:color="auto" w:fill="CCEEFF"/>
          </w:tcPr>
          <w:p>
            <w:pPr>
              <w:spacing w:after="0"/>
              <w:rPr>
                <w:sz w:val="4"/>
                <w:szCs w:val="4"/>
                <w:color w:val="auto"/>
              </w:rPr>
            </w:pPr>
          </w:p>
        </w:tc>
        <w:tc>
          <w:tcPr>
            <w:tcW w:w="26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-401955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-401955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-401955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Total revenue increased by $17.6 million, or 12% for the year ended December 31, 2020 compared to the same period in 2019. The increase was driven by a 25% increase in the monthly revenue per paying client, which was partially offset by a 18% decrease in total paying clients as a result of factors described below. Our growth in monthly revenue per paying client reflects continued growth in the average price paid for our featured listings, more client engagement driven by the increased functionality across our WM Business suite of solutions, and the removal of California-based clients who had lower monthly spend than our average client base. On December 31, 2019, we discontinued our services to California-based retail operator clients who failed to provide valid license information as a result of our previously-announced intent to transition to supporting only licensed operators within the state. As a result, we removed a significant number of paying clients who generated approximately $28.5 million in fiscal 2019. When adjusting the prior year to remove revenue associated with these non-licensed clients, our revenue for fiscal year 2020 increased by $46.1 million, or 40%, compared to fiscal 2019. The impact on revenue by the removal of the aforementioned clients was partially offset by increase in total paying clients in non-California U.S. markets and Canada.</w:t>
      </w:r>
    </w:p>
    <w:p>
      <w:pPr>
        <w:spacing w:after="0" w:line="7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As a result, we removed a significant number of paying clients who generated approximately $31.4 million of revenue in fiscal 2020. This reset of Canada was completed on November 30, 2020.</w:t>
      </w:r>
    </w:p>
    <w:p>
      <w:pPr>
        <w:spacing w:after="0" w:line="5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Further, beginning in the first quarter of fiscal 2020, we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as we experienced increased delivery orders submitted through the platform. In fiscal 2020, standard listing clients were required to pay a $5.00 technology services fee on all delivery orders submitted. As a result of the increased delivery orders submitted through the platform, the revenue associated with the technology services fee averaged approximately 2.9x more per month from the beginning of March 2020 through December 2020 when compared with the average in January 2020 and February 2020. Total revenue associated with the technology services fee represented less than 5% of our fiscal 2020 revenue. However, as we eliminated the technology services fee on January 1, 2021, and given the pricing model of our other products, it is not possible to quantify any other impact of the pandemic on revenue.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3660" w:type="dxa"/>
            <w:vAlign w:val="bottom"/>
            <w:gridSpan w:val="2"/>
          </w:tcPr>
          <w:p>
            <w:pPr>
              <w:ind w:left="360"/>
              <w:spacing w:after="0"/>
              <w:rPr>
                <w:sz w:val="20"/>
                <w:szCs w:val="20"/>
                <w:color w:val="auto"/>
              </w:rPr>
            </w:pPr>
            <w:r>
              <w:rPr>
                <w:rFonts w:ascii="Arial" w:cs="Arial" w:eastAsia="Arial" w:hAnsi="Arial"/>
                <w:sz w:val="18"/>
                <w:szCs w:val="18"/>
                <w:i w:val="1"/>
                <w:iCs w:val="1"/>
                <w:color w:val="auto"/>
              </w:rPr>
              <w:t>Cost of Revenue</w:t>
            </w: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4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Pr>
          <w:p>
            <w:pPr>
              <w:spacing w:after="0"/>
              <w:rPr>
                <w:sz w:val="24"/>
                <w:szCs w:val="24"/>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4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7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7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$7,074</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$7,630</w:t>
            </w:r>
          </w:p>
        </w:tc>
        <w:tc>
          <w:tcPr>
            <w:tcW w:w="7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$556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6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-574040</wp:posOffset>
            </wp:positionV>
            <wp:extent cx="1543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-574040</wp:posOffset>
            </wp:positionV>
            <wp:extent cx="1543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-574040</wp:posOffset>
            </wp:positionV>
            <wp:extent cx="1543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Cost of revenue increased by $0.6 million, or 8%, for the year ended December 31, 2020, compared to the same period in 2019. Credit card processing fees increased by $0.6 million as revenue increased and more clients opted to use credit cards as a form of payment.</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20" w:type="dxa"/>
            <w:vAlign w:val="bottom"/>
            <w:gridSpan w:val="3"/>
          </w:tcPr>
          <w:p>
            <w:pPr>
              <w:ind w:left="420"/>
              <w:spacing w:after="0"/>
              <w:rPr>
                <w:sz w:val="20"/>
                <w:szCs w:val="20"/>
                <w:color w:val="auto"/>
              </w:rPr>
            </w:pPr>
            <w:r>
              <w:rPr>
                <w:rFonts w:ascii="Arial" w:cs="Arial" w:eastAsia="Arial" w:hAnsi="Arial"/>
                <w:sz w:val="14"/>
                <w:szCs w:val="14"/>
                <w:b w:val="1"/>
                <w:bCs w:val="1"/>
                <w:color w:val="auto"/>
              </w:rPr>
              <w:t>Years Ended</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1820" w:type="dxa"/>
            <w:vAlign w:val="bottom"/>
            <w:gridSpan w:val="3"/>
          </w:tcPr>
          <w:p>
            <w:pPr>
              <w:ind w:left="4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19"/>
                <w:szCs w:val="19"/>
                <w:color w:val="auto"/>
              </w:rPr>
            </w:pPr>
          </w:p>
        </w:tc>
        <w:tc>
          <w:tcPr>
            <w:tcW w:w="740" w:type="dxa"/>
            <w:vAlign w:val="bottom"/>
          </w:tcPr>
          <w:p>
            <w:pPr>
              <w:jc w:val="right"/>
              <w:ind w:right="141"/>
              <w:spacing w:after="0"/>
              <w:rPr>
                <w:sz w:val="20"/>
                <w:szCs w:val="20"/>
                <w:color w:val="auto"/>
              </w:rPr>
            </w:pPr>
            <w:r>
              <w:rPr>
                <w:rFonts w:ascii="Arial" w:cs="Arial" w:eastAsia="Arial" w:hAnsi="Arial"/>
                <w:sz w:val="14"/>
                <w:szCs w:val="14"/>
                <w:b w:val="1"/>
                <w:bCs w:val="1"/>
                <w:color w:val="auto"/>
              </w:rPr>
              <w:t>2019</w:t>
            </w: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600" w:type="dxa"/>
            <w:vAlign w:val="bottom"/>
          </w:tcPr>
          <w:p>
            <w:pPr>
              <w:jc w:val="right"/>
              <w:ind w:right="18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w w:val="89"/>
              </w:rPr>
              <w:t>$39,746</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$30,716</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w w:val="87"/>
              </w:rPr>
              <w:t>(9,030)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Percentage of revenue</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-573405</wp:posOffset>
            </wp:positionV>
            <wp:extent cx="102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-573405</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-573405</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Sales and marketing expenses decreased by $9.0 million, or 23%, for the year ended December 31, 2020, compared to the same period in 2019. Branding and advertising cost, which consisted mostly of out-of-home advertising, decreased by $6.3 million as we concentrated more on online advertising for fiscal year 2020 due to the current COVID-19 pandemic. Event related cost decreased by $3.6 million due to cost incurred in 2019 related to the Weedmaps Museum of Weed while there was minimal cost incurred related to events in 2020 due to the COVID-19 pandemic. There was also a decrease of $0.5 million and $0.1 million in travel related expenses and marketing consulting fees, respectively, due to less marketing projects as a result of the COVID-19 pandemic. The decrease in marketing spend was offset by an increase in personnel-related cost of $1.5 million, mostly due to an increase in sales incentive plan compensation due to higher revenues. The increase in personnel-related cost was partially offset by a reduction in force in October 2019 resulting in a 25 percent headcount decrease.</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Development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Pr>
          <w:p>
            <w:pPr>
              <w:spacing w:after="0"/>
              <w:rPr>
                <w:sz w:val="14"/>
                <w:szCs w:val="14"/>
                <w:color w:val="auto"/>
              </w:rPr>
            </w:pPr>
          </w:p>
        </w:tc>
        <w:tc>
          <w:tcPr>
            <w:tcW w:w="7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2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9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25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9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9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76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520" w:type="dxa"/>
            <w:vAlign w:val="bottom"/>
            <w:gridSpan w:val="4"/>
          </w:tcPr>
          <w:p>
            <w:pPr>
              <w:ind w:left="7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9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25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$29,497</w:t>
            </w: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8"/>
              </w:rPr>
              <w:t>$27,142</w:t>
            </w:r>
          </w:p>
        </w:tc>
        <w:tc>
          <w:tcPr>
            <w:tcW w:w="9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$(2,355)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520" w:type="dxa"/>
            <w:vAlign w:val="bottom"/>
            <w:gridSpan w:val="2"/>
          </w:tcPr>
          <w:p>
            <w:pPr>
              <w:jc w:val="right"/>
              <w:ind w:right="8"/>
              <w:spacing w:after="0"/>
              <w:rPr>
                <w:sz w:val="20"/>
                <w:szCs w:val="20"/>
                <w:color w:val="auto"/>
              </w:rPr>
            </w:pPr>
            <w:r>
              <w:rPr>
                <w:rFonts w:ascii="Arial" w:cs="Arial" w:eastAsia="Arial" w:hAnsi="Arial"/>
                <w:sz w:val="18"/>
                <w:szCs w:val="18"/>
                <w:color w:val="auto"/>
              </w:rPr>
              <w:t>20%</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-574040</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-574040</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-574040</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Product development expenses decreased by $2.3 million, or 8%, for the year ended December 31, 2020, compared to the same period in 2019. The decrease is due to a decrease of $1.7 million in personnel-related cost as a result of a reduction in force in October 2019, resulting in an overall headcount decrease for us of 25 percent. There was also a decrease in cost relate to third-party development services of $0.4 million. The reduction in headcount and third-party development services were to drive operating efficiencies and increase our liquidity position at the time. Travel related expenses also decreased by $0.2 million due to the COVID-19 pandemic.</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Pr>
          <w:p>
            <w:pPr>
              <w:spacing w:after="0"/>
              <w:rPr>
                <w:sz w:val="14"/>
                <w:szCs w:val="14"/>
                <w:color w:val="auto"/>
              </w:rPr>
            </w:pPr>
          </w:p>
        </w:tc>
        <w:tc>
          <w:tcPr>
            <w:tcW w:w="7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2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23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9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2"/>
        </w:trPr>
        <w:tc>
          <w:tcPr>
            <w:tcW w:w="4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76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520" w:type="dxa"/>
            <w:vAlign w:val="bottom"/>
            <w:gridSpan w:val="4"/>
          </w:tcPr>
          <w:p>
            <w:pPr>
              <w:ind w:left="7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3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$56,466</w:t>
            </w: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8"/>
              </w:rPr>
              <w:t>$51,127</w:t>
            </w:r>
          </w:p>
        </w:tc>
        <w:tc>
          <w:tcPr>
            <w:tcW w:w="9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$(5,339)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320" w:type="dxa"/>
            <w:vAlign w:val="bottom"/>
            <w:gridSpan w:val="2"/>
          </w:tcPr>
          <w:p>
            <w:pPr>
              <w:jc w:val="right"/>
              <w:ind w:right="8"/>
              <w:spacing w:after="0"/>
              <w:rPr>
                <w:sz w:val="20"/>
                <w:szCs w:val="20"/>
                <w:color w:val="auto"/>
              </w:rPr>
            </w:pPr>
            <w:r>
              <w:rPr>
                <w:rFonts w:ascii="Arial" w:cs="Arial" w:eastAsia="Arial" w:hAnsi="Arial"/>
                <w:sz w:val="18"/>
                <w:szCs w:val="18"/>
                <w:color w:val="auto"/>
              </w:rPr>
              <w:t>39%</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-573405</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-573405</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-573405</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General and administrative expenses decreased by $5.3 million, or 9%, for the year ended December 31, 2020, compared to the same period in 2019. Personnel-related cost decreased by $7.5 million due to a reduction in force implemented in October 2019, resulting in an overall headcount decrease for us of 25 percent. The reduction in headcount was to drive operating efficiencies and increase our liquidity position at the time. Facility and travel related costs also decreased by $3.3 million due to a combination of the reduced headcount and the stay at home orders put into effect by us in March 2020. Professional services decreased by $2.3 million as a result of the decrease in legal and lobbying expenses. The decrease was partially offset by an increase in rent expense of $5.6 million due to a new office lease that commenced in March 2020 together with an increase in software cost of $0.9 million as we entered into new software service agreements to effectively operate the business. We also recorded additional bad debt expense of $1.3 million during the year.</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8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Years Ended</w:t>
            </w:r>
          </w:p>
        </w:tc>
        <w:tc>
          <w:tcPr>
            <w:tcW w:w="200" w:type="dxa"/>
            <w:vAlign w:val="bottom"/>
          </w:tcPr>
          <w:p>
            <w:pPr>
              <w:spacing w:after="0"/>
              <w:rPr>
                <w:sz w:val="14"/>
                <w:szCs w:val="14"/>
                <w:color w:val="auto"/>
              </w:rPr>
            </w:pPr>
          </w:p>
        </w:tc>
        <w:tc>
          <w:tcPr>
            <w:tcW w:w="80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20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100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20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$5,162</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$3,978</w:t>
            </w:r>
          </w:p>
        </w:tc>
        <w:tc>
          <w:tcPr>
            <w:tcW w:w="10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$(1,184)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-574040</wp:posOffset>
            </wp:positionV>
            <wp:extent cx="1200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-574040</wp:posOffset>
            </wp:positionV>
            <wp:extent cx="1200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-574040</wp:posOffset>
            </wp:positionV>
            <wp:extent cx="1200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28"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Depreciation and amortization expenses decreased by $1.2 million, or 23%, for the year ended December 31, 2020, compared to the same period in 2019. The decrease is due to accelerated amortization of $2.5 million related to intangible assets of the Museum of Weed recorded in fiscal year 2019, which was partially offset by additional depreciation of $1.3 million recorded in fiscal year 2020 related capitalized software development cost for our point of sale system that launched in October 2019.</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Expense, net</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76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Years Ended</w:t>
            </w: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76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680" w:type="dxa"/>
            <w:vAlign w:val="bottom"/>
          </w:tcPr>
          <w:p>
            <w:pPr>
              <w:spacing w:after="0"/>
              <w:rPr>
                <w:sz w:val="19"/>
                <w:szCs w:val="19"/>
                <w:color w:val="auto"/>
              </w:rPr>
            </w:pP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580" w:type="dxa"/>
            <w:vAlign w:val="bottom"/>
          </w:tcPr>
          <w:p>
            <w:pPr>
              <w:jc w:val="right"/>
              <w:ind w:right="16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680" w:type="dxa"/>
            <w:vAlign w:val="bottom"/>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680" w:type="dxa"/>
            <w:vAlign w:val="bottom"/>
          </w:tcPr>
          <w:p>
            <w:pPr>
              <w:spacing w:after="0"/>
              <w:rPr>
                <w:sz w:val="19"/>
                <w:szCs w:val="19"/>
                <w:color w:val="auto"/>
              </w:rPr>
            </w:pPr>
          </w:p>
        </w:tc>
        <w:tc>
          <w:tcPr>
            <w:tcW w:w="2340" w:type="dxa"/>
            <w:vAlign w:val="bottom"/>
            <w:gridSpan w:val="4"/>
          </w:tcPr>
          <w:p>
            <w:pPr>
              <w:ind w:left="70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5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w:t>
            </w:r>
          </w:p>
        </w:tc>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$(5,341)</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$(2,368)</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w w:val="87"/>
              </w:rPr>
              <w:t>$2,973</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ind w:left="420"/>
              <w:spacing w:after="0"/>
              <w:rPr>
                <w:sz w:val="20"/>
                <w:szCs w:val="20"/>
                <w:color w:val="auto"/>
              </w:rPr>
            </w:pPr>
            <w:r>
              <w:rPr>
                <w:rFonts w:ascii="Arial" w:cs="Arial" w:eastAsia="Arial" w:hAnsi="Arial"/>
                <w:sz w:val="18"/>
                <w:szCs w:val="18"/>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-574040</wp:posOffset>
            </wp:positionV>
            <wp:extent cx="1028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-574040</wp:posOffset>
            </wp:positionV>
            <wp:extent cx="102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-574040</wp:posOffset>
            </wp:positionV>
            <wp:extent cx="102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Other expenses decreased by $3.0 million, or 56%, for the year ended December 31, 2020, compared to the same period in 2019. Financing related costs decreased by $2.7 million as a result of several equity and debt transactions that we were evaluating in 2019 but ultimately decided not to pursue. Other tax and interest related expenses also decreased by $0.8 million as 2019 included tax expenses related to revenue generated by our foreign subsidiary in Canada. Political contributions also decreased by $0.2 million period over period. The decrease was partially offset by loss from foreign currency exchange of $0.7 million related to revenue generated by our foreign subsidiary in Canada.</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Comparison of Year Ended December 31, 2018 and 2019</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2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33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7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2"/>
        </w:trPr>
        <w:tc>
          <w:tcPr>
            <w:tcW w:w="32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560" w:type="dxa"/>
            <w:vAlign w:val="bottom"/>
            <w:tcBorders>
              <w:bottom w:val="single" w:sz="8" w:color="auto"/>
            </w:tcBorders>
            <w:gridSpan w:val="3"/>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0" w:type="dxa"/>
            <w:vAlign w:val="bottom"/>
            <w:gridSpan w:val="4"/>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$144,232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$42,830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54"/>
        </w:trPr>
        <w:tc>
          <w:tcPr>
            <w:tcW w:w="3280" w:type="dxa"/>
            <w:vAlign w:val="bottom"/>
            <w:shd w:val="clear" w:color="auto" w:fill="CCEEFF"/>
          </w:tcPr>
          <w:p>
            <w:pPr>
              <w:spacing w:after="0"/>
              <w:rPr>
                <w:sz w:val="4"/>
                <w:szCs w:val="4"/>
                <w:color w:val="auto"/>
              </w:rPr>
            </w:pPr>
          </w:p>
        </w:tc>
        <w:tc>
          <w:tcPr>
            <w:tcW w:w="26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-402590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-402590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-402590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Total revenue increased by $42.8 million, or 42% in 2019 compared to 2018. The increase was driven by a 15% increase in total paying clients and a 14% increase in the monthly revenue per paying client. Our growth in total paying clients reflected our continued expansion in U.S. states outside of California as well as Canada. Our growth in monthly revenue per paying client reflects continued growth in the average price paid for our featured listings as well as more client engagement driven by the increased functionality across our WM Business suite of solutions.</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7" w:name="page68"/>
    <w:bookmarkEnd w:id="67"/>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3660" w:type="dxa"/>
            <w:vAlign w:val="bottom"/>
            <w:gridSpan w:val="2"/>
          </w:tcPr>
          <w:p>
            <w:pPr>
              <w:ind w:left="360"/>
              <w:spacing w:after="0"/>
              <w:rPr>
                <w:sz w:val="20"/>
                <w:szCs w:val="20"/>
                <w:color w:val="auto"/>
              </w:rPr>
            </w:pPr>
            <w:r>
              <w:rPr>
                <w:rFonts w:ascii="Arial" w:cs="Arial" w:eastAsia="Arial" w:hAnsi="Arial"/>
                <w:sz w:val="18"/>
                <w:szCs w:val="18"/>
                <w:i w:val="1"/>
                <w:iCs w:val="1"/>
                <w:color w:val="auto"/>
              </w:rPr>
              <w:t>Cost of Revenue</w:t>
            </w: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4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Pr>
          <w:p>
            <w:pPr>
              <w:spacing w:after="0"/>
              <w:rPr>
                <w:sz w:val="24"/>
                <w:szCs w:val="24"/>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4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7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7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$6,304</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$7,074</w:t>
            </w:r>
          </w:p>
        </w:tc>
        <w:tc>
          <w:tcPr>
            <w:tcW w:w="7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$770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36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-574040</wp:posOffset>
            </wp:positionV>
            <wp:extent cx="1543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-574040</wp:posOffset>
            </wp:positionV>
            <wp:extent cx="1543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-574040</wp:posOffset>
            </wp:positionV>
            <wp:extent cx="1543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2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Cost of revenue increased by $0.8 million, or 12%, in 2019 compared to 2018. Credit card processing fees increased by $1.2 million as revenue increased and more clients opted to use credit cards as a form of payment. The increase was partially offset by a decrease of $0.5 million in web hosting and internet services cost as we were able to more efficiently manage these expenses.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76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Years Ended</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1760" w:type="dxa"/>
            <w:vAlign w:val="bottom"/>
            <w:gridSpan w:val="3"/>
          </w:tcPr>
          <w:p>
            <w:pPr>
              <w:ind w:left="40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60" w:type="dxa"/>
            <w:vAlign w:val="bottom"/>
          </w:tcPr>
          <w:p>
            <w:pPr>
              <w:spacing w:after="0"/>
              <w:rPr>
                <w:sz w:val="19"/>
                <w:szCs w:val="19"/>
                <w:color w:val="auto"/>
              </w:rPr>
            </w:pPr>
          </w:p>
        </w:tc>
        <w:tc>
          <w:tcPr>
            <w:tcW w:w="800" w:type="dxa"/>
            <w:vAlign w:val="bottom"/>
          </w:tcPr>
          <w:p>
            <w:pPr>
              <w:jc w:val="right"/>
              <w:ind w:right="202"/>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660" w:type="dxa"/>
            <w:vAlign w:val="bottom"/>
          </w:tcPr>
          <w:p>
            <w:pPr>
              <w:jc w:val="right"/>
              <w:ind w:right="20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660" w:type="dxa"/>
            <w:vAlign w:val="bottom"/>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60" w:type="dxa"/>
            <w:vAlign w:val="bottom"/>
          </w:tcPr>
          <w:p>
            <w:pPr>
              <w:spacing w:after="0"/>
              <w:rPr>
                <w:sz w:val="19"/>
                <w:szCs w:val="19"/>
                <w:color w:val="auto"/>
              </w:rPr>
            </w:pPr>
          </w:p>
        </w:tc>
        <w:tc>
          <w:tcPr>
            <w:tcW w:w="2420" w:type="dxa"/>
            <w:vAlign w:val="bottom"/>
            <w:gridSpan w:val="4"/>
          </w:tcPr>
          <w:p>
            <w:pPr>
              <w:ind w:left="7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w w:val="86"/>
              </w:rPr>
              <w:t>$17,799</w:t>
            </w:r>
          </w:p>
        </w:tc>
        <w:tc>
          <w:tcPr>
            <w:tcW w:w="8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8"/>
              </w:rPr>
              <w:t>$39,746</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w w:val="86"/>
              </w:rPr>
              <w:t>$21,947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-573405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-573405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-573405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Sales and marketing expenses increased by $22.0 million, or 123%, in 2019 compared to 2018. Personnel - related cost increased by $8.0 million due to an increase in headcount, accrual of compensation cost related to the reduction in force, and an increase in sales incentive plan compensation due to higher revenues. Branding and advertising expense, that mostly consisted of out of home advertising, increased by $5.9 million and online advertising increased by $4.4 million as more advertising options became available in the cannabis industry and we continued to invest in marketing spend. Event cost also increased by $3.5 million, mostly related to the Weedmaps Museum of Weed and sponsorships for other events.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Development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4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Pr>
          <w:p>
            <w:pPr>
              <w:spacing w:after="0"/>
              <w:rPr>
                <w:sz w:val="14"/>
                <w:szCs w:val="14"/>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4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9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960" w:type="dxa"/>
            <w:vAlign w:val="bottom"/>
          </w:tcPr>
          <w:p>
            <w:pPr>
              <w:spacing w:after="0"/>
              <w:rPr>
                <w:sz w:val="19"/>
                <w:szCs w:val="19"/>
                <w:color w:val="auto"/>
              </w:rPr>
            </w:pPr>
          </w:p>
        </w:tc>
        <w:tc>
          <w:tcPr>
            <w:tcW w:w="25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7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9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82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9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0" w:type="dxa"/>
            <w:vAlign w:val="bottom"/>
            <w:gridSpan w:val="4"/>
          </w:tcPr>
          <w:p>
            <w:pPr>
              <w:ind w:left="70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9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25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$20,034</w:t>
            </w: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$29,497</w:t>
            </w:r>
          </w:p>
        </w:tc>
        <w:tc>
          <w:tcPr>
            <w:tcW w:w="7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$9,463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Percentage of revenue</w:t>
            </w:r>
          </w:p>
        </w:tc>
        <w:tc>
          <w:tcPr>
            <w:tcW w:w="2560" w:type="dxa"/>
            <w:vAlign w:val="bottom"/>
            <w:gridSpan w:val="2"/>
          </w:tcPr>
          <w:p>
            <w:pPr>
              <w:jc w:val="right"/>
              <w:ind w:right="8"/>
              <w:spacing w:after="0"/>
              <w:rPr>
                <w:sz w:val="20"/>
                <w:szCs w:val="20"/>
                <w:color w:val="auto"/>
              </w:rPr>
            </w:pPr>
            <w:r>
              <w:rPr>
                <w:rFonts w:ascii="Arial" w:cs="Arial" w:eastAsia="Arial" w:hAnsi="Arial"/>
                <w:sz w:val="18"/>
                <w:szCs w:val="18"/>
                <w:color w:val="auto"/>
              </w:rPr>
              <w:t>20%</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-574040</wp:posOffset>
            </wp:positionV>
            <wp:extent cx="1028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-574040</wp:posOffset>
            </wp:positionV>
            <wp:extent cx="1028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-574040</wp:posOffset>
            </wp:positionV>
            <wp:extent cx="1028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Product development expenses increased by $9.5 million, or 47%, in 2019 compared to 2018. This increase was primarily due to an increase in personnel-related cost of $10.1 million as headcount increased, including an accrual for compensation cost related to the reduction in force, partially offset by a decrease in outside development services of $0.7 million. Increase in headcount was driven by development of new products and features.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760" w:type="dxa"/>
            <w:vAlign w:val="bottom"/>
            <w:gridSpan w:val="3"/>
          </w:tcPr>
          <w:p>
            <w:pPr>
              <w:ind w:left="4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760" w:type="dxa"/>
            <w:vAlign w:val="bottom"/>
            <w:gridSpan w:val="3"/>
          </w:tcPr>
          <w:p>
            <w:pPr>
              <w:ind w:left="400"/>
              <w:spacing w:after="0"/>
              <w:rPr>
                <w:sz w:val="20"/>
                <w:szCs w:val="20"/>
                <w:color w:val="auto"/>
              </w:rPr>
            </w:pPr>
            <w:r>
              <w:rPr>
                <w:rFonts w:ascii="Arial" w:cs="Arial" w:eastAsia="Arial" w:hAnsi="Arial"/>
                <w:sz w:val="14"/>
                <w:szCs w:val="14"/>
                <w:b w:val="1"/>
                <w:bCs w:val="1"/>
                <w:color w:val="auto"/>
              </w:rPr>
              <w:t>December 31,</w:t>
            </w: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56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680" w:type="dxa"/>
            <w:vAlign w:val="bottom"/>
          </w:tcPr>
          <w:p>
            <w:pPr>
              <w:spacing w:after="0"/>
              <w:rPr>
                <w:sz w:val="19"/>
                <w:szCs w:val="19"/>
                <w:color w:val="auto"/>
              </w:rPr>
            </w:pPr>
          </w:p>
        </w:tc>
        <w:tc>
          <w:tcPr>
            <w:tcW w:w="820" w:type="dxa"/>
            <w:vAlign w:val="bottom"/>
          </w:tcPr>
          <w:p>
            <w:pPr>
              <w:jc w:val="right"/>
              <w:ind w:right="222"/>
              <w:spacing w:after="0"/>
              <w:rPr>
                <w:sz w:val="20"/>
                <w:szCs w:val="20"/>
                <w:color w:val="auto"/>
              </w:rPr>
            </w:pPr>
            <w:r>
              <w:rPr>
                <w:rFonts w:ascii="Arial" w:cs="Arial" w:eastAsia="Arial" w:hAnsi="Arial"/>
                <w:sz w:val="14"/>
                <w:szCs w:val="14"/>
                <w:b w:val="1"/>
                <w:bCs w:val="1"/>
                <w:color w:val="auto"/>
              </w:rPr>
              <w:t>2018</w:t>
            </w: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740" w:type="dxa"/>
            <w:vAlign w:val="bottom"/>
          </w:tcPr>
          <w:p>
            <w:pPr>
              <w:jc w:val="right"/>
              <w:ind w:right="28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680" w:type="dxa"/>
            <w:vAlign w:val="bottom"/>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680" w:type="dxa"/>
            <w:vAlign w:val="bottom"/>
          </w:tcPr>
          <w:p>
            <w:pPr>
              <w:spacing w:after="0"/>
              <w:rPr>
                <w:sz w:val="19"/>
                <w:szCs w:val="19"/>
                <w:color w:val="auto"/>
              </w:rPr>
            </w:pPr>
          </w:p>
        </w:tc>
        <w:tc>
          <w:tcPr>
            <w:tcW w:w="2500" w:type="dxa"/>
            <w:vAlign w:val="bottom"/>
            <w:gridSpan w:val="4"/>
          </w:tcPr>
          <w:p>
            <w:pPr>
              <w:ind w:left="70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5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w w:val="89"/>
              </w:rPr>
              <w:t>$38,935</w:t>
            </w: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8"/>
              </w:rPr>
              <w:t>$56,466</w:t>
            </w: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w w:val="86"/>
              </w:rPr>
              <w:t>$17,531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Percentage of revenue</w:t>
            </w:r>
          </w:p>
        </w:tc>
        <w:tc>
          <w:tcPr>
            <w:tcW w:w="820" w:type="dxa"/>
            <w:vAlign w:val="bottom"/>
          </w:tcPr>
          <w:p>
            <w:pPr>
              <w:jc w:val="right"/>
              <w:ind w:right="2"/>
              <w:spacing w:after="0"/>
              <w:rPr>
                <w:sz w:val="20"/>
                <w:szCs w:val="20"/>
                <w:color w:val="auto"/>
              </w:rPr>
            </w:pPr>
            <w:r>
              <w:rPr>
                <w:rFonts w:ascii="Arial" w:cs="Arial" w:eastAsia="Arial" w:hAnsi="Arial"/>
                <w:sz w:val="18"/>
                <w:szCs w:val="18"/>
                <w:color w:val="auto"/>
              </w:rPr>
              <w:t>38%</w:t>
            </w: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-573405</wp:posOffset>
            </wp:positionV>
            <wp:extent cx="857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-573405</wp:posOffset>
            </wp:positionV>
            <wp:extent cx="857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-573405</wp:posOffset>
            </wp:positionV>
            <wp:extent cx="857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General and administrative expenses increased by $17.5 million, or 45%, in 2019 compared to 2018. The increase is primarily due to an increase in personnel-related cost of $10.2 million reflecting an increase in headcount and employee benefits cost, including an accrual for compensation cost related to the reduction in force in October 2019. The headcount increases also resulted in an increase in facility cost of $0.9 million. Professional and outside</w:t>
      </w:r>
    </w:p>
    <w:p>
      <w:pPr>
        <w:sectPr>
          <w:pgSz w:w="11900" w:h="16838" w:orient="portrait"/>
          <w:cols w:equalWidth="0" w:num="1">
            <w:col w:w="9019"/>
          </w:cols>
          <w:pgMar w:left="1440" w:top="262"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color w:val="auto"/>
        </w:rPr>
        <w:t>services cost increased by $2.9 million, mostly related to lobbying and legal fees. Rent expense increased by $1.5 million due to leasing of additional office space and software cost increased by $2.0 million as we signed up for additional software solutions as well as an increase in licensing due to increased headcount.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Years Ended</w:t>
            </w:r>
          </w:p>
        </w:tc>
        <w:tc>
          <w:tcPr>
            <w:tcW w:w="200" w:type="dxa"/>
            <w:vAlign w:val="bottom"/>
          </w:tcPr>
          <w:p>
            <w:pPr>
              <w:spacing w:after="0"/>
              <w:rPr>
                <w:sz w:val="14"/>
                <w:szCs w:val="14"/>
                <w:color w:val="auto"/>
              </w:rPr>
            </w:pP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320" w:type="dxa"/>
            <w:vAlign w:val="bottom"/>
          </w:tcPr>
          <w:p>
            <w:pPr>
              <w:spacing w:after="0"/>
              <w:rPr>
                <w:sz w:val="19"/>
                <w:szCs w:val="19"/>
                <w:color w:val="auto"/>
              </w:rPr>
            </w:pPr>
          </w:p>
        </w:tc>
        <w:tc>
          <w:tcPr>
            <w:tcW w:w="21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7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21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$2,149</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$5,162</w:t>
            </w:r>
          </w:p>
        </w:tc>
        <w:tc>
          <w:tcPr>
            <w:tcW w:w="7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$3,013</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-574040</wp:posOffset>
            </wp:positionV>
            <wp:extent cx="1200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-574040</wp:posOffset>
            </wp:positionV>
            <wp:extent cx="1200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-574040</wp:posOffset>
            </wp:positionV>
            <wp:extent cx="1200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Depreciation and amortization expenses increased by $3.0 million, or 140%, in 2019 compared to 2018, mostly due to $2.5 million of accelerated depreciation related to assets capitalized for Weedmaps Museum of Weed in fiscal year 2019. The remaining increase was due to an increase in headcount and leased office space in 2019.</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expense, net</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76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Years Ended</w:t>
            </w:r>
          </w:p>
        </w:tc>
        <w:tc>
          <w:tcPr>
            <w:tcW w:w="78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176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w:t>
            </w: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19"/>
                <w:szCs w:val="19"/>
                <w:color w:val="auto"/>
              </w:rPr>
            </w:pPr>
          </w:p>
        </w:tc>
        <w:tc>
          <w:tcPr>
            <w:tcW w:w="720" w:type="dxa"/>
            <w:vAlign w:val="bottom"/>
          </w:tcPr>
          <w:p>
            <w:pPr>
              <w:jc w:val="right"/>
              <w:ind w:right="141"/>
              <w:spacing w:after="0"/>
              <w:rPr>
                <w:sz w:val="20"/>
                <w:szCs w:val="20"/>
                <w:color w:val="auto"/>
              </w:rPr>
            </w:pPr>
            <w:r>
              <w:rPr>
                <w:rFonts w:ascii="Arial" w:cs="Arial" w:eastAsia="Arial" w:hAnsi="Arial"/>
                <w:sz w:val="14"/>
                <w:szCs w:val="14"/>
                <w:b w:val="1"/>
                <w:bCs w:val="1"/>
                <w:color w:val="auto"/>
              </w:rPr>
              <w:t>2018</w:t>
            </w: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9"/>
                <w:szCs w:val="19"/>
                <w:color w:val="auto"/>
              </w:rPr>
            </w:pPr>
          </w:p>
        </w:tc>
        <w:tc>
          <w:tcPr>
            <w:tcW w:w="780" w:type="dxa"/>
            <w:vAlign w:val="bottom"/>
          </w:tcPr>
          <w:p>
            <w:pPr>
              <w:jc w:val="right"/>
              <w:ind w:right="30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6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89"/>
              </w:rPr>
              <w:t>$(1,827)</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$(5,341)</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w w:val="89"/>
              </w:rPr>
              <w:t>$(3,514)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192</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Percentage of revenue</w:t>
            </w:r>
          </w:p>
        </w:tc>
        <w:tc>
          <w:tcPr>
            <w:tcW w:w="720" w:type="dxa"/>
            <w:vAlign w:val="bottom"/>
          </w:tcPr>
          <w:p>
            <w:pPr>
              <w:ind w:left="420"/>
              <w:spacing w:after="0"/>
              <w:rPr>
                <w:sz w:val="20"/>
                <w:szCs w:val="20"/>
                <w:color w:val="auto"/>
              </w:rPr>
            </w:pPr>
            <w:r>
              <w:rPr>
                <w:rFonts w:ascii="Arial" w:cs="Arial" w:eastAsia="Arial" w:hAnsi="Arial"/>
                <w:sz w:val="18"/>
                <w:szCs w:val="18"/>
                <w:color w:val="auto"/>
                <w:w w:val="87"/>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5260340</wp:posOffset>
            </wp:positionH>
            <wp:positionV relativeFrom="paragraph">
              <wp:posOffset>-574040</wp:posOffset>
            </wp:positionV>
            <wp:extent cx="1028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-574040</wp:posOffset>
            </wp:positionV>
            <wp:extent cx="1028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-574040</wp:posOffset>
            </wp:positionV>
            <wp:extent cx="1028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Other expense increased by $3.5 million, or 192%, in 2019 compared to 2018, mostly due to an increase in financing fees of $3.3 million related to several equity and debt transactions that we were evaluating but ultimately decided not to pursue, an increase in tax expenses of $0.5 million related to revenue generated by our foreign subsidiary in Canada along with an increase of $0.2 million in political contribution, partially offset by a decrease in interest expense of $0.5 million due to the repayment and closure of our secured line of credit in April 2019.</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show our cash, accounts receivable and working capital as of the dates indicated:</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2360" w:type="dxa"/>
            <w:vAlign w:val="bottom"/>
            <w:gridSpan w:val="5"/>
          </w:tcPr>
          <w:p>
            <w:pPr>
              <w:jc w:val="right"/>
              <w:ind w:right="275"/>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0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25"/>
        </w:trPr>
        <w:tc>
          <w:tcPr>
            <w:tcW w:w="6060" w:type="dxa"/>
            <w:vAlign w:val="bottom"/>
          </w:tcPr>
          <w:p>
            <w:pPr>
              <w:spacing w:after="0"/>
              <w:rPr>
                <w:sz w:val="19"/>
                <w:szCs w:val="19"/>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9"/>
                <w:szCs w:val="19"/>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9"/>
                <w:szCs w:val="19"/>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r>
      <w:tr>
        <w:trPr>
          <w:trHeight w:val="53"/>
        </w:trPr>
        <w:tc>
          <w:tcPr>
            <w:tcW w:w="60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31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$25,771</w:t>
            </w:r>
          </w:p>
        </w:tc>
        <w:tc>
          <w:tcPr>
            <w:tcW w:w="2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$ 4,968</w:t>
            </w:r>
          </w:p>
        </w:tc>
        <w:tc>
          <w:tcPr>
            <w:tcW w:w="2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$19,919</w:t>
            </w:r>
          </w:p>
        </w:tc>
      </w:tr>
      <w:tr>
        <w:trPr>
          <w:trHeight w:val="270"/>
        </w:trPr>
        <w:tc>
          <w:tcPr>
            <w:tcW w:w="60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600" w:type="dxa"/>
            <w:vAlign w:val="bottom"/>
          </w:tcPr>
          <w:p>
            <w:pPr>
              <w:jc w:val="right"/>
              <w:spacing w:after="0"/>
              <w:rPr>
                <w:sz w:val="20"/>
                <w:szCs w:val="20"/>
                <w:color w:val="auto"/>
              </w:rPr>
            </w:pPr>
            <w:r>
              <w:rPr>
                <w:rFonts w:ascii="Arial" w:cs="Arial" w:eastAsia="Arial" w:hAnsi="Arial"/>
                <w:sz w:val="18"/>
                <w:szCs w:val="18"/>
                <w:color w:val="auto"/>
              </w:rPr>
              <w:t>1,357</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3,929</w:t>
            </w: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9,428</w:t>
            </w:r>
          </w:p>
        </w:tc>
      </w:tr>
      <w:tr>
        <w:trPr>
          <w:trHeight w:val="54"/>
        </w:trPr>
        <w:tc>
          <w:tcPr>
            <w:tcW w:w="6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7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w:t>
            </w:r>
          </w:p>
        </w:tc>
      </w:tr>
      <w:tr>
        <w:trPr>
          <w:trHeight w:val="54"/>
        </w:trPr>
        <w:tc>
          <w:tcPr>
            <w:tcW w:w="60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-633730</wp:posOffset>
            </wp:positionV>
            <wp:extent cx="1714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-633730</wp:posOffset>
            </wp:positionV>
            <wp:extent cx="1714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-633730</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As of March 31, 2021, the majority of our cash was held for general corporate purposes. We also intend to increase our capital expenditures to support the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including those described in the section entitled “Risk Factors.” We may not be able to secure additional financing to meet our operating requirements on acceptable terms, or at all.</w:t>
      </w:r>
    </w:p>
    <w:p>
      <w:pPr>
        <w:sectPr>
          <w:pgSz w:w="11900" w:h="16838" w:orient="portrait"/>
          <w:cols w:equalWidth="0" w:num="1">
            <w:col w:w="9019"/>
          </w:cols>
          <w:pgMar w:left="1440" w:top="265"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Since our inception, we have financed our operations and capital expenditures primarily through cash flows generated by operations, a secured revolving line of credit agreement, and the private sales of equity securities. Since inception and through the end of fiscal 2018, we raised a total of $22.6 million from the sale of equity securities, net of costs and expenses associated with such financings.</w:t>
      </w:r>
    </w:p>
    <w:p>
      <w:pPr>
        <w:spacing w:after="0" w:line="7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Although we are not currently a party to any agreement or letter of intent with respect to potential investments in, or acquisitions of, complementary businesses, services or technologies, we may enter into these types of arrangements in the future, which could also require us to seek additional equity financing, incur indebtedness, or use cash resources. We have no present understandings, commitments or agreements to enter into any such acquisitions.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86"/>
        </w:trPr>
        <w:tc>
          <w:tcPr>
            <w:tcW w:w="4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gridSpan w:val="4"/>
            <w:vMerge w:val="continue"/>
          </w:tcPr>
          <w:p>
            <w:pPr>
              <w:spacing w:after="0"/>
              <w:rPr>
                <w:sz w:val="16"/>
                <w:szCs w:val="16"/>
                <w:color w:val="auto"/>
              </w:rPr>
            </w:pPr>
          </w:p>
        </w:tc>
        <w:tc>
          <w:tcPr>
            <w:tcW w:w="1440" w:type="dxa"/>
            <w:vAlign w:val="bottom"/>
            <w:gridSpan w:val="2"/>
          </w:tcPr>
          <w:p>
            <w:pPr>
              <w:jc w:val="right"/>
              <w:ind w:right="335"/>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3"/>
        </w:trPr>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100" w:type="dxa"/>
            <w:vAlign w:val="bottom"/>
          </w:tcPr>
          <w:p>
            <w:pPr>
              <w:spacing w:after="0"/>
              <w:rPr>
                <w:sz w:val="19"/>
                <w:szCs w:val="19"/>
                <w:color w:val="auto"/>
              </w:rPr>
            </w:pPr>
          </w:p>
        </w:tc>
        <w:tc>
          <w:tcPr>
            <w:tcW w:w="11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7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660" w:type="dxa"/>
            <w:vAlign w:val="bottom"/>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3"/>
        </w:trPr>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$17,689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6,295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$ 38,620</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86"/>
              </w:rPr>
              <w:t>$ 4,896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$ 10,587</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(2,124)</w:t>
            </w:r>
          </w:p>
        </w:tc>
        <w:tc>
          <w:tcPr>
            <w:tcW w:w="780" w:type="dxa"/>
            <w:vAlign w:val="bottom"/>
          </w:tcPr>
          <w:p>
            <w:pPr>
              <w:jc w:val="right"/>
              <w:spacing w:after="0"/>
              <w:rPr>
                <w:sz w:val="20"/>
                <w:szCs w:val="20"/>
                <w:color w:val="auto"/>
              </w:rPr>
            </w:pPr>
            <w:r>
              <w:rPr>
                <w:rFonts w:ascii="Arial" w:cs="Arial" w:eastAsia="Arial" w:hAnsi="Arial"/>
                <w:sz w:val="18"/>
                <w:szCs w:val="18"/>
                <w:color w:val="auto"/>
              </w:rPr>
              <w:t>(5,129)</w:t>
            </w:r>
          </w:p>
        </w:tc>
        <w:tc>
          <w:tcPr>
            <w:tcW w:w="820" w:type="dxa"/>
            <w:vAlign w:val="bottom"/>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w:t>
            </w:r>
          </w:p>
        </w:tc>
        <w:tc>
          <w:tcPr>
            <w:tcW w:w="78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3,244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-814070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-814070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-814070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-814070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Cash from operating activities consists primarily of net income adjusted for certain non-cash items, including depreciation and amortization, non-cash interest expense, and the effect of changes in working capital and other activities.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Net cash from operating activities for the three months ended March 31, 2021 was $10.6 million, which resulted from net income of $7.7 million, together with a net cash inflow of $1.9 million from changes in operating assets and liabilities, and non-cash charges of $1.0 million, consisting of depreciation and amortization. The net cash inflows from changes in operating assets and liabilities were primarily due to a decrease in accounts receivable of $1.9 million, an increase in accounts payable and accrued expenses of $1.6 and an increase in deferred revenue of $0.9 million. These changes were partially offset by an increase in prepaid expenses and other current assets of $2.5 million. The changes in operating assets and liabilities are mostly due to fluctuations in timing of cash receipts and payments.</w:t>
      </w:r>
    </w:p>
    <w:p>
      <w:pPr>
        <w:spacing w:after="0" w:line="8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Net cash from operating activities for the three months ended March 31, 2020 was $4.9 million, which resulted from net income of $3.8 million, together with a net cash inflow of $0.1 million from changes in operating assets and liabilities, and non-cash charges of $1.0 million, consisting of depreciation and amortization. The net cash inflows from changes in operating assets and liabilities were primarily due to a decrease in other assets of $0.4 million and an increase in deferred revenue of $0.6 million. These changes were partially offset by an increase in prepaid expenses and other current assets of $0.5 million, an increase in accounts receivable of $0.1 million and a decrease in accounts payable and accrued expenses of $0.4 million. The changes in operating assets and liabilities are mostly due to fluctuations in timing of cash receipts and payments.</w:t>
      </w:r>
    </w:p>
    <w:p>
      <w:pPr>
        <w:spacing w:after="0" w:line="5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Net cash from operating activities during 2020 was $38.6 million, which resulted from net income of $38.8 million, together with a net cash outflow of $4.2 million from changes in operating assets and liabilities, and non-cash charges of $4.0 million, consisting of depreciation and amortization. The net cash outflows from changes in operating assets and liabilities were primarily due to an increase in accounts receivable of $5.5 million, an increase in prepaid expenses and other current asset of $3.1 million and a decrease in accounts payable and accrued expenses of $1.0 million. These changes were partially offset by an increase in deferred revenue of $0.9 million, an increase in deferred rent of $3.7 million and an increase in other assets of $0.7 million. The changes in operating assets and liabilities are mostly due to fluctuations in timing of cash receipts and payments.</w:t>
      </w:r>
    </w:p>
    <w:p>
      <w:pPr>
        <w:sectPr>
          <w:pgSz w:w="11900" w:h="16838" w:orient="portrait"/>
          <w:cols w:equalWidth="0" w:num="1">
            <w:col w:w="9019"/>
          </w:cols>
          <w:pgMar w:left="1440" w:top="265"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Net cash from operating activities during 2019 was $6.3 million, which resulted from net loss of $0.4 million, together with a net cash inflow of $1.5 million from changes in operating assets and liabilities, and non-cash charges of $5.2 million, consisting of depreciation and amortization expense. The net cash inflows from changes in operating assets and liabilities were primarily due to an increase in accounts payable and accrued liabilities of $7.4 million, an increase in deferred rent of $0.5 million, together with an increase in deferred revenue of $0.2 million. These changes were partially offset by an increase in accounts receivable of $2.6 million and an increase in prepaid expense and other assets of $4.0 million. The changes in operating assets and liabilities are mostly due to fluctuations in timing of cash receipts and payments.</w:t>
      </w:r>
    </w:p>
    <w:p>
      <w:pPr>
        <w:spacing w:after="0" w:line="7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Net cash from operating activities during 2018 was $17.7 million, which resulted from net income of $12.7 million, together with a net cash inflow of $2.8 million from changes in operating assets and liabilities, and non-cash charges of $2.2 million, mainly consisting of depreciation and amortization expense. The net cash inflows from changes in operating assets and liabilities were primarily due to an increase in accounts payable and accrued liabilities of $1.6 million, an increase in deferred revenue of $0.7 million, together with a decrease in prepaid expenses and other assets of $0.9 million. These changes were partially offset by an increase in accounts receivable of $0.4 million. The changes in operating assets and liabilities are mostly due to fluctuations in timing of cash receipts and payments.</w:t>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investing activities have consisted of purchases of property and equipment.</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Net cash used in investing activities was $0.3 million for the three months ended March 31, 2021, which resulted from purchases of property and equipment. These expenses are comparable to the same period in 2020.</w:t>
      </w:r>
    </w:p>
    <w:p>
      <w:pPr>
        <w:spacing w:after="0" w:line="1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Net cash used in investing activities was $0.2 million for the three months ended March 31, 2020, which resulted from purchases of property and equipment. These expenses decreased compared to the same period in 2019 due to no large marketing projects that required significant capital expenditures.</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Net cash used in investing activities was $1.3 million in 2020, which resulted from purchases of property and equipment. These expenses decreased compared to the same period in 2019 due to no large marketing projects that required significant capital expenditures.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Net cash used in investing activities was $5.1 million in 2019, which resulted from purchases of assets related to Weedmaps Museum of Weed as well as other property and equipment and capitalized software development costs related to development of our POS solution. These expenses increased compared to 2018 due to one-time capital expenditures related to the Weedmaps Museum of Weed.</w:t>
      </w:r>
    </w:p>
    <w:p>
      <w:pPr>
        <w:spacing w:after="0" w:line="79"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Net cash used in investing activities was $2.1 million in 2018, which resulted from purchases of property and equipment and leasehold improvements and capitalized software development costs related to development of our POS solution. These expenses decreased in 2018 compared to 2017 due to a reduction in leasehold improvements.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Financing activities consist primarily of borrowings, sale of Class A units, repayments related to the existing line of credit and notes payable, distribution to members, and the repurchase of Class B units.</w:t>
      </w:r>
    </w:p>
    <w:p>
      <w:pPr>
        <w:spacing w:after="0" w:line="62"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Net cash used in financing activities was $10.6 million for the three months ended March 31, 2021, which was the result of $10.5 million in distribution payments to members and $0.1 million for the repurchase of Class B units.</w:t>
      </w:r>
    </w:p>
    <w:p>
      <w:pPr>
        <w:spacing w:after="0" w:line="1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Net cash used in financing activities was $3.2 million for the three months ended March 31, 2020, which was the result of $3.1 million in distribution payments to members and $0.1 million for the repurchase of Class B units.</w:t>
      </w:r>
    </w:p>
    <w:p>
      <w:pPr>
        <w:spacing w:after="0" w:line="1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Net cash used in financing activities was $22.4 million in 2020, which was the result of $22.0 million in distribution payments to members and $0.4 million for the repurchase of Class B units.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Net cash used in financing activities was $22.0 million in 2019, which was attributable to $15.4 million in distribution payments to members, $5.0 million repayment of the secured line of credit, and $1.6 million for the repurchase of Class B units.</w:t>
      </w:r>
    </w:p>
    <w:p>
      <w:pPr>
        <w:spacing w:after="0" w:line="76"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Net cash provided by financing activities was $3.2 million in 2018, which was attributable to $17.6 million related to the sale of Class A units and an additional $1.7 million borrowed on the line of credit, offset by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$11.4 million distribution payments to members, $2.3 million repayment of notes payable to members, $1.7 million for the repurchase of Class B units, and repayment of other notes payable of $0.7 million.</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did not have any off-balance sheet arrangements in any of the periods presented in this prospectus, except for operating leases as discussed below.</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As of March 31, 2021, we leased various office facilities, including our corporate headquarters in Irvine, California under operating lease agreements that expire from 2021 to 2031. We recognize rent expense on a straight-line basis over the lease periods in accordance with the new lease accounting guidance. We do not have any debt or material capital lease obligations and most of our property, equipment and software have been purchased with cash. Our future minimum payments under non-cancelable operating leases for office facilities are as follows as of March 31, 2021:</w:t>
      </w:r>
    </w:p>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20" w:type="dxa"/>
            <w:vAlign w:val="bottom"/>
            <w:gridSpan w:val="3"/>
          </w:tcPr>
          <w:p>
            <w:pPr>
              <w:jc w:val="center"/>
              <w:ind w:left="4"/>
              <w:spacing w:after="0"/>
              <w:rPr>
                <w:sz w:val="20"/>
                <w:szCs w:val="20"/>
                <w:color w:val="auto"/>
              </w:rPr>
            </w:pPr>
            <w:r>
              <w:rPr>
                <w:rFonts w:ascii="Arial" w:cs="Arial" w:eastAsia="Arial" w:hAnsi="Arial"/>
                <w:sz w:val="14"/>
                <w:szCs w:val="14"/>
                <w:b w:val="1"/>
                <w:bCs w:val="1"/>
                <w:color w:val="auto"/>
                <w:w w:val="92"/>
              </w:rPr>
              <w:t>Payments Due by Period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9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Less than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1-3</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3-5</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1 Year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53"/>
        </w:trPr>
        <w:tc>
          <w:tcPr>
            <w:tcW w:w="49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gridSpan w:val="2"/>
          </w:tcPr>
          <w:p>
            <w:pPr>
              <w:jc w:val="center"/>
              <w:ind w:right="502"/>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$71,491</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$7,029</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$19,495</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$15,235</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$29,732</w:t>
            </w:r>
          </w:p>
        </w:tc>
        <w:tc>
          <w:tcPr>
            <w:tcW w:w="0" w:type="dxa"/>
            <w:vAlign w:val="bottom"/>
          </w:tcPr>
          <w:p>
            <w:pPr>
              <w:spacing w:after="0"/>
              <w:rPr>
                <w:sz w:val="1"/>
                <w:szCs w:val="1"/>
                <w:color w:val="auto"/>
              </w:rPr>
            </w:pPr>
          </w:p>
        </w:tc>
      </w:tr>
      <w:tr>
        <w:trPr>
          <w:trHeight w:val="54"/>
        </w:trPr>
        <w:tc>
          <w:tcPr>
            <w:tcW w:w="49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-401955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-401955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-401955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-401955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expect that the payments we will be required to make under the Tax Receivable Agreement (as defined below) will be substantial, and such payments are not reflected in the table above.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$157.1 million over 15 years from the date of the Closing. Under this scenario, we would be required to pay to the Class A Unit holders approximately 85% of such amount, or $133.5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(as defined below)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us.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believe that the assumptions and estimates associated with revenue recognition, website and internal-use software development costs, income taxes and equity-based compensation have the greatest potential impact on our consolidated financial statements. Therefore, we consider these to be our critical accounting policies and estimates. For further information on all of our significant accounting policies, see Note 2 of the notes to our consolidated financial statements included elsewhere in this prospectus.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Our revenues are derived primarily from monthly subscriptions and additional offerings for access to our Weedmaps platform and our WM Business SaaS solution. We recognize revenue when the fundamental criteria for revenue recognition are met. We recognize revenue by applying the following steps: the contract with the customer</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Revenue is recognized over-time over the subscription period, generally a one-month period as the products are provided. We may also provide services to our customers that are recognized at a point in time. For example, prior to January 1, 2021, technology services fees relating to product reservation orders submitted were recognized when an order for delivery was submitted.</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Deferred revenue primarily consists of billings or payments received in advance of revenue recognition from subscription offerings, as described above, and is recognized as the revenue recognition criteria are met. We generally invoice customers and receive payment on an upfront basis.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Website and Internal-Use Software Development Costs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have historically capitalized certain costs related to the development of our POS solution. In accordance with authoritative guidance, we began to capitalize these costs to develop certain software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No cost related to the development of software applications have been capitalized for the three-month period ended March 31, 2021.</w:t>
      </w:r>
    </w:p>
    <w:p>
      <w:pPr>
        <w:spacing w:after="0" w:line="26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WMH LLC is a limited liability company that is treated as a partnership for U.S. federal and most applicable state and local income tax purposes. As a result, it is not liable for U.S. federal or state and local income taxes in most jurisdictions in which it operates, and the income, expenses, gains and losses are reported on the returns of the members of WMH LLC. It is subject to state and local income tax in certain jurisdictions in which it is not treated like a partnership, where it pays an immaterial amount of taxes. WMH LLC’s foreign subsidiaries are subject to their jurisdiction’s income tax laws, and WMH LLC will record income tax expense based on revenue generated in those jurisdictions. Accordingly, a provision for income taxes of $1.3 million was recorded in fiscal year 2019, related to revenue generated by WMH LLC’s wholly owned subsidiary in Canada and is reflected in the accompanying consolidated statements of income.</w:t>
      </w:r>
    </w:p>
    <w:p>
      <w:pPr>
        <w:spacing w:after="0" w:line="7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do not believe we have any uncertain income tax positions that are more likely than not to materially affect our consolidated financial statements. Our federal and state income tax returns remain open to agency examination for the standard statutory length of time after filing.</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Effective January 1, 2021, we adopted ASC 842. Under this guidance, lessees classify arrangements meeting the definition of a lease as operating or financing leases, and leases are recorded on the consolidated balance sheet as both a right-of-use asset and lease liability, calculated by discounting fixed lease payments over the lease term at the rate implicit in the lease or our incremental borrowing rate. Lease liabilities are increased by interest and reduced by payments each period, and the right of 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5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calculating the right-of-use asset and lease liability, we elected to combine lease and non-lease components for all classes of assets. We excluded short-term leases having initial terms of 12 months or less from the new guidance as an accounting policy election, and instead recognizes rent expense on a straight-line basis over the lease term.</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We continued to account for leases in the prior period financial statements under Accounting Standards Codification, Topic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consider all highly liquid investments with an original maturity of three months or less to be cash equivalents. As of March 31, 2021, we did not have any cash equivalents.</w:t>
      </w:r>
    </w:p>
    <w:p>
      <w:pPr>
        <w:spacing w:after="0" w:line="62"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5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are also a “smaller reporting company” as defined in the Securities and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prospectus for additional information regarding recent accounting pronouncements.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Controls and Procedures</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Silver Spike’s management re-evaluated, with the participation of Silver Spike’s current chief executive officer and chief financial officer (Silver Spike’s “Certifying Officers”), the effectiveness of our disclosure controls and procedures as of December 31, 2020, pursuant to Rule 13a-15(b) under the Exchange Act. Based upon that evaluation, Silver Spike’s Certifying Officers concluded that, solely due to the material weakness in our internal control over financial reporting that led to Silver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Spike’s restatement of its financial statements to reclassify its Public Warrants and Private Placement Warrants as described in the Explanatory Note to Silver Spike’s amendment to its annual report on Form 10-K, Silver Spike’s disclosure controls and procedures were not effective as December 31, 2020.</w:t>
      </w:r>
    </w:p>
    <w:p>
      <w:pPr>
        <w:spacing w:after="0" w:line="7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our stated goals under all potential future conditions.</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our financial statements,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are on a mission to power a transparent and inclusive cannabis economy in the United States and globally. We were founded in 2008 with a strong belief in the power of cannabis and the importance of enabling safe, legal access to cannabis for consumers worldwide. Since then, we have worked tirelessly to be the most comprehensive platform for consumers on cannabis;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 Now in our second decade, we believe we have been a driving force behind a great deal of the cannabis-related legislative change seen in the past decade.</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were founded in 2008, and operates a leading listings marketplace with one of the most comprehensive SaaS subscription offerings sold to retailers and brands in the U.S. state-legal and Canadian cannabis markets. We also provide information on the cannabis plant and the industry and advocates for legalization. The state-legal cannabis industry in the United States has grown consistently in recent years and is expected to double over the next five years (according to Arcview Market Research/BDS Analytics13 and Gallup) as the majority of U.S. adults now support having legal access to medical and/or adult-use cannabis. Despite these expectations of growth, the regulated cannabis market in the United States is still nascent and fragmented, with significant challenges facing both consumers seeking to understand cannabis and the cannabis industry and businesses seeking to compliantly manage their operations. Cannabis users within the United States represent less than 12% of the adult population as of December 31, 2019, with those consuming at least one time a month representing an even smaller percentage, according to the National Survey on Drug Use and Health estimates. At the same time, there are only approximately 9,200 retail licenses across U.S. and Canadian markets with medical and/or adult-use regulations in place, which is an effective retail density of approximately one retail license per 40,000 residents across these markets in the aggregate, based on data available from individual governmental cannabis license databases, U.S. Census Bureau estimates and Statistics Canada for both licenses and population.</w:t>
      </w:r>
    </w:p>
    <w:p>
      <w:pPr>
        <w:spacing w:after="0" w:line="5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addition to these nascent consumer and business dynamics, cannabis itself is a highly complex, highly regulated and non-shelf stable consumer good spanning hundreds of strains and a growing set of form factors available for consumption across flower, pre-rolls, vapes, edibles, tinctures, and concentrates. Despite these complexities, consumers seeking information regarding cannabis still expect the same ease of discovery and price comparison across multiple channels, and transparency of information from cannabis businesses that they expect from other retailers or brands. These consumer expectations, coupled with the unique attributes of cannabis as a nascent and highly regulated consumer product, create significant challenges for retailers and brands who serve cannabis users. Retailers and brands must meet these consumer expectations and provide omni-channel engagement opportunities (to a narrow segment of the population) with the same level of (i) service, (ii) richness of product information, (iii) ability to compare prices, and (iv) ease of product and brand discovery that consumers would receive when researching other consumer product categories.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66"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address the challenges facing both consumers seeking to understand cannabis products and businesses seeking brand awareness in a legally compliant fashion with our Weedmaps platform and WM Business SaaS solution. Over the past 13 years, we have grown the Weedmaps listings marketplace to become the premier destination for cannabis consumers to discover and browse information regarding cannabis and cannabis products, with over 9 million MAUs on the demand-side and more than 4,000 paying business clients on the supply-side of our marketplace as of March 31, 2021. The Weedmaps listings marketplace provides consumers with information regarding cannabis retailers and brands, as well as the strain, pricing, and other information regarding locally available cannabis products, through our website and mobile apps, permitting product discovery and reservation of products for pickup by consumers or delivery to consumers by participating retailers. Consumers do not purchase cannabis products using Weedmaps, and all confirmation of product availability, final order entry, order fulfillment,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7"/>
          <w:szCs w:val="17"/>
          <w:color w:val="auto"/>
        </w:rPr>
        <w:t>and processing of payments is handled directly between the consumer and our client outside of the Weedmaps listings marketplace. We provide consumers with discovery channels to improve their knowledge of the local market for cannabis products, whether they are looking by strain, price, effects or form factors.</w:t>
      </w:r>
      <w:r>
        <w:rPr>
          <w:rFonts w:ascii="Arial" w:cs="Arial" w:eastAsia="Arial" w:hAnsi="Arial"/>
          <w:sz w:val="28"/>
          <w:szCs w:val="28"/>
          <w:color w:val="auto"/>
          <w:vertAlign w:val="superscript"/>
        </w:rPr>
        <w:t>4</w:t>
      </w:r>
    </w:p>
    <w:p>
      <w:pPr>
        <w:spacing w:after="0" w:line="3" w:lineRule="exact"/>
        <w:rPr>
          <w:sz w:val="20"/>
          <w:szCs w:val="20"/>
          <w:color w:val="auto"/>
        </w:rPr>
      </w:pPr>
    </w:p>
    <w:p>
      <w:pPr>
        <w:jc w:val="both"/>
        <w:ind w:left="300" w:right="299" w:firstLine="360"/>
        <w:spacing w:after="0" w:line="251" w:lineRule="auto"/>
        <w:rPr>
          <w:sz w:val="20"/>
          <w:szCs w:val="20"/>
          <w:color w:val="auto"/>
        </w:rPr>
      </w:pPr>
      <w:r>
        <w:rPr>
          <w:rFonts w:ascii="Arial" w:cs="Arial" w:eastAsia="Arial" w:hAnsi="Arial"/>
          <w:sz w:val="18"/>
          <w:szCs w:val="18"/>
          <w:color w:val="auto"/>
        </w:rPr>
        <w:t>Given the lack of uniform industry product information, this is only made possible by the ingestion and normalization of data from a variety of sources, including quantified consumer feedback.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176530</wp:posOffset>
            </wp:positionV>
            <wp:extent cx="4174490" cy="21259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17449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Over the last three years, we have developed and launched several SaaS solutions for our retailer clients. These solutions now comprise an integrated platform for retailers, which we call “WM Business”. WM Business provides a comprehensive set of tools to enable cannabis businesses to provide their goods and services compliantly, with what we refer to as “business-in-a-box” functionality. Our “business-in-a-box” solution helps cannabis retailers to improve their workflows and regulatory compliance in the course of serving cannabis consumers.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as well as complete orders and process payments, (both of which only occur outside the Weedmaps listings marketplace), (iii) logistics software such as driver apps and fleet-tracking tools to permit legal compliance with state delivery regulations, (iv) retail point-of-sale, or POS, solutions to manage inventory and track-and-trace compliance reporting, (v) analytics dashboards, (vi) access to our online wholesale exchange marketplace to browse brand catalogs and efficiently identify brands to obtain inventory from (and review license information and certificates of analysis, among other compliance features), and (vii) application program interface, or API, integrations to streamline workflows, thereby helping eliminate human error in recordkeeping and promoting compliance through accuracy. We also offer a growing set of offerings for brands to reach consumers and retailers as well as manage their brand catalog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158750</wp:posOffset>
            </wp:positionV>
            <wp:extent cx="8229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8" w:lineRule="exact"/>
        <w:rPr>
          <w:sz w:val="20"/>
          <w:szCs w:val="20"/>
          <w:color w:val="auto"/>
        </w:rPr>
      </w:pPr>
    </w:p>
    <w:p>
      <w:pPr>
        <w:ind w:left="460" w:hanging="168"/>
        <w:spacing w:after="0"/>
        <w:tabs>
          <w:tab w:leader="none" w:pos="46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Arcview Market Research/BDS Analytics - The State of Legal Cannabis Markets, 8th Edition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92075</wp:posOffset>
            </wp:positionV>
            <wp:extent cx="4063365" cy="22631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06336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WM Business solution is sold as a value-priced monthly subscription package, and is not based on the retailer’s revenues, profits, or volume of sales to consumers. We also offer several upsell and add-on products that allow businesses to have more prominent placement on the Weedmaps listings marketplace through featured listings, display ads, keyword search ads or promoted deal offerings. We sell our offerings in the United States and Canada, and we have a limited number of non-monetized listings in several international countries including Austria, Germany, the Netherlands, Spain, and Switzerland. As of March 31, 2021, we actively operate in 23 U.S. states and territories that have adult-use and/or medical-use regulations in place.</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have a history of growth since our inception in 2008. From fiscal year 2014 through 2020, we grew our revenue at a compound annual growth rate, or CAGR, of 35% and expanded our gross margin rate from 92% to 95%. For the year ended December 31, 2020, we generated $162 million in revenue, which represented 12% growth over the prior year and 40% growth over that same period when adjusting the prior year to eliminate revenue associated with non-licensed operators in California that we removed from the Weedmaps listings marketplace at the end of fiscal year 2019. For the year ended December 31, 2020, we generated net income of $39 million and EBITDA of $43 million. For the three months ended March 31, 2021, we generated $41 million in revenue, which represented 28% growth over the prior year and 58% growth over that same period when adjusting the prior year to eliminate revenue associated with non-licensed operators in Canada that we removed from the Weedmaps listings marketplace at the end of fiscal year 2020. For the three months ended March 31, 2021, we generated net income of $8 million and EBITDA of $9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158750</wp:posOffset>
            </wp:positionV>
            <wp:extent cx="4817745" cy="12172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1774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While the cannabis industry is still in the early innings of what could be decades of growth, we have established a leading position and a recognized brand given our 13-year operating history. Over the coming years, we plan on expanding our solutions and service offerings.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End-Markets</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Cannabis is a large and growing industry spanning multiple countries across several continents. As of the date of this filing, four countries and, in the United States, 14 states, four territories, and the District of Columbia have legalized cannabis for adult use. In addition, more than 50 countries, and 36 U.S. states have legalized the medicinal use of cannabis. In December 2020, the United Nations Commission on Narcotic Drugs voted to remove cannabis</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32" w:lineRule="auto"/>
        <w:rPr>
          <w:sz w:val="20"/>
          <w:szCs w:val="20"/>
          <w:color w:val="auto"/>
        </w:rPr>
      </w:pPr>
      <w:r>
        <w:rPr>
          <w:rFonts w:ascii="Arial" w:cs="Arial" w:eastAsia="Arial" w:hAnsi="Arial"/>
          <w:sz w:val="18"/>
          <w:szCs w:val="18"/>
          <w:color w:val="auto"/>
        </w:rPr>
        <w:t>from its current Schedule IV classification under the 1961 Single Convention on Narcotic Drugs, following the World Health Organization’s recommendation in 2019 to ease barriers to cannabis for medical use and research. In 2019, the global legal cannabis industry reached $14.8 billion in sales, representing 45% growth over 2018, which was 2.5 times higher than the 18% growth rate in 2018. According to Arcview Market Research/BDS Analytics, global cannabis sales are expected to grow at a CAGR of 21% from 2019 to 2025, reaching nearly $47 billion in 2025.</w:t>
      </w:r>
      <w:r>
        <w:rPr>
          <w:rFonts w:ascii="Arial" w:cs="Arial" w:eastAsia="Arial" w:hAnsi="Arial"/>
          <w:sz w:val="29"/>
          <w:szCs w:val="29"/>
          <w:color w:val="auto"/>
          <w:vertAlign w:val="superscript"/>
        </w:rPr>
        <w:t>15</w:t>
      </w:r>
      <w:r>
        <w:rPr>
          <w:rFonts w:ascii="Arial" w:cs="Arial" w:eastAsia="Arial" w:hAnsi="Arial"/>
          <w:sz w:val="18"/>
          <w:szCs w:val="18"/>
          <w:color w:val="auto"/>
        </w:rPr>
        <w:t xml:space="preserve"> The following maps and chart outline the current global cannabis regulatory framework and where we currently have a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182245</wp:posOffset>
            </wp:positionV>
            <wp:extent cx="4911725" cy="26403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1172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Our primary end-market today is the United States, which is the largest cannabis market in the world. Licensed retail sales of cannabis in the United States grew to $12.4 billion in 2019, up from $3.3 billion in 2014, and are expected to grow at a CAGR of 18% through 2025, reaching nearly $34 billion sales, based on the “Arcview Market Research/BDS Analytics - The State of Legal Cannabis Markets, 8th Edition” report. Notably, all five states’ ballot initiatives for medical or adult use legalization in the November 2020 election passed. According to an October 2020 Gallup poll, 68% of U.S. adults support the legalization of cannabis in the United States, which is higher than at any point in the past five decades. We expect additional states, as well as additional countries, to legalize cannabis for adult and/or medical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156210</wp:posOffset>
            </wp:positionV>
            <wp:extent cx="4997450" cy="24777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97450"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0" w:hanging="168"/>
        <w:spacing w:after="0"/>
        <w:tabs>
          <w:tab w:leader="none" w:pos="46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Arcview Market Research/BDS Analytics - The State of Legal Cannabis Markets, 8th Edition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Challenges in Our End-Markets</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Despite cannabis being a large and growing sector in the U.S., we believe that cannabis is unlike many other consumer goods and retail categories for a number of reasons:</w:t>
      </w:r>
    </w:p>
    <w:p>
      <w:pPr>
        <w:spacing w:after="0" w:line="62" w:lineRule="exact"/>
        <w:rPr>
          <w:sz w:val="20"/>
          <w:szCs w:val="20"/>
          <w:color w:val="auto"/>
        </w:rPr>
      </w:pPr>
    </w:p>
    <w:p>
      <w:pPr>
        <w:jc w:val="both"/>
        <w:ind w:left="1000" w:right="299" w:hanging="348"/>
        <w:spacing w:after="0" w:line="255"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Cannabis as a regulated industry is still in a nascent stage of development. </w:t>
      </w:r>
      <w:r>
        <w:rPr>
          <w:rFonts w:ascii="Arial" w:cs="Arial" w:eastAsia="Arial" w:hAnsi="Arial"/>
          <w:sz w:val="18"/>
          <w:szCs w:val="18"/>
          <w:color w:val="auto"/>
        </w:rPr>
        <w:t>As such, the industry lacks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foundational components such as a master product catalog with standardized stock-keeping units/SKUs, normalized inventory data, consistent retail layouts, price transparency across products within markets, or other common product characteristic data. The lack of these foundational components creates challenges for consumers seeking to understand the local cannabis market as well as retailers and brands seeking brand awareness.</w:t>
      </w:r>
    </w:p>
    <w:p>
      <w:pPr>
        <w:spacing w:after="0" w:line="84" w:lineRule="exact"/>
        <w:rPr>
          <w:rFonts w:ascii="Arial" w:cs="Arial" w:eastAsia="Arial" w:hAnsi="Arial"/>
          <w:sz w:val="18"/>
          <w:szCs w:val="18"/>
          <w:color w:val="auto"/>
        </w:rPr>
      </w:pPr>
    </w:p>
    <w:p>
      <w:pPr>
        <w:jc w:val="both"/>
        <w:ind w:left="1000" w:right="319" w:hanging="348"/>
        <w:spacing w:after="0" w:line="269"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Cannabis users are less than 12% of the population today without a “typical” user profile. </w:t>
      </w:r>
      <w:r>
        <w:rPr>
          <w:rFonts w:ascii="Arial" w:cs="Arial" w:eastAsia="Arial" w:hAnsi="Arial"/>
          <w:sz w:val="17"/>
          <w:szCs w:val="17"/>
          <w:color w:val="auto"/>
        </w:rPr>
        <w:t>The 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Survey on Drug Use and Health estimated that, as of 2019, less than 12% of the U.S. adult population consumed cannabis monthly. These users are hard to target as they are statistically distributed relatively evenly across age, gender, income levels based on our consumer survey work and do not fit a narrow user profile or segment. The impact of these dynamics on traditional channels create pain-points for retailers and brands seeking to cost-effectively target cannabis consumers in compliance with audience restriction requirements under applicable law while balancing the need to preserve brand equity by ensuring the messaging is not viewed by non-cannabis consumers who still stigmatize the cannabis industry, thereby limiting future potential conversion opportunities for such consumer that could arise as cannabis continues to gain mainstream acceptance.</w:t>
      </w:r>
    </w:p>
    <w:p>
      <w:pPr>
        <w:spacing w:after="0" w:line="77" w:lineRule="exact"/>
        <w:rPr>
          <w:rFonts w:ascii="Arial" w:cs="Arial" w:eastAsia="Arial" w:hAnsi="Arial"/>
          <w:sz w:val="17"/>
          <w:szCs w:val="17"/>
          <w:color w:val="auto"/>
        </w:rPr>
      </w:pPr>
    </w:p>
    <w:p>
      <w:pPr>
        <w:jc w:val="both"/>
        <w:ind w:left="1000" w:right="299" w:hanging="348"/>
        <w:spacing w:after="0" w:line="285"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Regulations governing cannabis are complex and vary state-by-state and by city and county within states. </w:t>
      </w:r>
      <w:r>
        <w:rPr>
          <w:rFonts w:ascii="Arial" w:cs="Arial" w:eastAsia="Arial" w:hAnsi="Arial"/>
          <w:sz w:val="16"/>
          <w:szCs w:val="16"/>
          <w:color w:val="auto"/>
        </w:rPr>
        <w:t>Cannabis regulations have been governed at the state as well as city / county level resulting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disparate regulatory frameworks and “closed-border” systems that prohibit interstate commerce. Those state and local laws, regulations, and ordinances are generally materially divergent with respect to many technical aspects of operating a legal cannabis business. Additionally, several states allow local governments an unusual degree of latitude to not only set licensing limits, but also to implement their own taxes and additional regulatory requirements. The net effect of this complex regulatory framework is that the cannabis industry within the U.S. is highly fragmented, and the disparate regulatory frameworks render it difficult to standardize products or business operations across different jurisdictions. Cannabis as a product is regulated more like hazardous waste material as opposed to a consumer good, given incredibly stringent policies governing pesticide limits and track-and-trace compliance, among other restrictions governing the production, distribution and sale of cannabis products. The penalties for non-compliance with these laws and regulations can often be costly, with permanent loss of licensed operations being a common penalty for material violations. Given this context, software that supports and enables businesses to be compliant and helps businesses identify non-compliance is an important tool to help mitigate the serious risks of non-compliance.</w:t>
      </w:r>
    </w:p>
    <w:p>
      <w:pPr>
        <w:spacing w:after="0" w:line="68" w:lineRule="exact"/>
        <w:rPr>
          <w:rFonts w:ascii="Arial" w:cs="Arial" w:eastAsia="Arial" w:hAnsi="Arial"/>
          <w:sz w:val="16"/>
          <w:szCs w:val="16"/>
          <w:color w:val="auto"/>
        </w:rPr>
      </w:pPr>
    </w:p>
    <w:p>
      <w:pPr>
        <w:jc w:val="both"/>
        <w:ind w:left="1000" w:right="319" w:hanging="348"/>
        <w:spacing w:after="0" w:line="25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Cannabis has wide variance in characteristics that make it complex to make an informed purchase decision. </w:t>
      </w:r>
      <w:r>
        <w:rPr>
          <w:rFonts w:ascii="Arial" w:cs="Arial" w:eastAsia="Arial" w:hAnsi="Arial"/>
          <w:sz w:val="18"/>
          <w:szCs w:val="18"/>
          <w:color w:val="auto"/>
        </w:rPr>
        <w:t>Cannabis products have wide ranges of use-cases, flavors, and clinical effects on different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of which are not well-understood today given the nascency of legalized cannabis usage and limited academic research. This makes gathering information regarding cannabis products more complex than many other consumer good verticals.</w:t>
      </w:r>
    </w:p>
    <w:p>
      <w:pPr>
        <w:spacing w:after="0" w:line="79" w:lineRule="exact"/>
        <w:rPr>
          <w:rFonts w:ascii="Arial" w:cs="Arial" w:eastAsia="Arial" w:hAnsi="Arial"/>
          <w:sz w:val="18"/>
          <w:szCs w:val="18"/>
          <w:color w:val="auto"/>
        </w:rPr>
      </w:pPr>
    </w:p>
    <w:p>
      <w:pPr>
        <w:jc w:val="both"/>
        <w:ind w:left="1000" w:right="299" w:hanging="348"/>
        <w:spacing w:after="0" w:line="273"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Cannabis is a perishable good with a lack of product homogeneity. </w:t>
      </w:r>
      <w:r>
        <w:rPr>
          <w:rFonts w:ascii="Arial" w:cs="Arial" w:eastAsia="Arial" w:hAnsi="Arial"/>
          <w:sz w:val="17"/>
          <w:szCs w:val="17"/>
          <w:color w:val="auto"/>
        </w:rPr>
        <w:t>Cannabis flower and concentrate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has limited shelf-stability and loses potency, flavor, and odor over time, creating additional challenges for retailers, who are required in certain states to report on changes in inventory weights to comply with state-level track-and-trace requirements. This, combined with the seasonality of cannabis cultivation and harvest, means that retailer and brand inventory have a wider degree of variance heterogeneity than is seen in many other consumer goods, such as alcohol.</w:t>
      </w:r>
    </w:p>
    <w:p>
      <w:pPr>
        <w:spacing w:after="0" w:line="69" w:lineRule="exact"/>
        <w:rPr>
          <w:rFonts w:ascii="Arial" w:cs="Arial" w:eastAsia="Arial" w:hAnsi="Arial"/>
          <w:sz w:val="17"/>
          <w:szCs w:val="17"/>
          <w:color w:val="auto"/>
        </w:rPr>
      </w:pPr>
    </w:p>
    <w:p>
      <w:pPr>
        <w:jc w:val="both"/>
        <w:ind w:left="1000" w:right="299" w:hanging="348"/>
        <w:spacing w:after="0" w:line="273"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Brands are only in the early innings of establishing a consumer presence. </w:t>
      </w:r>
      <w:r>
        <w:rPr>
          <w:rFonts w:ascii="Arial" w:cs="Arial" w:eastAsia="Arial" w:hAnsi="Arial"/>
          <w:sz w:val="17"/>
          <w:szCs w:val="17"/>
          <w:color w:val="auto"/>
        </w:rPr>
        <w:t>Very few brands have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able to establish a national or regional awareness or following given state-level restrictions and federal enforcement priorities prohibiting interstate commerce. Brands also often face restrictions and are almost always restricted from selling direct to consumers, creating challenges in winning consumer loyalty and brand affinity. There are limited data sources for brands to be able to quantitatively demonstrate their reach or affinity with cannabis consumers to retailers.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Our solutions are designed to address these challenges facing cannabis consumers and businesses. The Weedmaps listings marketplace allows cannabis users to search for and browse cannabis products from retailers and brands, and ultimately reserve products from certain local retailers, in a manner similar to other technology platforms with breadth and depth of product, brand, and retailer selection (although confirmation of orders and processing of payments only occur outside the Weedmaps listings marketplace through third-party service providers directly by our clients). With the development of our WM Business SaaS solution, we offer an end-to-end platform for licensed cannabis retailers to comply with state law. We sell a monthly subscription offering as well as upsell and add-on offerings to licensed retailer clients, which include both dispensaries and delivery services. We also sell similar solutions to brand clients and other client segments such as doctors, though our revenue from these clients was less than 10% of our total revenue for the year ended March 31, 2021. We recently migrated all of our business clients from our Standard Listings subscription (which provided access to several of our SaaS solutions at no additional charge for clients with paid listings services) to our new WM Business subscription offering, which was completed by January 1, 2021. Our current solutions include:</w:t>
      </w:r>
    </w:p>
    <w:p>
      <w:pPr>
        <w:spacing w:after="0" w:line="78" w:lineRule="exact"/>
        <w:rPr>
          <w:sz w:val="20"/>
          <w:szCs w:val="20"/>
          <w:color w:val="auto"/>
        </w:rPr>
      </w:pPr>
    </w:p>
    <w:p>
      <w:pPr>
        <w:ind w:left="1000" w:right="319" w:hanging="348"/>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WM Business subscription offering. </w:t>
      </w:r>
      <w:r>
        <w:rPr>
          <w:rFonts w:ascii="Arial" w:cs="Arial" w:eastAsia="Arial" w:hAnsi="Arial"/>
          <w:sz w:val="18"/>
          <w:szCs w:val="18"/>
          <w:color w:val="auto"/>
        </w:rPr>
        <w:t>Our WM Business monthly subscription package consists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solutions, the availability of which depends on the client’s market:</w:t>
      </w:r>
    </w:p>
    <w:p>
      <w:pPr>
        <w:spacing w:after="0" w:line="62"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WM Pages</w:t>
      </w:r>
      <w:r>
        <w:rPr>
          <w:rFonts w:ascii="Arial" w:cs="Arial" w:eastAsia="Arial" w:hAnsi="Arial"/>
          <w:sz w:val="18"/>
          <w:szCs w:val="18"/>
          <w:color w:val="auto"/>
        </w:rPr>
        <w:t>. Listing page with product menu, which allows clients to disclose their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hours of operation, contact information, discount policies, and other information that may be required under applicable state law.</w:t>
      </w:r>
    </w:p>
    <w:p>
      <w:pPr>
        <w:spacing w:after="0" w:line="75" w:lineRule="exact"/>
        <w:rPr>
          <w:rFonts w:ascii="Arial" w:cs="Arial" w:eastAsia="Arial" w:hAnsi="Arial"/>
          <w:sz w:val="18"/>
          <w:szCs w:val="18"/>
          <w:color w:val="auto"/>
        </w:rPr>
      </w:pPr>
    </w:p>
    <w:p>
      <w:pPr>
        <w:jc w:val="both"/>
        <w:ind w:left="1360" w:right="319" w:hanging="348"/>
        <w:spacing w:after="0" w:line="272" w:lineRule="auto"/>
        <w:tabs>
          <w:tab w:leader="none" w:pos="1360" w:val="left"/>
        </w:tabs>
        <w:numPr>
          <w:ilvl w:val="1"/>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WM Orders. </w:t>
      </w:r>
      <w:r>
        <w:rPr>
          <w:rFonts w:ascii="Arial" w:cs="Arial" w:eastAsia="Arial" w:hAnsi="Arial"/>
          <w:sz w:val="17"/>
          <w:szCs w:val="17"/>
          <w:color w:val="auto"/>
        </w:rPr>
        <w:t>Transmission of requests for reservation of products for pick-up by consumers or</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to consumers, allowing retailers to confirm product availability (and to complete orders and process payments - both of which only occur outside the Weedmaps listings marketplace). Weedmaps serves as a passive portal, passing a consumer’s inquiry to the dispensary.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69" w:lineRule="exact"/>
        <w:rPr>
          <w:rFonts w:ascii="Arial" w:cs="Arial" w:eastAsia="Arial" w:hAnsi="Arial"/>
          <w:sz w:val="17"/>
          <w:szCs w:val="17"/>
          <w:color w:val="auto"/>
        </w:rPr>
      </w:pPr>
    </w:p>
    <w:p>
      <w:pPr>
        <w:jc w:val="both"/>
        <w:ind w:left="1360" w:right="319" w:hanging="348"/>
        <w:spacing w:after="0" w:line="263" w:lineRule="auto"/>
        <w:tabs>
          <w:tab w:leader="none" w:pos="136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WM Dispatch. </w:t>
      </w:r>
      <w:r>
        <w:rPr>
          <w:rFonts w:ascii="Arial" w:cs="Arial" w:eastAsia="Arial" w:hAnsi="Arial"/>
          <w:sz w:val="18"/>
          <w:szCs w:val="18"/>
          <w:color w:val="auto"/>
        </w:rPr>
        <w:t>Logistics and fulfillment software and driver apps, which provide tools that can be</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legally compliant delivery and tracking of product reserved online through WM Orders and real-time routing and tracking of delivery fleet.</w:t>
      </w:r>
    </w:p>
    <w:p>
      <w:pPr>
        <w:spacing w:after="0" w:line="75" w:lineRule="exact"/>
        <w:rPr>
          <w:rFonts w:ascii="Arial" w:cs="Arial" w:eastAsia="Arial" w:hAnsi="Arial"/>
          <w:sz w:val="18"/>
          <w:szCs w:val="18"/>
          <w:color w:val="auto"/>
        </w:rPr>
      </w:pPr>
    </w:p>
    <w:p>
      <w:pPr>
        <w:jc w:val="both"/>
        <w:ind w:left="1360" w:right="319" w:hanging="348"/>
        <w:spacing w:after="0" w:line="270" w:lineRule="auto"/>
        <w:tabs>
          <w:tab w:leader="none" w:pos="1360" w:val="left"/>
        </w:tabs>
        <w:numPr>
          <w:ilvl w:val="1"/>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WM Retail. </w:t>
      </w:r>
      <w:r>
        <w:rPr>
          <w:rFonts w:ascii="Arial" w:cs="Arial" w:eastAsia="Arial" w:hAnsi="Arial"/>
          <w:sz w:val="17"/>
          <w:szCs w:val="17"/>
          <w:color w:val="auto"/>
        </w:rPr>
        <w:t>Retail POS system, which provides inventory management and track-and-trace</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reporting functionality along with built-in integrations with the listing page product menu and digital product reservation functionality to stream-line workflows. Our retail POS system is available in only a limited number of markets today, including Oklahoma, Michigan, and Missouri, though we have plans to continue expanding into additional states. We also support API integrations with third-party POS providers to make the Weedmaps listings marketplace more attractive for retailers who have not yet adopted our retail POS solution, including retailers in markets where our POS is not available, to replicate the labor efficiencies of the built-in listing menu and order integrations that come with our retail POS solution.</w:t>
      </w:r>
    </w:p>
    <w:p>
      <w:pPr>
        <w:spacing w:after="0" w:line="72" w:lineRule="exact"/>
        <w:rPr>
          <w:rFonts w:ascii="Arial" w:cs="Arial" w:eastAsia="Arial" w:hAnsi="Arial"/>
          <w:sz w:val="17"/>
          <w:szCs w:val="17"/>
          <w:color w:val="auto"/>
        </w:rPr>
      </w:pPr>
    </w:p>
    <w:p>
      <w:pPr>
        <w:ind w:left="1360" w:right="319" w:hanging="348"/>
        <w:spacing w:after="0" w:line="277" w:lineRule="auto"/>
        <w:tabs>
          <w:tab w:leader="none" w:pos="136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WM Dashboard</w:t>
      </w:r>
      <w:r>
        <w:rPr>
          <w:rFonts w:ascii="Arial" w:cs="Arial" w:eastAsia="Arial" w:hAnsi="Arial"/>
          <w:sz w:val="18"/>
          <w:szCs w:val="18"/>
          <w:color w:val="auto"/>
        </w:rPr>
        <w:t>. Insights dashboard, which provides data and analytics on user engagement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traffic trends to a client’s listing page.</w:t>
      </w:r>
    </w:p>
    <w:p>
      <w:pPr>
        <w:spacing w:after="0" w:line="62" w:lineRule="exact"/>
        <w:rPr>
          <w:rFonts w:ascii="Arial" w:cs="Arial" w:eastAsia="Arial" w:hAnsi="Arial"/>
          <w:sz w:val="18"/>
          <w:szCs w:val="18"/>
          <w:color w:val="auto"/>
        </w:rPr>
      </w:pPr>
    </w:p>
    <w:p>
      <w:pPr>
        <w:jc w:val="both"/>
        <w:ind w:left="1360" w:right="319" w:hanging="348"/>
        <w:spacing w:after="0" w:line="293" w:lineRule="auto"/>
        <w:tabs>
          <w:tab w:leader="none" w:pos="1360"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WM Store. </w:t>
      </w:r>
      <w:r>
        <w:rPr>
          <w:rFonts w:ascii="Arial" w:cs="Arial" w:eastAsia="Arial" w:hAnsi="Arial"/>
          <w:sz w:val="16"/>
          <w:szCs w:val="16"/>
          <w:color w:val="auto"/>
        </w:rPr>
        <w:t>Orders and menu embed, which allows retailers to import their Weedmaps listing menu or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reservation functionality to their own white-labeled WM Store site or separately owned third party sites in a labor-efficient way to manage their online presence, inventory, and compliance workflows both on weedmaps.com and their separately branded sites. While WM Store permits consumers to reserve products, confirmation of product availability, final order entry, order fulfillment and processing of payments all take place outside of the Weedmaps listings marketplace.</w:t>
      </w:r>
    </w:p>
    <w:p>
      <w:pPr>
        <w:spacing w:after="0" w:line="56" w:lineRule="exact"/>
        <w:rPr>
          <w:rFonts w:ascii="Arial" w:cs="Arial" w:eastAsia="Arial" w:hAnsi="Arial"/>
          <w:sz w:val="16"/>
          <w:szCs w:val="16"/>
          <w:color w:val="auto"/>
        </w:rPr>
      </w:pPr>
    </w:p>
    <w:p>
      <w:pPr>
        <w:jc w:val="both"/>
        <w:ind w:left="1360" w:right="319" w:hanging="348"/>
        <w:spacing w:after="0" w:line="279" w:lineRule="auto"/>
        <w:tabs>
          <w:tab w:leader="none" w:pos="1360" w:val="left"/>
        </w:tabs>
        <w:numPr>
          <w:ilvl w:val="1"/>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WM Exchange. </w:t>
      </w:r>
      <w:r>
        <w:rPr>
          <w:rFonts w:ascii="Arial" w:cs="Arial" w:eastAsia="Arial" w:hAnsi="Arial"/>
          <w:sz w:val="17"/>
          <w:szCs w:val="17"/>
          <w:color w:val="auto"/>
        </w:rPr>
        <w:t>Access to our wholesale online exchange, which allows retailers to browse brand</w:t>
      </w:r>
      <w:r>
        <w:rPr>
          <w:rFonts w:ascii="Arial" w:cs="Arial" w:eastAsia="Arial" w:hAnsi="Arial"/>
          <w:sz w:val="17"/>
          <w:szCs w:val="17"/>
          <w:i w:val="1"/>
          <w:iCs w:val="1"/>
          <w:color w:val="auto"/>
        </w:rPr>
        <w:t xml:space="preserve"> </w:t>
      </w:r>
      <w:r>
        <w:rPr>
          <w:rFonts w:ascii="Arial" w:cs="Arial" w:eastAsia="Arial" w:hAnsi="Arial"/>
          <w:sz w:val="17"/>
          <w:szCs w:val="17"/>
          <w:color w:val="auto"/>
        </w:rPr>
        <w:t>catalogs and identify brands to obtain inventory from and brands to manage their customer relationships and wholesale operations. WM Exchange also facilitates the sharing of license information and certificates of analysis between wholesale buyers and sellers, and offers other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80" w:right="299"/>
        <w:spacing w:after="0" w:line="286" w:lineRule="auto"/>
        <w:rPr>
          <w:sz w:val="20"/>
          <w:szCs w:val="20"/>
          <w:color w:val="auto"/>
        </w:rPr>
      </w:pPr>
      <w:r>
        <w:rPr>
          <w:rFonts w:ascii="Arial" w:cs="Arial" w:eastAsia="Arial" w:hAnsi="Arial"/>
          <w:sz w:val="17"/>
          <w:szCs w:val="17"/>
          <w:color w:val="auto"/>
        </w:rPr>
        <w:t>compliance features including invoice and transportation manifest generation and recordkeeping. Our wholesale exchange is currently available in California, Oklahoma, Michigan, Maryland, Missouri, and Maine, though we have plans to continue expanding into additional states.</w:t>
      </w:r>
    </w:p>
    <w:p>
      <w:pPr>
        <w:spacing w:after="0" w:line="57" w:lineRule="exact"/>
        <w:rPr>
          <w:sz w:val="20"/>
          <w:szCs w:val="20"/>
          <w:color w:val="auto"/>
        </w:rPr>
      </w:pPr>
    </w:p>
    <w:p>
      <w:pPr>
        <w:ind w:left="1000" w:right="319" w:hanging="348"/>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offerings for subscription clients. </w:t>
      </w:r>
      <w:r>
        <w:rPr>
          <w:rFonts w:ascii="Arial" w:cs="Arial" w:eastAsia="Arial" w:hAnsi="Arial"/>
          <w:sz w:val="18"/>
          <w:szCs w:val="18"/>
          <w:color w:val="auto"/>
        </w:rPr>
        <w:t>We offer several add-on and upsell solutions only to paying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clients, including:</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Featured listings on our weedmaps.com marketplace; and</w:t>
      </w:r>
    </w:p>
    <w:p>
      <w:pPr>
        <w:spacing w:after="0" w:line="117"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Promoted deals, which allows retailers to showcase discounts (as is required by applicable law in some jurisdictions) and promotions on products to assist price-conscious consumers.</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advertising products. </w:t>
      </w:r>
      <w:r>
        <w:rPr>
          <w:rFonts w:ascii="Arial" w:cs="Arial" w:eastAsia="Arial" w:hAnsi="Arial"/>
          <w:sz w:val="18"/>
          <w:szCs w:val="18"/>
          <w:color w:val="auto"/>
        </w:rPr>
        <w:t>We also provide several a la carte advertising solutions including banner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ads and promotion tile cards on our Weedmaps listings marketplace, as well as banner ads that can be tied to keyword searches. These products provide clients with targeted ad solutions in highly visible slots across our digital surfaces.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Since our founding in 2008, we have grown to become a leading provider of technology solutions to the cannabis industry by leveraging our competitive strengths, including:</w:t>
      </w:r>
    </w:p>
    <w:p>
      <w:pPr>
        <w:spacing w:after="0" w:line="62" w:lineRule="exact"/>
        <w:rPr>
          <w:sz w:val="20"/>
          <w:szCs w:val="20"/>
          <w:color w:val="auto"/>
        </w:rPr>
      </w:pPr>
    </w:p>
    <w:p>
      <w:pPr>
        <w:jc w:val="both"/>
        <w:ind w:left="1000" w:right="319" w:hanging="348"/>
        <w:spacing w:after="0" w:line="272"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Long History as a Technology Leader Serving the Cannabis Industry. </w:t>
      </w:r>
      <w:r>
        <w:rPr>
          <w:rFonts w:ascii="Arial" w:cs="Arial" w:eastAsia="Arial" w:hAnsi="Arial"/>
          <w:sz w:val="17"/>
          <w:szCs w:val="17"/>
          <w:color w:val="auto"/>
        </w:rPr>
        <w:t>Founded in 2008, we have a long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history and established relationships with cannabis businesses and consumers, particularly in California and other more established cannabis markets. This has given us several competitive strengths, such as scale, attractive operating margins, and local insights into emerging consumer and business trends across many markets. Our policy and government relations expertise allows us to anticipate and react quickly to changes in cannabis regulations and informs all aspects of our business, including our product ideation, development and go-to-market strategies.</w:t>
      </w:r>
    </w:p>
    <w:p>
      <w:pPr>
        <w:spacing w:after="0" w:line="69" w:lineRule="exact"/>
        <w:rPr>
          <w:rFonts w:ascii="Arial" w:cs="Arial" w:eastAsia="Arial" w:hAnsi="Arial"/>
          <w:sz w:val="17"/>
          <w:szCs w:val="17"/>
          <w:color w:val="auto"/>
        </w:rPr>
      </w:pPr>
    </w:p>
    <w:p>
      <w:pPr>
        <w:jc w:val="both"/>
        <w:ind w:left="1000" w:right="299" w:hanging="348"/>
        <w:spacing w:after="0" w:line="268"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Largest Two-Sided Platform for Cannabis Businesses and Consumers. </w:t>
      </w:r>
      <w:r>
        <w:rPr>
          <w:rFonts w:ascii="Arial" w:cs="Arial" w:eastAsia="Arial" w:hAnsi="Arial"/>
          <w:sz w:val="17"/>
          <w:szCs w:val="17"/>
          <w:color w:val="auto"/>
        </w:rPr>
        <w:t>We have over nine million MAUs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 drove over fifty-three million user engagements (which we define as valuable user actions on the Weedmaps listings marketplace) as of March 31, 2021. We estimate that we have approximately 55% share of all licensed cannabis retailers across the U.S. markets we serve as paying clients on the platform. In March 2021, our users spent on average over seven minutes per session on our platform, which is higher than the eCommerce industry average. As of March 31, 2021, our Weedmaps mobile app has received 4.9 and 4.7 ratings (in each case, out of a 5.0 scale) on the Apple App Store and Google Play Store, respectively. As we continue to increase the number of users on our platform, we generate more engagements and more easily persuade our business clients to consolidate their service providers by switching to our value-priced WM Business bundled solution. As we continue to increase the number of businesses on our marketplace, we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76" w:lineRule="exact"/>
        <w:rPr>
          <w:rFonts w:ascii="Arial" w:cs="Arial" w:eastAsia="Arial" w:hAnsi="Arial"/>
          <w:sz w:val="17"/>
          <w:szCs w:val="17"/>
          <w:color w:val="auto"/>
        </w:rPr>
      </w:pPr>
    </w:p>
    <w:p>
      <w:pPr>
        <w:jc w:val="both"/>
        <w:ind w:left="1000" w:right="319" w:hanging="348"/>
        <w:spacing w:after="0" w:line="271"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The Only Fully-Integrated Business-in-a-Box SaaS Solution Specific to the Cannabis Industry.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WM Business solution enables licensed cannabis clients to comply with state law through integrated software solutions ranging from live menus, logistics and fulfillment, POS, and inventory management, and data and analytics. We believe we offer the only comprehensive software platform that allows cannabis retailers to reach their target audience, quickly and cost effectively, addressing a wide range of needs, with compliance front-of-mind.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70" w:lineRule="exact"/>
        <w:rPr>
          <w:rFonts w:ascii="Arial" w:cs="Arial" w:eastAsia="Arial" w:hAnsi="Arial"/>
          <w:sz w:val="17"/>
          <w:szCs w:val="17"/>
          <w:color w:val="auto"/>
        </w:rPr>
      </w:pPr>
    </w:p>
    <w:p>
      <w:pPr>
        <w:jc w:val="both"/>
        <w:ind w:left="1000" w:right="299" w:hanging="348"/>
        <w:spacing w:after="0" w:line="272"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and Growing Data Asset. </w:t>
      </w:r>
      <w:r>
        <w:rPr>
          <w:rFonts w:ascii="Arial" w:cs="Arial" w:eastAsia="Arial" w:hAnsi="Arial"/>
          <w:sz w:val="17"/>
          <w:szCs w:val="17"/>
          <w:color w:val="auto"/>
        </w:rPr>
        <w:t>Given our established presence, scale, and the breadth of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offerings that provide us with a high volume of retail-level information and user insights, we have a growing and unique data asset. Currently, the cannabis industry has few reliable sources of data.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86"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Ability to Innovate Rapidly and Launch New Products Efficiently at Scale. </w:t>
      </w:r>
      <w:r>
        <w:rPr>
          <w:rFonts w:ascii="Arial" w:cs="Arial" w:eastAsia="Arial" w:hAnsi="Arial"/>
          <w:sz w:val="16"/>
          <w:szCs w:val="16"/>
          <w:color w:val="auto"/>
        </w:rPr>
        <w:t>We have an agile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innovation and 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government relations and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 For example, we were able to develop our WM Store product in approximately two months using a core team of only two engineers. When we then launch these initiatives and innovations, we are well-positioned to roll them out to a ready-made and already scaled market-the clients and users on our platform.</w:t>
      </w:r>
    </w:p>
    <w:p>
      <w:pPr>
        <w:spacing w:after="0" w:line="59" w:lineRule="exact"/>
        <w:rPr>
          <w:rFonts w:ascii="Arial" w:cs="Arial" w:eastAsia="Arial" w:hAnsi="Arial"/>
          <w:sz w:val="16"/>
          <w:szCs w:val="16"/>
          <w:color w:val="auto"/>
        </w:rPr>
      </w:pPr>
    </w:p>
    <w:p>
      <w:pPr>
        <w:jc w:val="both"/>
        <w:ind w:left="1000" w:right="299" w:hanging="348"/>
        <w:spacing w:after="0" w:line="267"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Capital-Efficient Business Model with Strong Cashflow Generation. </w:t>
      </w:r>
      <w:r>
        <w:rPr>
          <w:rFonts w:ascii="Arial" w:cs="Arial" w:eastAsia="Arial" w:hAnsi="Arial"/>
          <w:sz w:val="17"/>
          <w:szCs w:val="17"/>
          <w:color w:val="auto"/>
        </w:rPr>
        <w:t>We operate a cloud-based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margin profile and high level of EBITDA converting to free cash flow while achieving our growth. From 2014 to 2020, we grew revenue at a CAGR of 35%. Over that period of time, we have expanded our gross margin rate from 92% to 95%. For 2020, our net income was $39 million and EBITDA was $43 million. For the three months ended March 31, 2021, we generated $41 million in revenue, which represented 28% growth over the prior year and 58% growth over that same period when adjusting the prior year to eliminate revenue associated with non-licensed operators in Canada that we removed from the Weedmaps listings marketplace at the end of fiscal year 2020. For the three months ended March 31, 2021, we generated net income of $8 million and EBITDA of $9 million. For further information about how we calculate EBITDA, limitations of its use and a reconciliation of EBITDA to net income, see the section entitled “Management's Discussion and Analysis of Financial Condition and Results of Operations—Key Operating and Financial Metrics-EBITDA and Adjusted EBITDA.”</w:t>
      </w:r>
    </w:p>
    <w:p>
      <w:pPr>
        <w:spacing w:after="0" w:line="83" w:lineRule="exact"/>
        <w:rPr>
          <w:rFonts w:ascii="Arial" w:cs="Arial" w:eastAsia="Arial" w:hAnsi="Arial"/>
          <w:sz w:val="17"/>
          <w:szCs w:val="17"/>
          <w:color w:val="auto"/>
        </w:rPr>
      </w:pPr>
    </w:p>
    <w:p>
      <w:pPr>
        <w:jc w:val="both"/>
        <w:ind w:left="1000" w:right="299" w:hanging="348"/>
        <w:spacing w:after="0" w:line="254"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Operationally-Focused Management Team with Deep Experience. </w:t>
      </w:r>
      <w:r>
        <w:rPr>
          <w:rFonts w:ascii="Arial" w:cs="Arial" w:eastAsia="Arial" w:hAnsi="Arial"/>
          <w:sz w:val="18"/>
          <w:szCs w:val="18"/>
          <w:color w:val="auto"/>
        </w:rPr>
        <w:t>Our executive leadership team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100 years of cumulative professional experience spanning the technology, consumer, retail, legal and financial services industries, with a track record of operational execution and driving growth. Our Chief Executive Officer, Christopher Beals, established our government relations, legal and compliance functions, built-out the senior leadership team, and developed (and led the execution of) our “business-in-a-box” strategy. We believe our deep knowledge of our end-markets and broad-based operational expertise spanning several industry sectors provides a key competitive advantage in executing against our growth strategy.</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With our leading share of cannabis consumers and businesses, we believe we are well-positioned to capitalize on underlying growth across our end-markets by executing against our strategy as follows:</w:t>
      </w:r>
    </w:p>
    <w:p>
      <w:pPr>
        <w:spacing w:after="0" w:line="62" w:lineRule="exact"/>
        <w:rPr>
          <w:sz w:val="20"/>
          <w:szCs w:val="20"/>
          <w:color w:val="auto"/>
        </w:rPr>
      </w:pPr>
    </w:p>
    <w:p>
      <w:pPr>
        <w:jc w:val="both"/>
        <w:ind w:left="1000" w:right="319" w:hanging="348"/>
        <w:spacing w:after="0" w:line="25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Two-Sided Marketplace. </w:t>
      </w:r>
      <w:r>
        <w:rPr>
          <w:rFonts w:ascii="Arial" w:cs="Arial" w:eastAsia="Arial" w:hAnsi="Arial"/>
          <w:sz w:val="18"/>
          <w:szCs w:val="18"/>
          <w:color w:val="auto"/>
        </w:rPr>
        <w:t>We intend to continue growing the number of consumers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through original content that educates, entertains, facilitates discovery of new products, increases awareness of our platform and encourages repeat usage. As we grow our users and user engagements, we can convince more businesses to increase adoption of our WM Business services through our WM Business subscription offering and additional offerings.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92075</wp:posOffset>
            </wp:positionV>
            <wp:extent cx="5014595" cy="22459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1459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1000" w:right="319" w:hanging="348"/>
        <w:spacing w:after="0" w:line="291" w:lineRule="auto"/>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Existing Markets and Enter New Markets. </w:t>
      </w:r>
      <w:r>
        <w:rPr>
          <w:rFonts w:ascii="Arial" w:cs="Arial" w:eastAsia="Arial" w:hAnsi="Arial"/>
          <w:sz w:val="16"/>
          <w:szCs w:val="16"/>
          <w:color w:val="auto"/>
        </w:rPr>
        <w:t>We have a significant opportunity to grow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 base both within existing markets that are continuing to grow and new markets as they become open to regulated cannabis. Although we are increasingly becoming a more nationally-recognized brand, we are monetizing our platform in only 23 U.S. states and territories, as of March 31, 2021. Based on our internal research, we believe the minimum level of acceptable retail density to have a healthy and functioning licensed market is a minimum of one licensed retailer per 10,000 residents. As seen below, many of the U.S. states where we operate today are still under-penetrated with low levels of licensed retail density.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157480</wp:posOffset>
            </wp:positionV>
            <wp:extent cx="4465955" cy="21259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46595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We believe that there are tremendous growth opportunities for us within our existing markets as retail licenses continue to be issued, and states move towards, and beyond, the one retail license per 10,000 people ratio. There are approximately 9,200 existing retail licenses across the United States and Canadian markets that we monetize, of which 44.1% are paying clients on our platform. Assuming no cap on the number of licenses issued or other restrictions on the number of licenses issued, if these same markets were to issue enough licenses to match a ratio of one license per 10,000 residents, approximately 12,000 new retail licenses would be issued. This may require continued liberalization of license restrictions across cities and counties within certain of our states where we do business today. With the momentum of state legalization, including a sweep of ballot initiatives in five states during the most recent election, we believe that legalization by additional states and eventually the U.S. government is inevitable. Assuming no cap on the number of licenses issued or other restrictions on the number of licenses issued, if the entire United States and Canada reached a minimum level of density of one license per 10,000 residents, we believe the total universe of retail licenses would reach approximately 37,300, which is approximately 4.0 times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current count of retail licenses in the United States and Canada as seen below.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146685</wp:posOffset>
            </wp:positionV>
            <wp:extent cx="5246370" cy="22371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4637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000" w:right="299" w:hanging="348"/>
        <w:spacing w:after="0" w:line="268"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WM Business SaaS solution and grow Gross Merchandise Value (“GMV”). </w:t>
      </w:r>
      <w:r>
        <w:rPr>
          <w:rFonts w:ascii="Arial" w:cs="Arial" w:eastAsia="Arial" w:hAnsi="Arial"/>
          <w:sz w:val="17"/>
          <w:szCs w:val="17"/>
          <w:color w:val="auto"/>
        </w:rPr>
        <w:t>We intend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expanding the functionality of our SaaS solutions through additional offerings of premium analytics, Customer Relationship Management, or CRM, and loyalty tools, among other solutions, which we intend to monetize through additional higher priced tiers within our subscription offering. We will continue to expand the availability of our POS and wholesale exchange offerings across additional states. We also are continuously improving the base-level functionality across our WM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to the extent U.S. federal regulations allow us to monetize our clients’ currently off-platform transaction activity through take-rates or payment fees, which we do not engage in today. In any particular period, we determine our total annualized run-rate GMV by adding the dollar amounts associated with all estimated transactions originating from users engaging with a retailer on the Weedmaps listings marketplace or tracked via our WM Business solutions for the final calendar month of the given period and then multiplying that amount by a factor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158750</wp:posOffset>
            </wp:positionV>
            <wp:extent cx="4732020" cy="21602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3202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59"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We take a measured approach to acquisition-related growth, preferring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selectively make strategic software acquisitions, such as our prior POS subsidiary, that complement our existing offerings. We intend to continue selectively pursuing opportunities to invest in and acquire technology offerings that allow us to accelerate our growth.</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Our direct competitors for individual components of our platform include cannabis-focused, two-sided networks like Leafly (for retailer listing pages), Dutchie and Jane Technologies (for menu embed and orders functionality), Leaflink (for B2B sales) and a variety of cannabis-focused point-of-sale providers.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and ability to facilitate compliance with the complex, disparate regulations applicable to businesses operating in the cannabis industry, breadth and trustworthiness of information available to consumers, and brand. We believe we compete favorably based on these factors.</w:t>
      </w:r>
    </w:p>
    <w:p>
      <w:pPr>
        <w:spacing w:after="0" w:line="86"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For additional information about the risks to our business related to competition, see the section entitled “Risk Factors-Risks Related to our Business and Industry—We currently face intense competition in the market, and we expect competition to further intensify as the cannabis industry continues to evolve.”</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Sales and Marketing</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sales team is primarily based out of our Irvine, California headquarters. Members of our sales team are knowledgeable about the products and add-ons that we offer, such as our Deals platform or WM Orders, and assist new and existing clients with our platform.</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believe the quality and strength of our platform is our most valuable marketing asset, the vast majority of business sales leads being inbound. Our marketing strategy, across both consumers and businesses, consists of user acquisition, brand marketing, communications and field marketing.</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Our consumer marketing efforts focus on driving awareness of the platform, acquiring new users who may be interested in the platform and increasing engagement of existing users. To augment the engagement of our platform, we employ a series of lifecycle marketing, social media and SEO tactics that have increased our direct &amp; organic traffic. Though many traditional paid marketing channels (such as broadcast television or Google search and display ads) are not available to platforms in the cannabis industry, we have been able to build a reliable network of online tactics that allow us to accelerate the growth of our consumer base at very competitive customer acquisition costs. Additionally, we seek key broad consumer opportunities to cement our place in consumers’ minds as the premier cannabis marketplace such as the recent sponsorship of the Mike Tyson vs. Roy Jones, Jr. pay-per-view fight, one of the top 10 most purchased combat sports events of all time.</w:t>
      </w:r>
    </w:p>
    <w:p>
      <w:pPr>
        <w:spacing w:after="0" w:line="7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business marketing focus is to drive awareness of the breadth of our software offering among cannabis retailers and brands, given how nascent some of our newer offerings are. We do so through direct physical and digital marketing, working with local cannabis business associations, and through lifecycle marketing with existing clients. Given the strength of our brand, we have seen strength in performance of our tactics in what is a crowded market, easing the acquisition or upsell process for our sales team.</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Social Impact</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cannabis markets that are opening (i.e. social equity licensing programs). Additionally, our policy team has drafted white papers and mock legislative provisions that are designed to support the enactment of social equity licensing programs and advocates for state and local governments to enact social equity licensing programs. We have also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Our product development efforts focus on adding new features and solutions to our platform, as well as increasing the functionality and enhancing the ease of use of our platform. While we expect research and development expenses to increase as we continue to increase the functionality of our platform, we expect our research and development expenses to remain the same percentage of total revenues.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As of March 31, 2021, we have been issued trademark registrations in the United States, Canada, Japan, the European Union and the United Kingdom. We have also been issued an international trademark registration with designation in Australia and the European Union for “Weedmaps.” As of March 31, 2021, we have pending trademark applications in the United States covering: “Weedmaps Museum of Weed” and “WMMW”, as well as a pending trademark application in the United States covering “Weedmaps” for delivery platform services. We also have pending trademark applications in Canada covering “Weedmaps” and our “wm verified logo”.</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addition to our numerous trademark applications and registrations, we have been issued copyright registrations in the United States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6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Circumstances outside our control could pose a threat to our intellectual property rights. For more information, see the section entitled “Risk Factors—Risks Related to our Business and Industry.”</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corporate headquarters is located in Irvine, California, pursuant to an operating lease that expires in 2025. We have built out a second headquarter space in Los Angeles, California, pursuant to an operating lease that expires in 2031. We lease or license additional offices in Denver, Colorado; Ontario Canada; and Barcelona, Spain.</w:t>
      </w:r>
    </w:p>
    <w:p>
      <w:pPr>
        <w:spacing w:after="0" w:line="4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believe that our current facilities are adequate to meet our ongoing needs. However, from time to time we may evaluate additional or substitute office spaces. We believe that we will be able to obtain additional facilities, as needed, on commercially reasonable terms. Additionally, we recently adopted a work from anywhere policy.</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People Operations and Human Capital Resources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 of March 31, 2021, we had 433 full-time employees and 1 part-time employee, including 176 in engineering, product and design, 179 in sales and marketing, and 79 in general and administrative and professional services. Of these employees, 420 are located in the United States, 12 are located in Canada, and two are located in Spain.</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employees who are technologically skilled and also passionate about our mission and products. We devote substantial resources to this task. Our dedicated, best-in-class Talent Acquisition team is focused on finding and attracting diverse and capable talent, and our People</w:t>
      </w:r>
    </w:p>
    <w:p>
      <w:pPr>
        <w:spacing w:after="0" w:line="2" w:lineRule="exact"/>
        <w:rPr>
          <w:sz w:val="20"/>
          <w:szCs w:val="20"/>
          <w:color w:val="auto"/>
        </w:rPr>
      </w:pPr>
    </w:p>
    <w:p>
      <w:pPr>
        <w:jc w:val="both"/>
        <w:ind w:left="300" w:right="299" w:hanging="8"/>
        <w:spacing w:after="0" w:line="255" w:lineRule="auto"/>
        <w:tabs>
          <w:tab w:leader="none" w:pos="49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Culture team is set on building a world class employer of choice for that talent once they get here. None of our employees are represented by a labor union or covered by collective bargaining agreements, and we have not experienced any work stoppages.</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United States and Territories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Notwithstanding the trend toward further state legalization, the U.S. government continues to categorize cannabis as an illegal Schedule I controlled substance, and accordingly the cultivation, processing, distribution, sale, advertisement of sale and possession by our customers violate federal law, as discussed further in the sections entitled “Risk Factors—Risks Related to our Business and Industry.”</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While the Obama and Trump administrations have had different stated policies, including the latter’s less friendly position on the industry, the U.S. federal government has not prioritized the enforcement of the CSA’s prohibition on cannabis against cannabis companies complying with the state law and their vendors for over five years.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Since 2014, versions of the U.S. omnibus spending bill have included a provision prohibiting the DOJ, which includes the Drug Enforcement Administration,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President Biden’s presidential campaign position on cannabis falls short of full legalization. According to the Biden campaign website, Biden “will decriminalize cannabis use and automatically expunge prior convictions, support the legalization of cannabis for medical purposes, leave decisions regarding legalization for recreational use up to the states, and reschedule cannabis as a CSA schedule II drug so researchers can study its positive and negative impacts.”</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Although the U.S. Attorney General could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CSA schedule II would ease certain research restrictions, it would not make the state medical or adult-use programs completely federally legal. While industry observers are hopeful that changes in Congress and the Senate, along with a Biden presidency, will increase the chances of banking reform, it is not a certainty. A number of bills would affect the legal status of cannabis banking. The Secure and Fair Enforcement (“SAFE”) Banking Act, would allow financial institutions to legally provide services to state-licensed and compliant cannabis operators, and has passed the House of Representatives but not the Senate. A number of other bills expected to be introduced or reintroduced into the 117th Congress could affect the legal status of cannabis in the United States, though whether any of them will become law is uncertain. Recently, Senators Cory Booker (D-NJ), Ron Wyden (D-OR) and Chuck Schumer (D-NY) issued a joint statement regarding comprehensive cannabis reform legislation they will be introducing in the form of a new bill in 2021. Senator Schumer specifically stated that he wants to end the federal government’s prohibition targeting marijuana and “repair the damage done to communities by the War on Drugs” through this new bill. In addition to the new bill, some previously introduced bills, or at least provisions from those bills, are expected to be reintroduced this year. For example: the Marijuana Opportunity, Reinvestment and Expungement (“MORE”) Act, which would remove cannabis entirely from the list of scheduled substances under the Controlled Substances Act and eliminate criminal penalties for manufacturing, distributing, or possessing cannabis, and among other measures would also establish certain measures for social and criminal justice and impose a federal tax on cannabis products.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Some of our retail clients sell products with CBD derived from hemp with and without THC from non-hemp cannabis. Until recently, hemp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 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December 2018, the U.S. government changed hemp’s legal status. The Agriculture Improvement Act of 2018, Pub. L. 115-334 (the “2018 Farm Bill”), removed hemp and extracts of hemp, including CBD, from the CSA schedules. Accordingly, the production, sale and possession of hemp or extracts of hemp, including certain CBD products, no longer violate the CSA. The states have implemented a patchwork of different laws on hemp and its extracts, including CBD. Additionally, the FDA claims that the Food, Drugs &amp; Cosmetics Act significantly limits the legality of hemp-derived CBD products.</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have been neither a defendant in a criminal action nor the subject of a civil or regulatory enforcement proceeding, prosecuted by a U.S. governmental authority based on our provision of products and solutions to the cannabis industry. In addition,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or ACMPR. Under the Cannabis Act, holders of licenses to cultivate and/or process cannabis are also permitted to supply cannabis under their existing licenses obtained pursuant to the ACMPR to the regulated adult-use market.</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distribution and sale of cannabis for adult use is regulated separately by each provincial and territorial government, and as such, regulatory regimes vary from jurisdiction to jurisdiction. In each of the provinces and territories, except for Saskatchewan, a provincial distributor is responsible for purchasing cannabis from producers and selling products to its regulated retail distribution channels. In addition, in each province and territory, other than Saskatchewan and Manitoba, the provincial distributor is solely responsible for online sales. With respect to retail sales of cannabis, other than online sales, the provincial and territorial regulations in Prince Edward Island, Nova Scotia, New Brunswick, Quebec, and the Northwest Territories allow only for government-run cannabis stores, while the provincial and territorial regulations in Ontario, Manitoba, Saskatchewan, Alberta and Yukon leave the retail sale of cannabis, other than online sales, to the private sector. In Newfoundland, British Columbia and Nunavut, provincial and territorial regulations allow for a hybrid model in which both public and private stores can operate.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regulations promulgated under the Cannabis Act, or the Cannabis Regulations, provide more detail on the medical and adult-use regulatory regimes for cannabis, including regarding licensing, security clearances and physical security requirements, product practices, outdoor growing, security, packaging and labelling, cannabis-containing compounds, document retention requirements, reporting and disclosure requirements, the new access to cannabis for medical purposes regime and industrial hemp regulations (both of which are substantially similar to the medical cannabis and industrial hemp regulatory regimes that existed prior to the Cannabis Act coming into force). Under the Cannabis Act and the Cannabis Regulations, Health Canada has been granted the authority to issue a wide range of licenses, including licenses for standard cultivation, micro-cultivation, industrial hemp cultivation and nursery cultivation, licenses for standard processing and micro- processing, and sales licenses.</w:t>
      </w:r>
    </w:p>
    <w:p>
      <w:pPr>
        <w:spacing w:after="0" w:line="5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Cannabis Act prohibits all cannabis promotion unless specifically authorized thereunder. Under Subsection 17(1) of the Cannabis Act, it is prohibited to promote cannabis or a cannabis accessory or any service related to cannabis, including (a) by communicating information about its price or distribution; (b) by doing so in a manner that there are reasonable grounds to believe could be appealing to young persons; (c) by means of a testimonial or endorsement, however displayed or communicated; (d) by means of the depiction of a person, character or animal, whether real or fictional; or (e) by presenting it or any of its brand elements in a manner that associates it or the brand element with, or evokes a positive or negative emotion about or image of, a way of life such as one that includes glamour, recreation, excitement, vitality, risk or daring.</w:t>
      </w:r>
    </w:p>
    <w:p>
      <w:pPr>
        <w:spacing w:after="0" w:line="70"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7"/>
          <w:szCs w:val="17"/>
          <w:color w:val="auto"/>
        </w:rPr>
        <w:t>Authorized promotions under the Cannabis Act include those by licensed businesses and others, limited to informational content or brand preference promotion. Informational promotion is promotion that contains factual information to the consumer about cannabis, cannabis accessories, and services related to cannabis, including their availability and price. Brand-preference promotion is promotion of cannabis, cannabis accessories, and services related to cannabis based on their brand characteristics. Businesses that are authorized to produce, sell or distribute cannabis under the Act may promote cannabis by means of an informational promotion or brand preference promotion so long as the person responsible for the promotion, if a telecommunication, has taken reasonable steps to ensure that the promotion cannot be accessed by a young person.</w:t>
      </w:r>
    </w:p>
    <w:p>
      <w:pPr>
        <w:spacing w:after="0" w:line="7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As discussed elsewhere in this prospectus, we believe that Section 230 provides immunity from civil and state criminal liability to internet service provider intermediaries in the United States, such as us, for content provided on their platforms that they did not create or develop. While Article 19.17.2 of the United States-Mexico-Canada Agreement (“USMCA”), which became effective on July 1, 2020, contains language which is similar to Section 230(c)(1) of the Communications Decency Act, there is currently no statutory equivalent to Section 230 in Canada. While the case law in Canada on this point is not extensive, however, we believe that courts in Canada have tended to exclude digital platforms in Canada, such as us, from aiding-and-abetting liability for publishing third-party content on their platforms where the platform providers act as “mere conduits” for the content. For additional information, see the section entitled “Risk Factors—Risks Related to our Business and Industry.” We do not create or develop the information that appears in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7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not been a defendant in a criminal action, nor have we been the subject of a civil or regulatory enforcement proceeding, prosecuted by a Canadian governmental authority based on our provision of products and solutions to the cannabis industry.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 of the World</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that product is legally permissible.</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September 2019, we received a grand jury subpoena from the U.S. Attorney’s Office for the Eastern District of California, requiring the production of a broad range of documents related to our business, personnel, finances and operations, including documents related to our dealings with various companies in the cannabis industry. We are fully cooperating with the inquiry.</w:t>
      </w:r>
    </w:p>
    <w:p>
      <w:pPr>
        <w:spacing w:after="0" w:line="79"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Based on our discussions with the U.S. Attorney’s Office since we received the subpoena, we believe the primary focus of their investigation is on our relationships in 2019 with cannabis retailers in California who may not have been properly licensed under state law at the time they were advertising on our platform. In August 2019, prior to receiving the subpoena, and following collaborative discussions with the California Bureau of Cannabis Control, we announced that we would remove from the platform any remaining California retailers who failed to provide us with information demonstrating a valid cannabis license. That was accomplished by the end of 2019. We currently require that all operational cannabis retailers on the platform provide license information.</w:t>
      </w:r>
    </w:p>
    <w:p>
      <w:pPr>
        <w:spacing w:after="0" w:line="5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As of December 31, 2020, the U.S. Attorney’s Office investigation has not been resolved. In our dialogue with the U.S. Attorney’s Office, we have had productive discussions about a potential resolution, but no agreement has been reached. Following an initial production of documents in November 2019, further productions responsive to the subpoena have been postponed pending discussions about resolving the matter.</w:t>
      </w:r>
    </w:p>
    <w:p>
      <w:pPr>
        <w:spacing w:after="0" w:line="63"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recent election of Joe Biden will likely result in a change in leadership at the U.S. Attorney’s Office for the Eastern District of California, which may delay any resolution of this investigation. In addition, the Department of Justice in a Biden administration may have different priorities relating to companies that serve the cannabis industry, and may issue new guidance on the exercise of prosecutorial discretion in such cases.</w:t>
      </w:r>
    </w:p>
    <w:p>
      <w:pPr>
        <w:spacing w:after="0" w:line="6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sets forth the names, ages and positions (as of June 30, 2021) of our directors and executive officers: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620" w:type="dxa"/>
            <w:vAlign w:val="bottom"/>
          </w:tcPr>
          <w:p>
            <w:pPr>
              <w:ind w:left="256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r>
        <w:trPr>
          <w:trHeight w:val="311"/>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4"/>
                <w:szCs w:val="24"/>
                <w:color w:val="auto"/>
              </w:rPr>
            </w:pP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Christopher Beals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Camire</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Counsel and Secretary</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Technology Officer and Chief Information Officer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Juanjo Feijoo</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20" w:type="dxa"/>
            <w:vAlign w:val="bottom"/>
            <w:shd w:val="clear" w:color="auto" w:fill="CCEEFF"/>
          </w:tcPr>
          <w:p>
            <w:pPr>
              <w:spacing w:after="0"/>
              <w:rPr>
                <w:sz w:val="24"/>
                <w:szCs w:val="24"/>
                <w:color w:val="auto"/>
              </w:rPr>
            </w:pP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20" w:type="dxa"/>
            <w:vAlign w:val="bottom"/>
          </w:tcPr>
          <w:p>
            <w:pPr>
              <w:spacing w:after="0"/>
              <w:rPr>
                <w:sz w:val="23"/>
                <w:szCs w:val="23"/>
                <w:color w:val="auto"/>
              </w:rPr>
            </w:pP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Tony Aquila</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Douglas Francis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Founder and Director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Brenda Freeman</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Olga Gonzalez</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Scott Gordon</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Justin Hartfield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Founder and Director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270"/>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Fiona Tan</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23"/>
                <w:szCs w:val="23"/>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54"/>
        </w:trPr>
        <w:tc>
          <w:tcPr>
            <w:tcW w:w="2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-3102610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-3102610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 xml:space="preserve">Christopher Beals. </w:t>
      </w:r>
      <w:r>
        <w:rPr>
          <w:rFonts w:ascii="Arial" w:cs="Arial" w:eastAsia="Arial" w:hAnsi="Arial"/>
          <w:sz w:val="16"/>
          <w:szCs w:val="16"/>
          <w:color w:val="auto"/>
        </w:rPr>
        <w:t>Mr. Beals has served as our Chief Executive Officer and as a member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June 2021. Mr. Beals served as Legacy WMH’s Chief Executive Officer from March 2019 to June 2021 and as a member of its board of managers since October 2015. Mr. Beals previously served as Legacy WMH’s General Counsel from September 2015, and Legacy WMH’s President from February 2016 to March 2019. Mr. Beals previously served as Senior Vice President of Colbeck Capital Management from December 2014 to August 2015 and Senior Corporate Counsel &amp; Data Privacy Officer at T-Systems International GmbH from February 2013 to December 2014. He also previously worked as an associate at Davis Polk &amp; Wardwell LLP and Covington &amp; Burling LLP. Mr. Beals holds a B.S. in Systems Engineering and a B.A. in Economics from the University of Pennsylvania and a J.D. from the University of Pennsylvania Law School.</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i w:val="1"/>
          <w:iCs w:val="1"/>
          <w:color w:val="auto"/>
        </w:rPr>
        <w:t xml:space="preserve">Brian Camire. </w:t>
      </w:r>
      <w:r>
        <w:rPr>
          <w:rFonts w:ascii="Arial" w:cs="Arial" w:eastAsia="Arial" w:hAnsi="Arial"/>
          <w:sz w:val="18"/>
          <w:szCs w:val="18"/>
          <w:color w:val="auto"/>
        </w:rPr>
        <w:t>Mr. Camire has served as our General Counsel and Secretary since June 2021. Mr. Camire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8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 xml:space="preserve">Justin Dean. </w:t>
      </w:r>
      <w:r>
        <w:rPr>
          <w:rFonts w:ascii="Arial" w:cs="Arial" w:eastAsia="Arial" w:hAnsi="Arial"/>
          <w:sz w:val="17"/>
          <w:szCs w:val="17"/>
          <w:color w:val="auto"/>
        </w:rPr>
        <w:t>Mr. Dean has served as our Chief Technology Officer and Chief Information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June 2021. Mr. Dean served as Legacy WMH’s Chief Technology Officer from December 2019 to June 2021 and Chief Information Officer since November 2018. He previously served as the Senior Vice President of Technology and Head of Infrastructure and Platform at Ticketmaster from February 2015 to November 2018, Vice President of Global Infrastructure and Head of Technical Operations at Shopzilla (formerly Bizrate) from January 2007 to February 2015 and Vice President of Information Technology at B3 Corp from 2002 to 2007. Mr. Dean started his career in technology while serving as a Network Systems Engineer in the U.S. Marine Corps from October 1995 to October 1999 and then went on to serve in senior technical architecture roles at National Realty Trust and Compuware (assigned to Sempra Energy).</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 xml:space="preserve">Juanjo Feijoo. </w:t>
      </w:r>
      <w:r>
        <w:rPr>
          <w:rFonts w:ascii="Arial" w:cs="Arial" w:eastAsia="Arial" w:hAnsi="Arial"/>
          <w:sz w:val="18"/>
          <w:szCs w:val="18"/>
          <w:color w:val="auto"/>
        </w:rPr>
        <w:t>Mr. Feijoo has served as our Chief Operating Officer since July 2021 and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Officer from June 2021 to July 2021. Mr. Feijoo served as Legacy WMH’s Chief Marketing Officer from May 2019 to June 2021. Previously, Mr. Feijoo served as Senior Director of Customer Engagement for Creative Cloud at Adobe, a publicly-held global technology company, from 2017 to 2019. Prior to that, from 2015 to 2017, Mr. Feijoo served</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various roles at Maplebear inc (d/b/a Instacart), a private company, including Vice President of Central Operations &amp; 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 xml:space="preserve">Arden Lee. </w:t>
      </w:r>
      <w:r>
        <w:rPr>
          <w:rFonts w:ascii="Arial" w:cs="Arial" w:eastAsia="Arial" w:hAnsi="Arial"/>
          <w:sz w:val="18"/>
          <w:szCs w:val="18"/>
          <w:color w:val="auto"/>
        </w:rPr>
        <w:t>Mr. Lee served as our Chief Financial Officer since June 2021. Mr. Lee served as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February 2019 to June 2021. Prior to joining Legacy WMH, Mr. Lee was the Vice President of Global Business Planning at Nike, Inc. from December 2016 to July 2018 and previously worked at Goldman Sachs &amp; Co. from April 2007 to November 2016, most recently holding the position of Managing Director of Investment Banking. Mr. Lee also previously served as Vice President, Investment Banking at Citigroup, Inc. and Vice President, Mergers and Acquisitions at Deutsche Bank Securities. He holds an A.B. in Economics from Princeton University.</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Tony Aquila</w:t>
      </w:r>
      <w:r>
        <w:rPr>
          <w:rFonts w:ascii="Arial" w:cs="Arial" w:eastAsia="Arial" w:hAnsi="Arial"/>
          <w:sz w:val="17"/>
          <w:szCs w:val="17"/>
          <w:color w:val="auto"/>
        </w:rPr>
        <w:t>. Mr. Aquila has served as a member of our board of directors since June 2021. In June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Aquila founded AFV Partners, an affirmative low-leverage capital vehicle that invests in long-term mission critical software, data and technology businesses and serves as its Chairman and Chief Executive Officer since its founding. In 2005, Mr. Aquila founded Solera Holdings Inc., and led it as Chairman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currently serves as the Chairman for Aircraft Performance Group, LLC, a global provider of mission critical flight operations software, since January 2020, RocketRoute Limited, global aviation services company, since March 2020, APG Avionics LLC, an aviation data and software company for the general aviation market, since September 2020 and Canoo Inc., a mobility technology company, since December 2020. From November 2018 to July 2020, Mr. Aquila served as the Global Chairman of Sportradar Group, a sports data and content company.</w:t>
      </w:r>
    </w:p>
    <w:p>
      <w:pPr>
        <w:spacing w:after="0" w:line="7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Douglas Francis</w:t>
      </w:r>
      <w:r>
        <w:rPr>
          <w:rFonts w:ascii="Arial" w:cs="Arial" w:eastAsia="Arial" w:hAnsi="Arial"/>
          <w:sz w:val="16"/>
          <w:szCs w:val="16"/>
          <w:color w:val="auto"/>
        </w:rPr>
        <w:t>. Mr. Francis has served as a member of our board of directors since June 2021. Mr. Francis is</w:t>
      </w:r>
      <w:r>
        <w:rPr>
          <w:rFonts w:ascii="Arial" w:cs="Arial" w:eastAsia="Arial" w:hAnsi="Arial"/>
          <w:sz w:val="16"/>
          <w:szCs w:val="16"/>
          <w:i w:val="1"/>
          <w:iCs w:val="1"/>
          <w:color w:val="auto"/>
        </w:rPr>
        <w:t xml:space="preserve"> </w:t>
      </w:r>
      <w:r>
        <w:rPr>
          <w:rFonts w:ascii="Arial" w:cs="Arial" w:eastAsia="Arial" w:hAnsi="Arial"/>
          <w:sz w:val="16"/>
          <w:szCs w:val="16"/>
          <w:color w:val="auto"/>
        </w:rPr>
        <w:t>a co-founder of Legacy WMH, and served as chairman of Legacy WMH’s board of managers since March 2019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5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i w:val="1"/>
          <w:iCs w:val="1"/>
          <w:color w:val="auto"/>
        </w:rPr>
        <w:t>Brenda Freeman</w:t>
      </w:r>
      <w:r>
        <w:rPr>
          <w:rFonts w:ascii="Arial" w:cs="Arial" w:eastAsia="Arial" w:hAnsi="Arial"/>
          <w:sz w:val="17"/>
          <w:szCs w:val="17"/>
          <w:color w:val="auto"/>
        </w:rPr>
        <w:t>. Ms. Freeman has served as a member of our board of directors since June 2021.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2020, Ms. Freeman has served as Chief Executive Officer for Arteza, Inc., a direct-to-consumer arts and crafts manufacturing and supply company. Ms. Freeman founded and has served as President of Joyeux Advisory Group LLC, a firm providing advisory services to early-stage startups and Fortune 500 companies, since January 2018.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Ms. Freeman has been a member of the boards of directors of Blue Apron Holdings, Inc. since October 2020, of Caleres, Inc. since April 2017 and of Avnet, Inc. since November 2018. Ms. Freeman previously served on the board of directors of Herman Miller, Inc. from January 2016 to June 2019 and on the board of directors of RTW Retailwinds, Inc. from April 2019 to April 2020. Previously, Ms. Freeman served as Chief Marketing Officer at Turner Broadcasting Systems, Inc. and was Vice President, television marketing at DreamWorks Animation SKG Inc. Ms. Freeman holds a B.S. degree in chemical engineering and an M.B.A degree from the University of Maryland.</w:t>
      </w:r>
    </w:p>
    <w:p>
      <w:pPr>
        <w:spacing w:after="0" w:line="76"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i w:val="1"/>
          <w:iCs w:val="1"/>
          <w:color w:val="auto"/>
        </w:rPr>
        <w:t>Olga Gonzalez</w:t>
      </w:r>
      <w:r>
        <w:rPr>
          <w:rFonts w:ascii="Arial" w:cs="Arial" w:eastAsia="Arial" w:hAnsi="Arial"/>
          <w:sz w:val="18"/>
          <w:szCs w:val="18"/>
          <w:color w:val="auto"/>
        </w:rPr>
        <w:t>. Ms. Gonzalez has served as a member of our board of directors since June 2021.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2021, Ms. Gonzalez has served as Global Business Leader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Prior to that, Ms. Gonzalez had served as Director, Internal Audit at General Motors Company from 2006 to 2010 and from 1996 to 2004, Vice President, Enterprise Risk and Assurance Services at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 xml:space="preserve">Scott Gordon. </w:t>
      </w:r>
      <w:r>
        <w:rPr>
          <w:rFonts w:ascii="Arial" w:cs="Arial" w:eastAsia="Arial" w:hAnsi="Arial"/>
          <w:sz w:val="16"/>
          <w:szCs w:val="16"/>
          <w:color w:val="auto"/>
        </w:rPr>
        <w:t>Mr. Gordon has served as a member of our board of directors since June 2021. Mr. Gordon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the Chairman of Silver Spike’s board of directors and has served as its Chief Executive Officer since its inception.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p>
      <w:pPr>
        <w:spacing w:after="0" w:line="6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i w:val="1"/>
          <w:iCs w:val="1"/>
          <w:color w:val="auto"/>
        </w:rPr>
        <w:t>Justin Hartfield</w:t>
      </w:r>
      <w:r>
        <w:rPr>
          <w:rFonts w:ascii="Arial" w:cs="Arial" w:eastAsia="Arial" w:hAnsi="Arial"/>
          <w:sz w:val="17"/>
          <w:szCs w:val="17"/>
          <w:color w:val="auto"/>
        </w:rPr>
        <w:t>. Mr. Hartfield has served as a member of our board of directors since June 2021. Mr. Hartfield</w:t>
      </w:r>
      <w:r>
        <w:rPr>
          <w:rFonts w:ascii="Arial" w:cs="Arial" w:eastAsia="Arial" w:hAnsi="Arial"/>
          <w:sz w:val="17"/>
          <w:szCs w:val="17"/>
          <w:i w:val="1"/>
          <w:iCs w:val="1"/>
          <w:color w:val="auto"/>
        </w:rPr>
        <w:t xml:space="preserve"> </w:t>
      </w:r>
      <w:r>
        <w:rPr>
          <w:rFonts w:ascii="Arial" w:cs="Arial" w:eastAsia="Arial" w:hAnsi="Arial"/>
          <w:sz w:val="17"/>
          <w:szCs w:val="17"/>
          <w:color w:val="auto"/>
        </w:rPr>
        <w:t>is a co-founder of Legacy WMH, and served as a member of Legacy WMH’s board of managers since inception and served as Legacy WMH’s chairman of the board from February 2016 to March 2019. Previously, Mr. Hartfield served as Legacy WMH’s Chief Executive Officer until February 2016. Mr. Hartfield holds a B.S. in Computer and Information Sciences and Supportive Services from the University of California, Irvine.</w:t>
      </w:r>
    </w:p>
    <w:p>
      <w:pPr>
        <w:spacing w:after="0" w:line="6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Fiona Tan</w:t>
      </w:r>
      <w:r>
        <w:rPr>
          <w:rFonts w:ascii="Arial" w:cs="Arial" w:eastAsia="Arial" w:hAnsi="Arial"/>
          <w:sz w:val="17"/>
          <w:szCs w:val="17"/>
          <w:color w:val="auto"/>
        </w:rPr>
        <w:t>. Ms. Tan has served as a member of our board of directors since June 2021. Since September 2020,</w:t>
      </w:r>
      <w:r>
        <w:rPr>
          <w:rFonts w:ascii="Arial" w:cs="Arial" w:eastAsia="Arial" w:hAnsi="Arial"/>
          <w:sz w:val="17"/>
          <w:szCs w:val="17"/>
          <w:i w:val="1"/>
          <w:iCs w:val="1"/>
          <w:color w:val="auto"/>
        </w:rPr>
        <w:t xml:space="preserve"> </w:t>
      </w:r>
      <w:r>
        <w:rPr>
          <w:rFonts w:ascii="Arial" w:cs="Arial" w:eastAsia="Arial" w:hAnsi="Arial"/>
          <w:sz w:val="17"/>
          <w:szCs w:val="17"/>
          <w:color w:val="auto"/>
        </w:rPr>
        <w:t>Ms. Tan has served as Global Head of Customer and Supplier Technology for Wayfair LLC. Prior to that Ms. Tan held various leadership positions at Walmart Inc., including Head of Technology, Walmart US from March 2019 to September 2020, Senior Vice President, Engineering, Customer Technology, WalmartLabs from January 2017 to March 2019 and Vice President, Engineering, International Markets, WalmartLabs Strategy, and Operations from April 2014 to January 2017. Prior to that Ms. Tan was Vice President, Engineering for Ariba, Inc. Ms. Tan also previously worked for 16 years at TIBCO Software, Inc., as well as for Oracle Corporation. Ms. Tan holds an M.S. in Computer Science from Stanford University and a B.S. in Computer Science and Engineering from the Massachusetts Institute of Technology.</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business and affairs are organized under the direction of our board of directors. Our board of directors consists of eight members. In addition, there is one vacancy on our board directors, which such vacancy will be filled by an affirmative vote of a majority of our board directors. The Chair of our board of directors is Christopher Beals. The primary responsibilities of our board of directors is to provide oversight, strategic guidance, counseling and direction to our management. Our board of directors meet on a regular basis and additionally as required.</w:t>
      </w:r>
    </w:p>
    <w:p>
      <w:pPr>
        <w:spacing w:after="0" w:line="53"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In accordance with the terms of our charter, our board of directors is divided into three classes, Class I, Class II and Class III, with only one class of directors being elected in each year and each class serving a three-year term. There is no cumulative voting with respect to the election of directors, with the result that the holders of more than 50% of the shares voted for the election of directors can elect all of the directors.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is divided into the following classes:</w:t>
      </w:r>
    </w:p>
    <w:p>
      <w:pPr>
        <w:spacing w:after="0" w:line="117" w:lineRule="exact"/>
        <w:rPr>
          <w:sz w:val="20"/>
          <w:szCs w:val="20"/>
          <w:color w:val="auto"/>
        </w:rPr>
      </w:pPr>
    </w:p>
    <w:p>
      <w:pPr>
        <w:ind w:left="1000" w:right="31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Class I, which consists of Mr. Beals, Ms. Tan and one vacancy, whose terms will expire at our first annual meeting of stockholders to be held after the Business Combination;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Class II, which consists of Mr. Aquila, Mses. Gonzalez and Freeman, whose terms will expire at our second annual meeting of stockholders to be held after the Business Combination;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Class III, which consists of Messrs. Francis, Gordon, and Hartfield, whose terms will expire at our third annual meeting of stockholders to be held after the Business Combination.</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Our board of directors determined that each of the directors on our board of directors other than Messrs. Beals, Hartfield and Mr. Francis are independent directors, as defined under the listing rules of The Nasdaq Stock Market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LLC (the “Nasdaq listing rules”), and our board of directors consists of a majority of “independent directors,” as defined under the rules of the SEC and Nasdaq listing rules relating to director independence requirements. In addition, we are subject to the rules of the SEC and Nasdaq relating to the membership, qualifications and operations of the audit committee, as discussed below.</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Lead Independent Director</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Christopher Beals, our Chief Executive Officer, serves as Chair of our board of directors. Mr. Beals is not “independent” as defined under the applicable rules and regulations of the SEC and the listing requirements and rules of Nasdaq. Our corporate governance guidelines provide that one of our independent directors may serve as the lead independent director at any time that Mr. Beals or anyone else who is not an independent director is serving as the Chair of our board of directors. The independent directors of our board of directors appointed Ms. Freeman to serve as our lead independent director. As lead independent director, Ms. Freeman presides over periodic meetings of our independent directors (including at any meetings of our board of directors where the Chair is not present) and coordinate certain activities of the independent directors.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established an audit committee, a compensation committee and a nominating and corporate governance committee. Our board of directors adopted a charter for each of these committees, which complies with the applicable requirements of current Nasdaq rules. We intend to comply with future requirements to the extent they will be applicable to us. Copies of the charters for each committee are available on the investor relations portion of our website.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audit committee consists of Mses. Gonzalez, Freeman and Mr. Gordon. Our board of directors has determined that each of the members of the audit committee satisfy the independence requirements of Nasdaq and Rule 10A-3 under the Exchange Act. Each member of the audit committee can read and understand fundamental financial statements in accordance with Nasdaq audit committee requirements. In arriving at this determination, our board of directors examined each audit committee member’s scope of experience and the nature of their prior and/or current employment.</w:t>
      </w:r>
    </w:p>
    <w:p>
      <w:pPr>
        <w:spacing w:after="0" w:line="8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named Ms. Gonzalez as the chair of the audit committee. Our board of directors determined that Ms. Gonzalez qualifies as an audit committee financial expert within the meaning of SEC regulations and meets the financial sophistication requirements of Nasdaq listing rules. In making this determination, our board of directors considered Ms. Gonzalez’s formal education and previous experience in financial roles. Both our independent registered public accounting firm and management periodically will meet privately with our audit committee.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000" w:hanging="348"/>
        <w:spacing w:after="0"/>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approve the hiring, discharging and compensation of our independent registered public accounting firm;</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 the work of our independent registered public accounting firm;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approve engagements of the independent registered public accounting firm to render any audit or permissible non-audit services;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the qualifications, independence and performance of the independent registered public accounting firm;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our financial statements and review our critical accounting policies and estimates;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and approve related party transactions and any exchanges of Units pursuant to the exchange agreement that are proposed to be settled in cash;</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registered public accounting firm the results of our annual audit, our quarterly financial statements and our publicly filed reports.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compensation committee consists of Messrs. Aquila and Gordon. We named Mr. Aquila as our chair of the compensation committee. Our board of directors has determined that each of the members of the compensation committee is a non-employee director, as defined in Rule 16b-3 promulgated under the Exchange Act and satisfies the independence requirements of Nasdaq.</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the committee include, among other things:</w:t>
      </w:r>
    </w:p>
    <w:p>
      <w:pPr>
        <w:spacing w:after="0" w:line="117" w:lineRule="exact"/>
        <w:rPr>
          <w:sz w:val="20"/>
          <w:szCs w:val="20"/>
          <w:color w:val="auto"/>
        </w:rPr>
      </w:pPr>
    </w:p>
    <w:p>
      <w:pPr>
        <w:ind w:left="1000" w:hanging="348"/>
        <w:spacing w:after="0"/>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 and recommend policies relating to compensation and benefits of our officers and employees;</w:t>
      </w:r>
    </w:p>
    <w:p>
      <w:pPr>
        <w:spacing w:after="0" w:line="12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our chief executive officer and other senior officers;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evaluate the performance of our officers in light of established goals and objectives;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recommend compensation of our officers based on its evaluations;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Governance Committee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nominating and corporate governance committee consists of Mses. Tan and Freeman. Ms. Freeman serves as the chair of the nominating and corporate governance committee. Our board of directors has determined that each of the members of our nominating and corporate governance committee satisfies the independence requirements of Nasdaq.</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000" w:right="299" w:hanging="348"/>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our board of directors and its committees;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assess the performance of members of our board of directors and make recommendations regarding committee and chair assignments;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recommend desired qualifications for board of directors membership and conduct searches for potential members of our board of directors;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expects to review director compensation periodically to ensure that director compensation remains competitive such that we are able to recruit and retain qualified directors. We developed a board of directors’ compensation program that is designed to align compensation with our business objectives and the creation of stockholder value, while enabling us to attract, retain, incentivize and reward directors who contribute to our long-term success.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Our board of directors adopted a Code of Business Conduct and Ethics (the “Code of Conduct”), applicable to all of our employees, executive officers and directors. The Code of Conduct is available on our website at ir.weedmaps.com. Information contained on or accessible through our website is not a part of this prospectus, and the inclusion of our website address in this prospectus is an inactive textual reference only.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None of the intended members of our compensation committee has ever been our executive officer or employee. None of our executive officers currently serve, or has served during the last completed fiscal year, on the compensation committee or board of directors of any other entity that has one or more executive officers that will serve as a member of our board of directors or compensation committee.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charter eliminated our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our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charter requires us to indemnify and advance expenses to, to the fullest extent permitted by applicable law, our directors, officers and agents. We maintain a directors’ and officers’ insurance policy pursuant to which our directors and officers are insured against liability for actions taken in their capacities as directors and officers. Finally, our charter prohibits any retroactive changes to the rights or protections or increase the liability of any director in effect at the time of the alleged occurrence of any act or omission to act giving rise to liability or indemnification.</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believe these provisions in our charter are necessary to attract and retain qualified persons as our directors and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Our named executive officers, including our principal executive officer and the next two most highly compensated executive officers, as of December 31, 2020, were:</w:t>
      </w:r>
    </w:p>
    <w:p>
      <w:pPr>
        <w:spacing w:after="0" w:line="62" w:lineRule="exact"/>
        <w:rPr>
          <w:sz w:val="20"/>
          <w:szCs w:val="20"/>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Christopher Beals, Chief Executive Officer and manager;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Justin Dean, Chief Technology Officer and Chief Information Officer;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Steven Jung, President and Chief Operating Officer.</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or paid to our named executive officers with respect to December 31, 2020.</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Non-Equity</w:t>
            </w: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780" w:type="dxa"/>
            <w:vAlign w:val="bottom"/>
            <w:gridSpan w:val="2"/>
            <w:vMerge w:val="continue"/>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Incentive Plan</w:t>
            </w:r>
          </w:p>
        </w:tc>
        <w:tc>
          <w:tcPr>
            <w:tcW w:w="1080" w:type="dxa"/>
            <w:vAlign w:val="bottom"/>
            <w:gridSpan w:val="2"/>
            <w:vMerge w:val="continue"/>
          </w:tcPr>
          <w:p>
            <w:pPr>
              <w:spacing w:after="0"/>
              <w:rPr>
                <w:sz w:val="12"/>
                <w:szCs w:val="12"/>
                <w:color w:val="auto"/>
              </w:rPr>
            </w:pPr>
          </w:p>
        </w:tc>
        <w:tc>
          <w:tcPr>
            <w:tcW w:w="7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9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57"/>
              <w:spacing w:after="0" w:line="2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1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600,000</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8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475,000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190,000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718,119</w:t>
            </w:r>
          </w:p>
        </w:tc>
        <w:tc>
          <w:tcPr>
            <w:tcW w:w="180" w:type="dxa"/>
            <w:vAlign w:val="bottom"/>
          </w:tcPr>
          <w:p>
            <w:pPr>
              <w:spacing w:after="0"/>
              <w:rPr>
                <w:sz w:val="22"/>
                <w:szCs w:val="22"/>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9"/>
              <w:spacing w:after="0"/>
              <w:rPr>
                <w:sz w:val="20"/>
                <w:szCs w:val="20"/>
                <w:color w:val="auto"/>
              </w:rPr>
            </w:pPr>
            <w:r>
              <w:rPr>
                <w:rFonts w:ascii="Arial" w:cs="Arial" w:eastAsia="Arial" w:hAnsi="Arial"/>
                <w:sz w:val="18"/>
                <w:szCs w:val="18"/>
                <w:color w:val="auto"/>
              </w:rPr>
              <w:t>24,940</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1,408,059</w:t>
            </w:r>
          </w:p>
        </w:tc>
        <w:tc>
          <w:tcPr>
            <w:tcW w:w="0" w:type="dxa"/>
            <w:vAlign w:val="bottom"/>
          </w:tcPr>
          <w:p>
            <w:pPr>
              <w:spacing w:after="0"/>
              <w:rPr>
                <w:sz w:val="1"/>
                <w:szCs w:val="1"/>
                <w:color w:val="auto"/>
              </w:rPr>
            </w:pPr>
          </w:p>
        </w:tc>
      </w:tr>
      <w:tr>
        <w:trPr>
          <w:trHeight w:val="216"/>
        </w:trPr>
        <w:tc>
          <w:tcPr>
            <w:tcW w:w="31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Technology Officer and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Information Officer</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Jung</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550,962</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697,200</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1,248,162</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w w:val="99"/>
              </w:rPr>
              <w:t xml:space="preserve">President and Chief </w:t>
            </w:r>
            <w:r>
              <w:rPr>
                <w:rFonts w:ascii="Arial" w:cs="Arial" w:eastAsia="Arial" w:hAnsi="Arial"/>
                <w:sz w:val="18"/>
                <w:szCs w:val="18"/>
                <w:color w:val="auto"/>
                <w:w w:val="99"/>
              </w:rPr>
              <w:t>Operating</w:t>
            </w:r>
            <w:r>
              <w:rPr>
                <w:rFonts w:ascii="Arial" w:cs="Arial" w:eastAsia="Arial" w:hAnsi="Arial"/>
                <w:sz w:val="18"/>
                <w:szCs w:val="18"/>
                <w:i w:val="1"/>
                <w:iCs w:val="1"/>
                <w:color w:val="auto"/>
                <w:w w:val="99"/>
              </w:rPr>
              <w:t xml:space="preserve"> Officer</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-1182370</wp:posOffset>
            </wp:positionV>
            <wp:extent cx="1200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-1182370</wp:posOffset>
            </wp:positionV>
            <wp:extent cx="1200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-1182370</wp:posOffset>
            </wp:positionV>
            <wp:extent cx="1200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-1182370</wp:posOffset>
            </wp:positionV>
            <wp:extent cx="1200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-1182370</wp:posOffset>
            </wp:positionV>
            <wp:extent cx="1200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-1182370</wp:posOffset>
            </wp:positionV>
            <wp:extent cx="1200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represent performance-based, discretionary bonuses.</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reflect the grant date fair value of equity awards granted in 2020, in accordance with ASC 718. For information regarding assumptions underlying the value of equity awards, see Note 8 to our financial statements included elsewhere in this prospectus.</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represent (a) group term life insurance premiums in excess of the broad-based benefit level and (b) with respect to Mr. Dean, $24,604 for a housing allowance.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For 2020, the compensation programs for our named executive officers consisted of base salary and incentive compensation delivered in the form of Plan Units.</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Base salary is set at a level that is intended to reflect the executive’s duties, authorities, contributions, prior experience and performance.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Bonus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We do not have a formal arrangement with our named executive officers providing for annual cash bonus awards. However, we have at times provided cash bonuses to certain members of our executive team on an ad hoc basis as deemed appropriate, in the form of spot bonuses or for achievement of certain milestones.</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equity award program is the primary vehicle for offering long-term incentives to our executives. We believe that equity awards provide our executives with a strong link to long-term performance, create an ownership culture and help to align the interests of our executives and members. To date, we have used profits interests for this purpose. We believe that our equity awards are an important retention tool for our executive officers, as well as for our other employees. We award equity awards broadly to our employees, including to our non-executive employees.</w:t>
      </w:r>
    </w:p>
    <w:p>
      <w:pPr>
        <w:spacing w:after="0" w:line="5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Prior to the Business Combination, all of the equity awards Legacy WMH has granted were made pursuant to the 2018 Plan. The terms of our equity plans are described under the section titled “-Employee Benefit Plans”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provide benefits to our named executive officers on the same basis as provided to all of our employees, including health, dental and vision insurance; life insurance; accidental death and dismemberment insurance; disability insurance; and a tax-qualified Section 401(k) plan. We do not maintain any executive-specific benefit or executive perquisite programs.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maintain a tax-qualified retirement plan that provides our employees, including our named executive officers, who satisfy certain eligibility requirements with an opportunity to save for retirement on a tax advantaged basis. Eligible employees are able to participate in the 401(k) plan as of the first day of the month following the date they complete three months of employment and participants are able to defer, either on a pre-tax basis or on an after-tax (Roth) basis through contributions to the 401(k) plan, up to 90% of their eligible compensation, but within the limits prescribed by the Code. All participants’ interests in their deferrals are 100% vested when contributed. Under the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Employment Arrangements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Christopher Beals</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Mr. Beals previously entered into an offer letter with Ghost Management Group, LLC, dated July 31, 2015. Mr. Beals’s current annual base salary is $600,000. If Mr. Beals’s employment is terminated by us other than for cause, Mr. Beals will be eligible to receive continued payment of his base salary for a period of three months, a prorated bonus for any partial year of employment for the year in which employment termination occurs, and company-paid premiums for COBRA continuation coverage for up to six months. Mr. Beals also is eligible to participate in the employee benefit plans generally available to our employees and maintained by us.</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Justin Dean</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Dean previously entered into an offer letter with Ghost Management Group, LLC, dated October 3, 2018. Pursuant to a subsequent change of employment status form, Mr. Dean’s current annual base salary is $475,000. Mr. Dean also is eligible to participate in the employee benefit plans generally available to our employees and maintained by us.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Steven Jung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Jung previously entered into an offer letter with Ghost Management Group, LLC, dated May 17, 2017. Pursuant to a subsequent change of employment status form, Mr. Jung’s current annual base salary is $600,000. Mr. Jung also is eligible to participate in the employee benefit plans generally available to our employees and maintained by us.</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connection with the Closing, Mr. Jung entered into a Strategic Advisor Agreement (the “Strategic Advisor Agreement”) with Ghost Management Group, LLC. Pursuant to the Strategic Advisor Agreement, Mr. Jung’s last day of active employment in his previous role as President and Chief Operating Officer of the Company and Ghost Management, LLC was on June 30, 2021, and he transitioned to a paid employee advisory role from July 1, 2021 through July 6, 2022 (the “Advisory Services Period”). The Strategic Advisor Agreement provides for Mr. Jung to be paid his regular salary during the Advisory Services Period and the continued vesting of the Class P units of WMH LLC held by Mr. Jung during the Advisory Services Period, each subject to a maximum aggregate amount, and a general release of claims in favor of Ghost Management Group, LLC.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2020.</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4"/>
          </w:tcPr>
          <w:p>
            <w:pPr>
              <w:ind w:left="360"/>
              <w:spacing w:after="0"/>
              <w:rPr>
                <w:sz w:val="20"/>
                <w:szCs w:val="20"/>
                <w:color w:val="auto"/>
              </w:rPr>
            </w:pPr>
            <w:r>
              <w:rPr>
                <w:rFonts w:ascii="Arial" w:cs="Arial" w:eastAsia="Arial" w:hAnsi="Arial"/>
                <w:sz w:val="14"/>
                <w:szCs w:val="14"/>
                <w:b w:val="1"/>
                <w:bCs w:val="1"/>
                <w:color w:val="auto"/>
              </w:rPr>
              <w:t>Equity Awards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Vesting</w:t>
            </w:r>
          </w:p>
        </w:tc>
        <w:tc>
          <w:tcPr>
            <w:tcW w:w="110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Units that</w:t>
            </w:r>
          </w:p>
        </w:tc>
        <w:tc>
          <w:tcPr>
            <w:tcW w:w="104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 Not</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Units that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86"/>
        </w:trPr>
        <w:tc>
          <w:tcPr>
            <w:tcW w:w="4360" w:type="dxa"/>
            <w:vAlign w:val="bottom"/>
            <w:gridSpan w:val="2"/>
            <w:vMerge w:val="continue"/>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Vested</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Have Vested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53"/>
        </w:trPr>
        <w:tc>
          <w:tcPr>
            <w:tcW w:w="4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8/17/2015</w:t>
            </w: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331" w:lineRule="exact"/>
              <w:rPr>
                <w:sz w:val="20"/>
                <w:szCs w:val="20"/>
                <w:color w:val="auto"/>
              </w:rPr>
            </w:pPr>
            <w:r>
              <w:rPr>
                <w:rFonts w:ascii="Arial" w:cs="Arial" w:eastAsia="Arial" w:hAnsi="Arial"/>
                <w:sz w:val="18"/>
                <w:szCs w:val="18"/>
                <w:color w:val="auto"/>
              </w:rPr>
              <w:t>53,333</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11/05/2018</w:t>
            </w:r>
          </w:p>
        </w:tc>
        <w:tc>
          <w:tcPr>
            <w:tcW w:w="900" w:type="dxa"/>
            <w:vAlign w:val="bottom"/>
          </w:tcPr>
          <w:p>
            <w:pPr>
              <w:jc w:val="right"/>
              <w:spacing w:after="0" w:line="324" w:lineRule="exact"/>
              <w:rPr>
                <w:sz w:val="20"/>
                <w:szCs w:val="20"/>
                <w:color w:val="auto"/>
              </w:rPr>
            </w:pPr>
            <w:r>
              <w:rPr>
                <w:rFonts w:ascii="Arial" w:cs="Arial" w:eastAsia="Arial" w:hAnsi="Arial"/>
                <w:sz w:val="35"/>
                <w:szCs w:val="35"/>
                <w:color w:val="auto"/>
                <w:w w:val="92"/>
                <w:vertAlign w:val="subscript"/>
              </w:rPr>
              <w:t>1,500</w:t>
            </w:r>
            <w:r>
              <w:rPr>
                <w:rFonts w:ascii="Arial" w:cs="Arial" w:eastAsia="Arial" w:hAnsi="Arial"/>
                <w:sz w:val="15"/>
                <w:szCs w:val="15"/>
                <w:color w:val="auto"/>
                <w:w w:val="92"/>
              </w:rPr>
              <w:t>(2)(3)</w:t>
            </w:r>
          </w:p>
        </w:tc>
        <w:tc>
          <w:tcPr>
            <w:tcW w:w="200" w:type="dxa"/>
            <w:vAlign w:val="bottom"/>
          </w:tcPr>
          <w:p>
            <w:pPr>
              <w:spacing w:after="0"/>
              <w:rPr>
                <w:sz w:val="24"/>
                <w:szCs w:val="24"/>
                <w:color w:val="auto"/>
              </w:rPr>
            </w:pPr>
          </w:p>
        </w:tc>
        <w:tc>
          <w:tcPr>
            <w:tcW w:w="820" w:type="dxa"/>
            <w:vAlign w:val="bottom"/>
          </w:tcPr>
          <w:p>
            <w:pPr>
              <w:jc w:val="right"/>
              <w:spacing w:after="0" w:line="324" w:lineRule="exact"/>
              <w:rPr>
                <w:sz w:val="20"/>
                <w:szCs w:val="20"/>
                <w:color w:val="auto"/>
              </w:rPr>
            </w:pPr>
            <w:r>
              <w:rPr>
                <w:rFonts w:ascii="Arial" w:cs="Arial" w:eastAsia="Arial" w:hAnsi="Arial"/>
                <w:sz w:val="18"/>
                <w:szCs w:val="18"/>
                <w:color w:val="auto"/>
              </w:rPr>
              <w:t>1,500</w:t>
            </w:r>
            <w:r>
              <w:rPr>
                <w:rFonts w:ascii="Arial" w:cs="Arial" w:eastAsia="Arial" w:hAnsi="Arial"/>
                <w:sz w:val="29"/>
                <w:szCs w:val="29"/>
                <w:color w:val="auto"/>
                <w:vertAlign w:val="superscript"/>
              </w:rPr>
              <w:t>(2)</w:t>
            </w:r>
          </w:p>
        </w:tc>
        <w:tc>
          <w:tcPr>
            <w:tcW w:w="220" w:type="dxa"/>
            <w:vAlign w:val="bottom"/>
          </w:tcPr>
          <w:p>
            <w:pPr>
              <w:spacing w:after="0"/>
              <w:rPr>
                <w:sz w:val="24"/>
                <w:szCs w:val="24"/>
                <w:color w:val="auto"/>
              </w:rPr>
            </w:pPr>
          </w:p>
        </w:tc>
        <w:tc>
          <w:tcPr>
            <w:tcW w:w="700" w:type="dxa"/>
            <w:vAlign w:val="bottom"/>
          </w:tcPr>
          <w:p>
            <w:pPr>
              <w:ind w:left="26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24"/>
        </w:trPr>
        <w:tc>
          <w:tcPr>
            <w:tcW w:w="4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12/08/2020</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35"/>
                <w:szCs w:val="35"/>
                <w:color w:val="auto"/>
                <w:w w:val="92"/>
                <w:vertAlign w:val="subscript"/>
              </w:rPr>
              <w:t>2,000</w:t>
            </w:r>
            <w:r>
              <w:rPr>
                <w:rFonts w:ascii="Arial" w:cs="Arial" w:eastAsia="Arial" w:hAnsi="Arial"/>
                <w:sz w:val="15"/>
                <w:szCs w:val="15"/>
                <w:color w:val="auto"/>
                <w:w w:val="92"/>
              </w:rPr>
              <w:t>(2)(5)</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26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Steven Jung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06/19/2017</w:t>
            </w:r>
          </w:p>
        </w:tc>
        <w:tc>
          <w:tcPr>
            <w:tcW w:w="900" w:type="dxa"/>
            <w:vAlign w:val="bottom"/>
          </w:tcPr>
          <w:p>
            <w:pPr>
              <w:jc w:val="right"/>
              <w:spacing w:after="0" w:line="324" w:lineRule="exact"/>
              <w:rPr>
                <w:sz w:val="20"/>
                <w:szCs w:val="20"/>
                <w:color w:val="auto"/>
              </w:rPr>
            </w:pPr>
            <w:r>
              <w:rPr>
                <w:rFonts w:ascii="Arial" w:cs="Arial" w:eastAsia="Arial" w:hAnsi="Arial"/>
                <w:sz w:val="35"/>
                <w:szCs w:val="35"/>
                <w:color w:val="auto"/>
                <w:vertAlign w:val="subscript"/>
              </w:rPr>
              <w:t>544</w:t>
            </w:r>
            <w:r>
              <w:rPr>
                <w:rFonts w:ascii="Arial" w:cs="Arial" w:eastAsia="Arial" w:hAnsi="Arial"/>
                <w:sz w:val="15"/>
                <w:szCs w:val="15"/>
                <w:color w:val="auto"/>
              </w:rPr>
              <w:t>(2)(3)</w:t>
            </w:r>
          </w:p>
        </w:tc>
        <w:tc>
          <w:tcPr>
            <w:tcW w:w="200" w:type="dxa"/>
            <w:vAlign w:val="bottom"/>
          </w:tcPr>
          <w:p>
            <w:pPr>
              <w:spacing w:after="0"/>
              <w:rPr>
                <w:sz w:val="24"/>
                <w:szCs w:val="24"/>
                <w:color w:val="auto"/>
              </w:rPr>
            </w:pPr>
          </w:p>
        </w:tc>
        <w:tc>
          <w:tcPr>
            <w:tcW w:w="820" w:type="dxa"/>
            <w:vAlign w:val="bottom"/>
          </w:tcPr>
          <w:p>
            <w:pPr>
              <w:jc w:val="right"/>
              <w:spacing w:after="0" w:line="324" w:lineRule="exact"/>
              <w:rPr>
                <w:sz w:val="20"/>
                <w:szCs w:val="20"/>
                <w:color w:val="auto"/>
              </w:rPr>
            </w:pPr>
            <w:r>
              <w:rPr>
                <w:rFonts w:ascii="Arial" w:cs="Arial" w:eastAsia="Arial" w:hAnsi="Arial"/>
                <w:sz w:val="18"/>
                <w:szCs w:val="18"/>
                <w:color w:val="auto"/>
              </w:rPr>
              <w:t>3,810</w:t>
            </w:r>
            <w:r>
              <w:rPr>
                <w:rFonts w:ascii="Arial" w:cs="Arial" w:eastAsia="Arial" w:hAnsi="Arial"/>
                <w:sz w:val="29"/>
                <w:szCs w:val="29"/>
                <w:color w:val="auto"/>
                <w:vertAlign w:val="superscript"/>
              </w:rPr>
              <w:t>(2)</w:t>
            </w:r>
          </w:p>
        </w:tc>
        <w:tc>
          <w:tcPr>
            <w:tcW w:w="220" w:type="dxa"/>
            <w:vAlign w:val="bottom"/>
          </w:tcPr>
          <w:p>
            <w:pPr>
              <w:spacing w:after="0"/>
              <w:rPr>
                <w:sz w:val="24"/>
                <w:szCs w:val="24"/>
                <w:color w:val="auto"/>
              </w:rPr>
            </w:pPr>
          </w:p>
        </w:tc>
        <w:tc>
          <w:tcPr>
            <w:tcW w:w="700" w:type="dxa"/>
            <w:vAlign w:val="bottom"/>
          </w:tcPr>
          <w:p>
            <w:pPr>
              <w:ind w:left="26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24"/>
        </w:trPr>
        <w:tc>
          <w:tcPr>
            <w:tcW w:w="4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05/01/2018</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35"/>
                <w:szCs w:val="35"/>
                <w:color w:val="auto"/>
                <w:w w:val="92"/>
                <w:vertAlign w:val="subscript"/>
              </w:rPr>
              <w:t>1,500</w:t>
            </w:r>
            <w:r>
              <w:rPr>
                <w:rFonts w:ascii="Arial" w:cs="Arial" w:eastAsia="Arial" w:hAnsi="Arial"/>
                <w:sz w:val="15"/>
                <w:szCs w:val="15"/>
                <w:color w:val="auto"/>
                <w:w w:val="92"/>
              </w:rPr>
              <w:t>(2)(3)</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2,500</w:t>
            </w:r>
            <w:r>
              <w:rPr>
                <w:rFonts w:ascii="Arial" w:cs="Arial" w:eastAsia="Arial" w:hAnsi="Arial"/>
                <w:sz w:val="29"/>
                <w:szCs w:val="29"/>
                <w:color w:val="auto"/>
                <w:vertAlign w:val="superscript"/>
              </w:rPr>
              <w:t>(2)</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71"/>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04/06/2020</w:t>
            </w:r>
          </w:p>
        </w:tc>
        <w:tc>
          <w:tcPr>
            <w:tcW w:w="900" w:type="dxa"/>
            <w:vAlign w:val="bottom"/>
          </w:tcPr>
          <w:p>
            <w:pPr>
              <w:jc w:val="right"/>
              <w:spacing w:after="0"/>
              <w:rPr>
                <w:sz w:val="20"/>
                <w:szCs w:val="20"/>
                <w:color w:val="auto"/>
              </w:rPr>
            </w:pPr>
            <w:r>
              <w:rPr>
                <w:rFonts w:ascii="Arial" w:cs="Arial" w:eastAsia="Arial" w:hAnsi="Arial"/>
                <w:sz w:val="35"/>
                <w:szCs w:val="35"/>
                <w:color w:val="auto"/>
                <w:w w:val="92"/>
                <w:vertAlign w:val="subscript"/>
              </w:rPr>
              <w:t>3,500</w:t>
            </w:r>
            <w:r>
              <w:rPr>
                <w:rFonts w:ascii="Arial" w:cs="Arial" w:eastAsia="Arial" w:hAnsi="Arial"/>
                <w:sz w:val="15"/>
                <w:szCs w:val="15"/>
                <w:color w:val="auto"/>
                <w:w w:val="92"/>
              </w:rPr>
              <w:t>(2)(6)</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r>
              <w:rPr>
                <w:rFonts w:ascii="Arial" w:cs="Arial" w:eastAsia="Arial" w:hAnsi="Arial"/>
                <w:sz w:val="29"/>
                <w:szCs w:val="29"/>
                <w:color w:val="auto"/>
                <w:vertAlign w:val="superscript"/>
              </w:rPr>
              <w:t>(2)</w:t>
            </w:r>
          </w:p>
        </w:tc>
        <w:tc>
          <w:tcPr>
            <w:tcW w:w="2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-1344295</wp:posOffset>
            </wp:positionV>
            <wp:extent cx="137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-1344295</wp:posOffset>
            </wp:positionV>
            <wp:extent cx="137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-1344295</wp:posOffset>
            </wp:positionV>
            <wp:extent cx="137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-1344295</wp:posOffset>
            </wp:positionV>
            <wp:extent cx="137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43815</wp:posOffset>
            </wp:positionV>
            <wp:extent cx="8229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98" w:lineRule="exact"/>
        <w:rPr>
          <w:sz w:val="20"/>
          <w:szCs w:val="20"/>
          <w:color w:val="auto"/>
        </w:rPr>
      </w:pPr>
    </w:p>
    <w:p>
      <w:pPr>
        <w:ind w:left="640" w:hanging="348"/>
        <w:spacing w:after="0"/>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Class A-3 units.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Class B units.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Twenty-five percent of the units subject to this equity award will vest on the one-year anniversary of the vesting commencement date, and thereafter the remaining seventy-five percent of the units will vest equally on a quarterly pro-rata basis over the next three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2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Class A-3 units and Class B units represent profits interests in WM Holding Company, LLC. No value is realized as a result of vesting of these units and consistent with FASB ASC Topic 718, the grant date fair value of Class A-3 and Class B units is $0.</w:t>
      </w:r>
    </w:p>
    <w:p>
      <w:pPr>
        <w:spacing w:after="0" w:line="11" w:lineRule="exact"/>
        <w:rPr>
          <w:rFonts w:ascii="Arial" w:cs="Arial" w:eastAsia="Arial" w:hAnsi="Arial"/>
          <w:sz w:val="14"/>
          <w:szCs w:val="14"/>
          <w:color w:val="auto"/>
        </w:rPr>
      </w:pPr>
    </w:p>
    <w:p>
      <w:pPr>
        <w:jc w:val="both"/>
        <w:ind w:left="640" w:right="299" w:hanging="348"/>
        <w:spacing w:after="0" w:line="255" w:lineRule="auto"/>
        <w:tabs>
          <w:tab w:leader="none" w:pos="6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12.5% of the units subject to this equity award will vest on the six-month anniversary of the vesting commencement date, and thereafter the remaining 87.5% of the units will vest equally on a quarterly pro-rata basis over the next four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2" w:lineRule="exact"/>
        <w:rPr>
          <w:rFonts w:ascii="Arial" w:cs="Arial" w:eastAsia="Arial" w:hAnsi="Arial"/>
          <w:sz w:val="13"/>
          <w:szCs w:val="13"/>
          <w:color w:val="auto"/>
        </w:rPr>
      </w:pPr>
    </w:p>
    <w:p>
      <w:pPr>
        <w:jc w:val="both"/>
        <w:ind w:left="640" w:right="299" w:hanging="348"/>
        <w:spacing w:after="0" w:line="264" w:lineRule="auto"/>
        <w:tabs>
          <w:tab w:leader="none" w:pos="6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units subject to this equity award will vest equally on a quarterly pro-rata basis over four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 Benefit Plans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Technology, Inc. 2021 Equity Incentive Plan</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In June 2021, our board of directors adopted and our stockholders approved the WM Technology, Inc. 2021 Equity Incentive Plan (the “2021 Plan”). The 2021 Plan became effective immediately upon the Closing.</w:t>
      </w:r>
    </w:p>
    <w:p>
      <w:pPr>
        <w:spacing w:after="0" w:line="3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Our employees, consultants and directors, and employees and consultants of our affiliates,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awards under 2021 Plan. We have approximately 450 employees, seven non-employee directors and 40 consultants who may be eligible to receive awards under the 2021 Plan.</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Award Types</w:t>
      </w:r>
      <w:r>
        <w:rPr>
          <w:rFonts w:ascii="Arial" w:cs="Arial" w:eastAsia="Arial" w:hAnsi="Arial"/>
          <w:sz w:val="18"/>
          <w:szCs w:val="18"/>
          <w:color w:val="auto"/>
        </w:rPr>
        <w:t>. The equity incentive plan provides for the grant of incentive stock options (“ISOs”)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for the grant of nonstatutory stock options (“NSOs”), stock appreciation rights, restricted stock awards, restricted stock unit awards, performance awards and other forms of stock awards to employees, directors and consultants.</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The number of shares of common stock initially reserved for issuance under the equity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is the amount of shares of common stock equal to 11% of the sum of (i) the number of shares of our common stock outstanding as of the consummation of the Business Combination and (ii) the number of shares of our common stock underlying securities convertible into our common stock. The number of shares of common stock reserved for issuance under the equity incentive plan will automatically increase on January 1 of each year, for a period of ten years, from January 1, 2022 continuing through January 1, 2031, by 5% of the total number of shares of our capital stock outstanding on December 31 of the preceding calendar year, or a lesser number of shares as may be determined by our board of directors. The maximum number of shares that may be issued pursuant to the exercise of ISOs under the equity incentive plan is equal to 300% of the number of shares of common stock initially reserved under the equity incentive plan. Shares issued under the equity incentive plan may be authorized but unissued or reacquired shares. Shares subject to stock awards granted under the equity incentive plan that expire or terminate without being exercised in full, or that are paid out in cash rather than in shares, will not reduce the number of shares available for</w:t>
      </w:r>
    </w:p>
    <w:p>
      <w:pPr>
        <w:sectPr>
          <w:pgSz w:w="11900" w:h="16838" w:orient="portrait"/>
          <w:cols w:equalWidth="0" w:num="1">
            <w:col w:w="9019"/>
          </w:cols>
          <w:pgMar w:left="1440" w:top="265" w:right="1440"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issuance under the equity incentive plan. Additionally, shares issued pursuant to stock awards under the equity incentive plan that are repurchased or forfeited, as well as shares that are reacquired as consideration for the exercise or purchase price of a stock award or to satisfy tax withholding obligations related to a stock award, will become available for future grant under the equity incentive plan.</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a duly authorized committee thereof, will have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administer the equity incentive plan. Our board of directors may also delegate to one or more officers the authority to (i) designate employees other than officers to receive specified stock awards and (ii) determine the number of shares to be subject to such stock awards. Subject to the terms of the equity incentive plan, the plan administrator has the authority to determine the terms of awards, including recipients, the exercise price or strike price of stock awards, if any, the number of shares subject to each stock award, the fair market value of a share, the vesting schedule applicable to the awards, together with any vesting acceleration, the form of consideration, if any, payable upon exercise or settlement of the stock award and the terms and conditions of the award agreements for use under the equity incentive plan. The plan administrator has the power to modify outstanding awards under the equity incentive plan. Subject to the terms of the equity incentive plan, the plan administrator also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materially adversely affected participant.</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ISOs and NSOs are granted under stock option agreements adopted by the plan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determines the exercise price for stock options, within the terms and conditions of the equity incentive plan, provided that the exercise price of a stock option generally cannot be less than 100% of the fair market value of a share of common stock on the date of grant (however, a stock option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and, if applicable, 424(a) of the Code). Options granted under the equity incentive plan vest at the rate specified in the stock option agreement as determined by the plan administrator. The plan administrator determines the term of stock options granted under the equity incentive plan, up to a maximum of ten years. Unless the terms of an optionholder’s stock option agreement provide otherwise, if an optionholder’s service relationship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If an optionholder’s service relationship ceases due to disability or death, or an optionholder dies within a certain period following cessation of service, the optionholder or a beneficiary may generally exercise any vested options for a period of 12 months in the event of disability and 18 months in the event of death. Options generally terminate immediately upon the termination of an optionholder’s service for cause. In no event may an option be exercised beyond the expiration of its term. Acceptable consideration for the purchase of common stock issued upon exercise of a stock option will be determined by the plan administrator and may include (i) cash, check, bank draft, or money order, (ii) a broker-assisted cashless exercise, (iii) the tender of shares of common stock previously owned by the optionholder, (iv) a net exercise of the option if it is an NSO and (v) other legal consideration approved by the plan administrator.</w:t>
      </w:r>
    </w:p>
    <w:p>
      <w:pPr>
        <w:spacing w:after="0" w:line="28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i w:val="1"/>
          <w:iCs w:val="1"/>
          <w:color w:val="auto"/>
        </w:rPr>
        <w:t>Tax Limitations on ISOs</w:t>
      </w:r>
      <w:r>
        <w:rPr>
          <w:rFonts w:ascii="Arial" w:cs="Arial" w:eastAsia="Arial" w:hAnsi="Arial"/>
          <w:sz w:val="16"/>
          <w:szCs w:val="16"/>
          <w:color w:val="auto"/>
        </w:rPr>
        <w:t>. The aggregate fair market value, determined at the time of grant,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ISOs that are exercisable for the first time by an optionholder during any calendar year under all stock plans maintained by us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option is not exercisable after the expiration of five years from the date of grant.</w:t>
      </w:r>
    </w:p>
    <w:p>
      <w:pPr>
        <w:spacing w:after="0" w:line="5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Restricted stock awards are granted under restricted stock award agreements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plan administrator. A 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awards, including vesting and forfeiture terms. Except as provided otherwise in the applicable award agreement, if a participant’s service relationship ends for any reason, we may receive through a forfeiture condition or a repurchase right any or all of the shares held by the participant under his or her restricted stock award that have not vested as of the date the participant terminates service.</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units are granted under restricted stock unit award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Restricted stock units may be granted in consideration for any form of legal consideration that may be acceptable to the plan administrator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under stock appreciation grant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The plan administrator determines the purchase price or strike price for a stock appreciation right, which generally cannot be less than 100% of the fair market value of common stock on the date of grant (however, a stock appreciation right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 stock appreciation right granted under the equity incentive plan vests at the rate specified in the stock appreciation right agreement as determined by the plan administrator.</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The equity incentive plan permits the grant of performance-based stock and cash awards.</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may structure awards so that the shares of common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w:t>
      </w:r>
    </w:p>
    <w:p>
      <w:pPr>
        <w:spacing w:after="0" w:line="1" w:lineRule="exact"/>
        <w:rPr>
          <w:sz w:val="20"/>
          <w:szCs w:val="20"/>
          <w:color w:val="auto"/>
        </w:rPr>
      </w:pPr>
    </w:p>
    <w:p>
      <w:pPr>
        <w:jc w:val="both"/>
        <w:ind w:left="300" w:right="299" w:hanging="8"/>
        <w:spacing w:after="0" w:line="284" w:lineRule="auto"/>
        <w:tabs>
          <w:tab w:leader="none" w:pos="6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such other document setting forth the performance goals at the time the goals are established,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stockholders other than regular cash dividends; (9) to exclude the effects of stock based compensation and the award of bonuses under our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the performance goals. Partial achievement of the specified criteria may result in the payment or vesting corresponding to the degree of achievement as specified in the applicable award agreement or the written terms of a performance cash award. The performance goals may differ from participant to participant and from award to award.</w:t>
      </w:r>
    </w:p>
    <w:p>
      <w:pPr>
        <w:spacing w:after="0" w:line="6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Units</w:t>
      </w:r>
      <w:r>
        <w:rPr>
          <w:rFonts w:ascii="Arial" w:cs="Arial" w:eastAsia="Arial" w:hAnsi="Arial"/>
          <w:sz w:val="16"/>
          <w:szCs w:val="16"/>
          <w:color w:val="auto"/>
        </w:rPr>
        <w:t>. The equity incentive plan permits the grant of awards in the form of any class of limited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interests in WMH LLC, the entity through which we conducts our business and an entity that is treated as a partnership for U.S. federal income tax purposes. Awards of Units will be valued by reference to, or otherwise determined by reference to or based on, shares of common stock. Units awarded under the equity incentive plan may be convertible, exchangeable or redeemable for other limited liability company interests in WMH or shares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common stock, or may be valued by reference to the book value, fair market value or performance of WMH. Awards of Units may be intended to qualify as “profits interests” within the meaning of IRS Revenue Procedure 93-27, as clarified by IRS Revenue Procedure 2001-43, with respect to any participant who is rendering services to or for the benefit of WMH, including its subsidiaries. Awards of Units may be granted either alone or in addition to other awards granted under the equity incentive plan. Our board of directors will determine (i) the eligible participants to whom, and the time or times at which, awards of Units will be made; (ii) the number of Units to be awarded; (iii) the price, if any, to be paid by the participant for the acquisition of such Units (which may be less than the fair market value of the post-merger WMH unit; (iv) and the restrictions and conditions applicable to such award of Units, with related length of the service period for vesting, minimum or maximum performance thresholds, measurement procedures and length of the performance period to be established by our board of directors at the time of grant, in its sole discretion. Our board of directors may allow awards of Units to be held through a limited partnership, or similar “look-through” entity, and our board of directors may require such limited partnership or similar entity to impose restrictions on our partners or other beneficial owners that are not inconsistent with the terms of the equity incentive plan. The provisions of the grant of Units need not be the same with respect to each participant. The award agreement or other award documentation in respect of an award of Units may provide that the recipient of Units will be entitled to receive, currently or on a deferred or contingent basis, dividends or dividend equivalents with respect to the number of shares of common stock underlying the award or other distributions from WMH prior to vesting (whether based on a period of time or based on attainment of specified performance conditions), as determined at the time of grant by our board of directors, in its sole discretion, and our board of directors may provide that such amounts (if any) will be deemed to have been reinvested in additional shares of common stock or Units.</w:t>
      </w:r>
    </w:p>
    <w:p>
      <w:pPr>
        <w:spacing w:after="0" w:line="74"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The plan administrator may grant other awards based in whole or in part by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plan administrator will set the number of shares under the stock award and all other terms and conditions of such awards.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The aggregate value of all compensation granted or paid by us to</w:t>
      </w:r>
      <w:r>
        <w:rPr>
          <w:rFonts w:ascii="Arial" w:cs="Arial" w:eastAsia="Arial" w:hAnsi="Arial"/>
          <w:sz w:val="18"/>
          <w:szCs w:val="18"/>
          <w:i w:val="1"/>
          <w:iCs w:val="1"/>
          <w:color w:val="auto"/>
        </w:rPr>
        <w:t xml:space="preserve"> </w:t>
      </w:r>
      <w:r>
        <w:rPr>
          <w:rFonts w:ascii="Arial" w:cs="Arial" w:eastAsia="Arial" w:hAnsi="Arial"/>
          <w:sz w:val="18"/>
          <w:szCs w:val="18"/>
          <w:color w:val="auto"/>
        </w:rPr>
        <w:t>any individual for service as a non-employee director with respect to any calendar year (such period, the “annual period”), including stock awards and cash fees paid by us to such non-employee director, will not exceed (i) $750,000 in total value or (ii) in the event such non-employee director is first appointed or elected to our board of directors during such annual period, $1,000,000 in total value. For purposes of these limitations, the value of any such stock awards is calculated based on the grant date fair value of such stock awards for financial reporting purposes.</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appropriate adjustments will be made to (i) the class(es) and maximum number of shares of common stock subject to the equity incentive plan and the maximum number of shares by which the share reserve may annually increase; (ii) the class(es) and maximum number of shares that may be issued pursuant to the exercise of ISOs; and (iii) the class(es) and number of securities and exercise price, strike price or purchase price of common stock subject to outstanding awards.</w:t>
      </w:r>
    </w:p>
    <w:p>
      <w:pPr>
        <w:spacing w:after="0" w:line="8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The following applies to stock awards under the equity incentive plan in the event of 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transaction, as defined in the equity incentive plan, unless otherwise provided in a participant’s stock award agreement or other written agreement with us or unless otherwise expressly provided by the plan administrator at the time of grant. In the event of a corporate transaction, any stock awards outstanding under the equity incentive plan may be assumed, continued or substituted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for no consideration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such stock</w:t>
      </w:r>
    </w:p>
    <w:p>
      <w:pPr>
        <w:sectPr>
          <w:pgSz w:w="11900" w:h="16838" w:orient="portrait"/>
          <w:cols w:equalWidth="0" w:num="1">
            <w:col w:w="9019"/>
          </w:cols>
          <w:pgMar w:left="1440" w:top="265"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awards, then with respect to any such stock awards that are held by persons other than current participants, such awards will terminate for no consideration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at the effective time, to the excess (if any) of (1) the value of the property the participant would have received upon exercise of the stock award over (2) any exercise price payable by such holder in connection with such exercise.</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as defined under the equity incentive plan,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equity incentive plan will not receive automatic acceleration of vesting and exercisability, although this treatment may be provided for in an award agreement.</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will have the authority to amend, suspend, or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equity incentive plan, provided that such action does not materially impair the existing rights of any participant without such participant’s written consent. No ISOs may be granted after the tenth anniversary of the date the board of directors of Silver Spike adopted the equity incentive plan.</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Third Amended and Restated Equity Incentive Plan</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Legacy WMH’s Third Amended and Restated Equity Incentive Plan (the “2018 Plan”), was adopted by the board of managers of Legacy WMH and approved by its members in August 2018. The 2018 Plan was subsequently amended by the Legacy WMH board of managers on December 10, 2020. The 2018 Plan permitted the grant of Legacy WMH’s Class B units and Class A-3 units (the “Plan Units”), to Legacy WMH and its subsidiaries’ and affiliates’ employees, consultants, advisors, and independent contractors. As a result of the adoption of the 2021 Plan, no additional awards will be granted under the 2018 Plan. However, the 2018 Plan generally will continue to govern the terms and conditions of the outstanding awards previously granted under the 2018 Plan, as adjusted for the Business Combination and the Amended Operating Agreement.</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As of December 31, 2020, the maximum aggregate number of Plan Units authorized for</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under the 2018 Plan was 274,822, six of which Plan Units were available for grant as of the same date. Plan Units granted under the 2018 Plan that, under certain circumstances, are cancelled, repurchased, or redeemed by Legacy WMH were available for future grant under the 2018 Plan while the 2018 Plan remained in effect. As of March 31, 2021, 274,780 Plan Units were outstanding under the 2018 Plan.</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Prior to the Business Combination, the 2018 Plan was administered by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managers or one or more of Legacy WMH’s or its subsidiaries’ officers appointed by Legacy WMH’s board of managers. After the Business Combination, in our capacity as managing member of WMH LLC, we will administer the 2018 Plan as to any awards that remain outstanding thereunder. The administrator is authorized, in a nondiscriminatory manner, to interpret the 2018 Plan and the award agreements entered into under the 2018 Plan, prescribe rules relating to the 2018 Plan, and make all other determinations necessary or advisable for administering the 2018 Plan.</w:t>
      </w:r>
    </w:p>
    <w:p>
      <w:pPr>
        <w:spacing w:after="0" w:line="8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Plan Units</w:t>
      </w:r>
      <w:r>
        <w:rPr>
          <w:rFonts w:ascii="Arial" w:cs="Arial" w:eastAsia="Arial" w:hAnsi="Arial"/>
          <w:sz w:val="17"/>
          <w:szCs w:val="17"/>
          <w:color w:val="auto"/>
        </w:rPr>
        <w:t>. Plan Units granted under the 2018 Plan may be subject to various restrictions, including restrictions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transferability and forfeiture provisions, as determined by the administrator and consistent with the 2018 Plan terms. Subject to the terms of the 2018 Plan, the administrator determined the number of Plan Units granted and other terms and conditions of such awards. The administrator imposed whatever conditions to vesting it determined to be appropriate. Plan Units that have not vested are subject to WMH LLC’s right of repurchase or forfeiture. The economic and other rights associated with Plan Units granted under the 2018 Plan are governed by the 2018 Plan, Amended Operating Agreement and the applicable award agreement.</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The Plan Units are subject to certain transferability restrictions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governed by the terms of the Amended Operating Agreement, the 2018 Plan and the applicable award agreement.</w:t>
      </w:r>
    </w:p>
    <w:p>
      <w:pPr>
        <w:spacing w:after="0" w:line="76"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The outstanding Plan Units are subject to adjustment, exchange, replacement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then unvested, cancellation for no consideration by us, in our capacity as managing member of WMH LLC,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at our discretion so as to fairly and equitably and/or proportionately reflect any unit splits, reverse splits, dividends or distributions, recapitalizations, reclassifications, or other relevant changes in WMH LLC’s capitalization or corporate structure, as well as certain other adjustments as may be specified in the the Amended Operating Agreement.</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Amendment, Suspension and Termination</w:t>
      </w:r>
      <w:r>
        <w:rPr>
          <w:rFonts w:ascii="Arial" w:cs="Arial" w:eastAsia="Arial" w:hAnsi="Arial"/>
          <w:sz w:val="18"/>
          <w:szCs w:val="18"/>
          <w:color w:val="auto"/>
        </w:rPr>
        <w:t>. We, in our capacity as managing member of WMH LLC,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amend, suspend or terminate all or any part of the 2018 Plan in our sole discretion, subject to the terms of the 2018 Plan and the Amended Operating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following is a summary of transactions since January 1, 2018,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Operating Company Agreement</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Concurrently with the Closing, the WMH LLC operating agreement was further amended and restated in its entirety to become the Fourth Amended and Restated Operating Agreement (the “Amended Operating Agreement”). Messrs. Beals, Camire, Dean, Feijoo, Lee, Francis and Hartfield and Ghost Media Group, LLC all own Paired Interests and Class P Units as described in the section titled “Principal Securityholders.”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Rights of the Units</w:t>
      </w:r>
    </w:p>
    <w:p>
      <w:pPr>
        <w:spacing w:after="0" w:line="11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Management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80"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w:t>
      </w:r>
    </w:p>
    <w:p>
      <w:pPr>
        <w:spacing w:after="0" w:line="3" w:lineRule="exact"/>
        <w:rPr>
          <w:sz w:val="20"/>
          <w:szCs w:val="20"/>
          <w:color w:val="auto"/>
        </w:rPr>
      </w:pPr>
    </w:p>
    <w:p>
      <w:pPr>
        <w:jc w:val="both"/>
        <w:ind w:left="300" w:right="299" w:hanging="8"/>
        <w:spacing w:after="0" w:line="255" w:lineRule="auto"/>
        <w:tabs>
          <w:tab w:leader="none" w:pos="65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use of an assumed tax rate in calculating WMH LLC’s distribution obligations, we may receive tax distributions significantly in excess of its tax liabilities and obligations to make payments under the Tax Receivable Agreement.</w:t>
      </w:r>
    </w:p>
    <w:p>
      <w:pPr>
        <w:spacing w:after="0" w:line="8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Transfer Restrictions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Agreement</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Concurrently with the Closing, we, WMH LLC and the Unit holders, including Messrs. Beals, Camire, Dean, Feijoo, Lee, Francis and Hartfield and Ghost Media Group, LLC, as described in the section titled “Principal Securityholders,” entered into an exchange agreement (the “Exchange Agreement”). The terms of the Exchange Agreement provide the Unit holders (or certain permitted transferees thereof) with the right from time to time at and after 180 days following the Business Combination to exchange their c)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7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Concurrently with the Closing, we, the Holder Representative and the Class A Unit holders, including Messrs. Beals, Francis and Hartfield and Ghost Media Group, LLC, as described in the section titled “Principal Securityholders,”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the Business Combination and future redemptions or exchanges of Class A Units for shares of Class A Common Stock or cash, (ii) tax benefits related to imputed interest or (iii) tax attributes resulting from payments made under Tax Receivable Agreement. The payment obligations under Tax Receivable Agreement are our obligations and not obligations of WMH LLC.</w:t>
      </w:r>
    </w:p>
    <w:p>
      <w:pPr>
        <w:spacing w:after="0" w:line="5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$157.1 million over 15 years from the Closing Date. Under this scenario, we would be required to pay to the Class A Unit holders approximately 85% of such amount, or $133.5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 authority may challenge all or a part of the existing tax basis, tax basis increases, or other tax</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7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Concurrently with the Closing, Silver Spike Sponsor, LLC (“Silver Spike Sponsor”) and certain Unit holders, including Messrs. Beals, Camire, Dean, Feijoo, Lee, Francis and Hartfield, Silver Spike Sponsor, LLC and Ghost Media Group, LLC, as described in the section titled “Principal Securityholders,”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also agreed to file within 45 days of the Closing a resale shelf registration statement covering the resale of all registrable securities.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Silver Spike Related Transactions and Agreements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June 2019, Silver Spike Sponsor purchased 7,187,500 founder shares for an aggregate purchase price of $25,000, or $0.004 per share. On September 23, 2019, in connection with the expiration of the underwriter’s over-allotment option, Silver Spike Sponsor surrendered 937,500 founder shares. In connection with the closing of Silver Spike’s IPO, Silver Spike Sponsor granted sponsor LLC equity interests to Silver Spike’s independent directors that collectively comprised approximately 1% of the outstanding equity interests in Silver Spike Sponsor.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5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Silver Spike entered into an Administrative Services Agreement pursuant to which Silver Spike paid Silver Spike Sponsor up to $20,000 per month for office space, administrative and support services. Upon completion of the Business Combination, Silver Spike ceased paying any of these monthly fees. As of June 16, 2021, Silver Spike Sponsor was paid an aggregate of $79,074 for office space, administrative and support services and was entitled to be reimbursed for any out-of-pocket expenses.</w:t>
      </w:r>
    </w:p>
    <w:p>
      <w:pPr>
        <w:spacing w:after="0" w:line="80"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Silver Spike Sponsor, Silver Spike’s officers and directors, or any of their respective affiliates, were reimbursed for any out-of-pocket expenses incurred in connection with activities on Silver Spike’s behalf, such as identifying potential target businesses and performing due diligence on suitable business combinations. As of June 16, 2021, Silver Spike Sponsor, and its respective affiliates were paid an aggregate of $88,252.</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Silver Spike Sponsor agreed to loan Silver Spike $250,000 under an unsecured promissory note to be used for Silver Spike’s working capital expenses. These loans are non-interest bearing and unsecured. The value of Silver Spike Sponsor’s interest in this loan transaction corresponded to the principal amount outstanding under any such loan. On February 18, 2021, Silver Spike Sponsor agreed to loan Silver Spike an additional $750,000 under an additional unsecured promissory note to be used for the payment of working capital expenses, including expenses incurred in connection with the Business Combination. The notes were non-interest bearing, unsecured and repaid on June 16, 2021.</w:t>
      </w:r>
    </w:p>
    <w:p>
      <w:pPr>
        <w:spacing w:after="0" w:line="3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connection with the execution of the Merger Agreement, Silver Spike entered into a Subscription Agreement with (i) Silver Spike Opportunities I, LLC, an entity affiliated with certain directors and officers of Silver Spike, for the purchase of 3,500,000 shares of Silver Spike’s Class A ordinary shares for an aggregate purchase price of $35,000,000 and (ii) AFV Partners SPV-5 (WM) LLC, an entity affiliated with Tony Aquila, one of our directors, for the purchase of 5,000,000 PIPE Shares for an aggregate purchase price of $50.0 million, in each case on the same on the same terms and conditions as the form of Subscription Agreement, which is an exhibit to the registration statement of which this prospectus is a part.</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Legacy WMH Transactions and Agreements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Employment Relationships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Certain immediate family members of Douglas Francis, Legacy WMH’s former chief executive officer and a current member of our board of managers, provide services to us for compensation, as described below:</w:t>
      </w:r>
    </w:p>
    <w:p>
      <w:pPr>
        <w:spacing w:after="0" w:line="38" w:lineRule="exact"/>
        <w:rPr>
          <w:sz w:val="20"/>
          <w:szCs w:val="20"/>
          <w:color w:val="auto"/>
        </w:rPr>
      </w:pPr>
    </w:p>
    <w:p>
      <w:pPr>
        <w:jc w:val="both"/>
        <w:ind w:left="1000" w:right="319" w:hanging="348"/>
        <w:spacing w:after="0" w:line="263"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Russell Francis was formerly employed as one of our UI/UX developers. Mr. R. Francis, who is a brother of Mr. Francis, earned $198,606 and $15,300 in compensation in 2019 and 2020, respectively, and no compensation in the three months ended March 31, 2021.</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Troy Francis formerly provided services to us as an independent contractor. Mr. T. Francis, who is a brother of Mr. Francis, earned $151,320 and $4,602 in compensation in 2019 and 2020, respectively, and no compensation in the three months ended March 31, 2021.</w:t>
      </w:r>
    </w:p>
    <w:p>
      <w:pPr>
        <w:spacing w:after="0" w:line="75"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Kathleen Joosten was formerly employed as a corporate attorney in our legal department. Ms. Joosten, who is the sister-in-law of Mr. Francis, earned $163,462 and $167,427 in compensation in 2019 and 2020, respectively, and $47,454 in compensation in the three months ended March 31, 2021.</w:t>
      </w:r>
    </w:p>
    <w:p>
      <w:pPr>
        <w:spacing w:after="0" w:line="40" w:lineRule="exact"/>
        <w:rPr>
          <w:rFonts w:ascii="Arial" w:cs="Arial" w:eastAsia="Arial" w:hAnsi="Arial"/>
          <w:sz w:val="16"/>
          <w:szCs w:val="16"/>
          <w:color w:val="auto"/>
        </w:rPr>
      </w:pPr>
    </w:p>
    <w:p>
      <w:pPr>
        <w:jc w:val="both"/>
        <w:ind w:left="1000" w:right="299" w:hanging="348"/>
        <w:spacing w:after="0" w:line="263"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Len Townsend, who is Justin Hartfield’s father-in-law, formerly provided services to us as an independent contractor. Mr. Townsend earned $240,000 and $0 in compensation in each of 2019 and 2020, respectively, and no compensation in the three months ended March 31,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Other Enterprises</w:t>
      </w:r>
    </w:p>
    <w:p>
      <w:pPr>
        <w:spacing w:after="0" w:line="117"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WCC MGMT, LLC is a business of which each of Messrs. Francis and Hartfield indirectly own a minority interest. WCC MGMT, LLC uses our listing products and has participated in other brand promotion opportunities. WCC MGMT, LLC paid us a total of $98,495 and $536,750 in 2019 and 2020, respectively, and $2,985 in the three months ended March 31, 2021, for such products and services. Mr. Beals indirectly owned a minority interest in WCC MGMT, LLC, but relinquished his indirect interest in April 2019.</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DICA Distribution, LLC is a company of which Mr. Francis indirectly owned 47.5%, Mr. Hartfield indirectly owned 47.5% and Mr. Beals indirectly owned 5% of the equity interests. DICA Distribution, LLC leased premises pursuant to a lease, in connection with which we issued a guaranty in favor of the landlord. The value of the underlying lease was $502,272 and $171,505 in 2018, and 2019, respectively. In April 2019, Mr. Beals relinquished his indirect interest in DICA Distribution, LLC. In May 2019, DICA Distribution, LLC merged with and into WCC MGMT, LLC and our guaranty was released by the landlord.</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Searchcore Payments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August 2012, Searchcore, Inc., or Searchcore, purchased all of the equity ownership that Messrs. Francis and Hartfield held in Searchcore for an installment note in the amount of $1.6 million payable to each of Messrs. Francis and Hartfield. Pursuant to certain reorganization transactions, the notes were ultimately assigned to Weedmaps Media, LLC, one of our wholly owned subsidiaries.</w:t>
      </w:r>
    </w:p>
    <w:p>
      <w:pPr>
        <w:spacing w:after="0" w:line="79"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Pursuant to a note payable to Mr. Hartfield and that certain Global Securities Purchase, Consulting, and Resignation Agreement dated as of July 31, 2012, by and among Searchcore, Weedmaps Media, Inc. and Justin Hartfield, we paid Mr. Hartfield $0 and $0 in 2019 and 2020, respectively, and $0 in the three months ended March 31, 2021. All obligations to Mr. Francis and Mr. Hartfield under these arrangements have been paid in full.</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have entered into employment and other agreements with certain of our executive officers. For a description of agreements with our named executive officers, see the sections entitled “Executive Compensation—Executive Employment Arrangements” and “—Outstanding Equity Awards at December 31, 2020.”</w:t>
      </w:r>
    </w:p>
    <w:p>
      <w:pPr>
        <w:spacing w:after="0" w:line="4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have granted equity awards to certain of our executive officers. For a description of equity awards granted to our named executive officers, see the section entitled “Executive Compensation.”</w:t>
      </w:r>
    </w:p>
    <w:p>
      <w:pPr>
        <w:spacing w:after="0" w:line="62"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We entered into indemnification agreements with our directors and executive officers. For a description of these agreements, see the section entitled “Management—Limitation of Liability and Indemnification.”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board of directors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In considering related-person transactions, our audit committee takes into account the relevant available facts and circumstances, which may include, but are not limited to:</w:t>
      </w:r>
    </w:p>
    <w:p>
      <w:pPr>
        <w:spacing w:after="0" w:line="62" w:lineRule="exact"/>
        <w:rPr>
          <w:sz w:val="20"/>
          <w:szCs w:val="20"/>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risk, cost and benefits to us;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SECURITYHOLDERS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June 16, 2021, after giving effect to the Closing, by:</w:t>
      </w:r>
    </w:p>
    <w:p>
      <w:pPr>
        <w:spacing w:after="0" w:line="62" w:lineRule="exact"/>
        <w:rPr>
          <w:sz w:val="20"/>
          <w:szCs w:val="20"/>
          <w:color w:val="auto"/>
        </w:rPr>
      </w:pPr>
    </w:p>
    <w:p>
      <w:pPr>
        <w:ind w:left="1000" w:right="319" w:hanging="348"/>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person who is known by us to be the beneficial owner of more than 5% of the outstanding shares of our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our current named executive officers and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4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beneficial ownership percentages set forth in the table below are based on 129,240,912 shares of our Common Stock issued and outstanding as of June 16, 2021 and do not take into account the issuance of any shares of Class A Common Stock upon (i) the exercise of 19,499,993 Warrants to purchase an aggregate of 19,499,993 shares of Class A Common Stock or (ii) the exchange of 25,896,042 Class P Units for up to 25,896,042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6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Number of Shares of</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Number of Shares of</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Combined % of</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Class A Common</w:t>
            </w: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Class V Common</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3"/>
                <w:szCs w:val="23"/>
                <w:b w:val="1"/>
                <w:bCs w:val="1"/>
                <w:color w:val="auto"/>
                <w:vertAlign w:val="superscript"/>
              </w:rPr>
              <w:t>(1)</w:t>
            </w:r>
          </w:p>
        </w:tc>
        <w:tc>
          <w:tcPr>
            <w:tcW w:w="160" w:type="dxa"/>
            <w:vAlign w:val="bottom"/>
            <w:vMerge w:val="restart"/>
          </w:tcPr>
          <w:p>
            <w:pPr>
              <w:spacing w:after="0"/>
              <w:rPr>
                <w:sz w:val="12"/>
                <w:szCs w:val="12"/>
                <w:color w:val="auto"/>
              </w:rPr>
            </w:pPr>
          </w:p>
        </w:tc>
        <w:tc>
          <w:tcPr>
            <w:tcW w:w="14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Stock Beneficially</w:t>
            </w:r>
          </w:p>
        </w:tc>
        <w:tc>
          <w:tcPr>
            <w:tcW w:w="14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Stock Beneficially</w:t>
            </w: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Total Voting</w:t>
            </w:r>
          </w:p>
        </w:tc>
        <w:tc>
          <w:tcPr>
            <w:tcW w:w="0" w:type="dxa"/>
            <w:vAlign w:val="bottom"/>
          </w:tcPr>
          <w:p>
            <w:pPr>
              <w:spacing w:after="0"/>
              <w:rPr>
                <w:sz w:val="1"/>
                <w:szCs w:val="1"/>
                <w:color w:val="auto"/>
              </w:rPr>
            </w:pPr>
          </w:p>
        </w:tc>
      </w:tr>
      <w:tr>
        <w:trPr>
          <w:trHeight w:val="242"/>
        </w:trPr>
        <w:tc>
          <w:tcPr>
            <w:tcW w:w="43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6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(2)</w:t>
            </w:r>
          </w:p>
        </w:tc>
        <w:tc>
          <w:tcPr>
            <w:tcW w:w="1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5"/>
              </w:rPr>
              <w:t>Power</w:t>
            </w:r>
            <w:r>
              <w:rPr>
                <w:rFonts w:ascii="Arial" w:cs="Arial" w:eastAsia="Arial" w:hAnsi="Arial"/>
                <w:sz w:val="23"/>
                <w:szCs w:val="23"/>
                <w:b w:val="1"/>
                <w:bCs w:val="1"/>
                <w:color w:val="auto"/>
                <w:w w:val="85"/>
                <w:vertAlign w:val="superscript"/>
              </w:rPr>
              <w:t>(3)</w:t>
            </w:r>
          </w:p>
        </w:tc>
        <w:tc>
          <w:tcPr>
            <w:tcW w:w="0" w:type="dxa"/>
            <w:vAlign w:val="bottom"/>
          </w:tcPr>
          <w:p>
            <w:pPr>
              <w:spacing w:after="0"/>
              <w:rPr>
                <w:sz w:val="1"/>
                <w:szCs w:val="1"/>
                <w:color w:val="auto"/>
              </w:rPr>
            </w:pPr>
          </w:p>
        </w:tc>
      </w:tr>
      <w:tr>
        <w:trPr>
          <w:trHeight w:val="311"/>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1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Christopher Beals</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4"/>
              <w:spacing w:after="0"/>
              <w:rPr>
                <w:sz w:val="20"/>
                <w:szCs w:val="20"/>
                <w:color w:val="auto"/>
              </w:rPr>
            </w:pPr>
            <w:r>
              <w:rPr>
                <w:rFonts w:ascii="Arial" w:cs="Arial" w:eastAsia="Arial" w:hAnsi="Arial"/>
                <w:sz w:val="18"/>
                <w:szCs w:val="18"/>
                <w:color w:val="auto"/>
              </w:rPr>
              <w:t>6,166,819</w:t>
            </w:r>
          </w:p>
        </w:tc>
        <w:tc>
          <w:tcPr>
            <w:tcW w:w="160" w:type="dxa"/>
            <w:vAlign w:val="bottom"/>
          </w:tcPr>
          <w:p>
            <w:pPr>
              <w:spacing w:after="0"/>
              <w:rPr>
                <w:sz w:val="23"/>
                <w:szCs w:val="23"/>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Justin Dean</w:t>
            </w: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Steven Jung</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4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Tony Aquila</w:t>
            </w:r>
            <w:r>
              <w:rPr>
                <w:rFonts w:ascii="Arial" w:cs="Arial" w:eastAsia="Arial" w:hAnsi="Arial"/>
                <w:sz w:val="29"/>
                <w:szCs w:val="29"/>
                <w:color w:val="auto"/>
                <w:vertAlign w:val="superscript"/>
              </w:rPr>
              <w:t>(4)</w:t>
            </w:r>
          </w:p>
        </w:tc>
        <w:tc>
          <w:tcPr>
            <w:tcW w:w="13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4"/>
        </w:trPr>
        <w:tc>
          <w:tcPr>
            <w:tcW w:w="4480" w:type="dxa"/>
            <w:vAlign w:val="bottom"/>
            <w:gridSpan w:val="2"/>
          </w:tcPr>
          <w:p>
            <w:pPr>
              <w:spacing w:after="0" w:line="324" w:lineRule="exact"/>
              <w:rPr>
                <w:sz w:val="20"/>
                <w:szCs w:val="20"/>
                <w:color w:val="auto"/>
              </w:rPr>
            </w:pPr>
            <w:r>
              <w:rPr>
                <w:rFonts w:ascii="Arial" w:cs="Arial" w:eastAsia="Arial" w:hAnsi="Arial"/>
                <w:sz w:val="18"/>
                <w:szCs w:val="18"/>
                <w:color w:val="auto"/>
              </w:rPr>
              <w:t>Douglas Francis</w:t>
            </w:r>
            <w:r>
              <w:rPr>
                <w:rFonts w:ascii="Arial" w:cs="Arial" w:eastAsia="Arial" w:hAnsi="Arial"/>
                <w:sz w:val="29"/>
                <w:szCs w:val="29"/>
                <w:color w:val="auto"/>
                <w:vertAlign w:val="superscript"/>
              </w:rPr>
              <w:t>(5)</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27,700,850</w:t>
            </w:r>
          </w:p>
        </w:tc>
        <w:tc>
          <w:tcPr>
            <w:tcW w:w="160" w:type="dxa"/>
            <w:vAlign w:val="bottom"/>
          </w:tcPr>
          <w:p>
            <w:pPr>
              <w:spacing w:after="0"/>
              <w:rPr>
                <w:sz w:val="24"/>
                <w:szCs w:val="24"/>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324"/>
        </w:trPr>
        <w:tc>
          <w:tcPr>
            <w:tcW w:w="44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Justin Hartfield</w:t>
            </w:r>
            <w:r>
              <w:rPr>
                <w:rFonts w:ascii="Arial" w:cs="Arial" w:eastAsia="Arial" w:hAnsi="Arial"/>
                <w:sz w:val="29"/>
                <w:szCs w:val="29"/>
                <w:color w:val="auto"/>
                <w:vertAlign w:val="superscript"/>
              </w:rPr>
              <w:t>(6)</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29,328,310</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Scott Gordon</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Fiona Tan</w:t>
            </w: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Olga Gonzalez</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Brenda Freeman</w:t>
            </w: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w w:val="94"/>
              </w:rPr>
              <w:t>All Directors and Executive Officers of the Company as</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4480" w:type="dxa"/>
            <w:vAlign w:val="bottom"/>
            <w:gridSpan w:val="2"/>
          </w:tcPr>
          <w:p>
            <w:pPr>
              <w:ind w:left="180"/>
              <w:spacing w:after="0" w:line="298" w:lineRule="exact"/>
              <w:rPr>
                <w:sz w:val="20"/>
                <w:szCs w:val="20"/>
                <w:color w:val="auto"/>
              </w:rPr>
            </w:pPr>
            <w:r>
              <w:rPr>
                <w:rFonts w:ascii="Arial" w:cs="Arial" w:eastAsia="Arial" w:hAnsi="Arial"/>
                <w:sz w:val="18"/>
                <w:szCs w:val="18"/>
                <w:b w:val="1"/>
                <w:bCs w:val="1"/>
                <w:color w:val="auto"/>
              </w:rPr>
              <w:t>a Group (12 Individuals)</w:t>
            </w:r>
            <w:r>
              <w:rPr>
                <w:rFonts w:ascii="Arial" w:cs="Arial" w:eastAsia="Arial" w:hAnsi="Arial"/>
                <w:sz w:val="29"/>
                <w:szCs w:val="29"/>
                <w:b w:val="1"/>
                <w:bCs w:val="1"/>
                <w:color w:val="auto"/>
                <w:vertAlign w:val="superscript"/>
              </w:rPr>
              <w:t>(7)</w:t>
            </w:r>
          </w:p>
        </w:tc>
        <w:tc>
          <w:tcPr>
            <w:tcW w:w="1300" w:type="dxa"/>
            <w:vAlign w:val="bottom"/>
          </w:tcPr>
          <w:p>
            <w:pPr>
              <w:jc w:val="right"/>
              <w:ind w:right="194"/>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54,726,788</w:t>
            </w:r>
          </w:p>
        </w:tc>
        <w:tc>
          <w:tcPr>
            <w:tcW w:w="160" w:type="dxa"/>
            <w:vAlign w:val="bottom"/>
          </w:tcPr>
          <w:p>
            <w:pPr>
              <w:spacing w:after="0"/>
              <w:rPr>
                <w:sz w:val="24"/>
                <w:szCs w:val="24"/>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80" w:type="dxa"/>
            <w:vAlign w:val="bottom"/>
            <w:gridSpan w:val="2"/>
          </w:tcPr>
          <w:p>
            <w:pPr>
              <w:spacing w:after="0" w:line="324" w:lineRule="exact"/>
              <w:rPr>
                <w:sz w:val="20"/>
                <w:szCs w:val="20"/>
                <w:color w:val="auto"/>
              </w:rPr>
            </w:pPr>
            <w:r>
              <w:rPr>
                <w:rFonts w:ascii="Arial" w:cs="Arial" w:eastAsia="Arial" w:hAnsi="Arial"/>
                <w:sz w:val="18"/>
                <w:szCs w:val="18"/>
                <w:color w:val="auto"/>
              </w:rPr>
              <w:t>Silver Spike Sponsor, LLC</w:t>
            </w:r>
            <w:r>
              <w:rPr>
                <w:rFonts w:ascii="Arial" w:cs="Arial" w:eastAsia="Arial" w:hAnsi="Arial"/>
                <w:sz w:val="29"/>
                <w:szCs w:val="29"/>
                <w:color w:val="auto"/>
                <w:vertAlign w:val="superscript"/>
              </w:rPr>
              <w:t>(8)</w:t>
            </w:r>
          </w:p>
        </w:tc>
        <w:tc>
          <w:tcPr>
            <w:tcW w:w="1300" w:type="dxa"/>
            <w:vAlign w:val="bottom"/>
          </w:tcPr>
          <w:p>
            <w:pPr>
              <w:jc w:val="right"/>
              <w:ind w:right="194"/>
              <w:spacing w:after="0"/>
              <w:rPr>
                <w:sz w:val="20"/>
                <w:szCs w:val="20"/>
                <w:color w:val="auto"/>
              </w:rPr>
            </w:pPr>
            <w:r>
              <w:rPr>
                <w:rFonts w:ascii="Arial" w:cs="Arial" w:eastAsia="Arial" w:hAnsi="Arial"/>
                <w:sz w:val="18"/>
                <w:szCs w:val="18"/>
                <w:color w:val="auto"/>
              </w:rPr>
              <w:t>9,750,000</w:t>
            </w:r>
          </w:p>
        </w:tc>
        <w:tc>
          <w:tcPr>
            <w:tcW w:w="160" w:type="dxa"/>
            <w:vAlign w:val="bottom"/>
          </w:tcPr>
          <w:p>
            <w:pPr>
              <w:spacing w:after="0"/>
              <w:rPr>
                <w:sz w:val="24"/>
                <w:szCs w:val="2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24"/>
        </w:trPr>
        <w:tc>
          <w:tcPr>
            <w:tcW w:w="44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Ghost Media Group, LLC</w:t>
            </w:r>
            <w:r>
              <w:rPr>
                <w:rFonts w:ascii="Arial" w:cs="Arial" w:eastAsia="Arial" w:hAnsi="Arial"/>
                <w:sz w:val="29"/>
                <w:szCs w:val="29"/>
                <w:color w:val="auto"/>
                <w:vertAlign w:val="superscript"/>
              </w:rPr>
              <w:t>(5)(6)</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8,469,191</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-3239770</wp:posOffset>
            </wp:positionV>
            <wp:extent cx="102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-3239770</wp:posOffset>
            </wp:positionV>
            <wp:extent cx="102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-3239770</wp:posOffset>
            </wp:positionV>
            <wp:extent cx="1028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Unless otherwise noted, the business address of each of the following entities or individuals is 41 Discovery, Irvine, California 92618.</w:t>
      </w:r>
    </w:p>
    <w:p>
      <w:pPr>
        <w:spacing w:after="0" w:line="53" w:lineRule="exact"/>
        <w:rPr>
          <w:rFonts w:ascii="Arial" w:cs="Arial" w:eastAsia="Arial" w:hAnsi="Arial"/>
          <w:sz w:val="13"/>
          <w:szCs w:val="13"/>
          <w:color w:val="auto"/>
        </w:rPr>
      </w:pPr>
    </w:p>
    <w:p>
      <w:pPr>
        <w:jc w:val="both"/>
        <w:ind w:left="640" w:right="299" w:hanging="348"/>
        <w:spacing w:after="0" w:line="238"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Holders of Class A Common Stock and Class V Common Stock are entitled to one vote for each share of Class A Common Stock or Class V Common Stock, as the case may be, held by them. Each Paired Interest is initially exchangeable for shares of Class A Common Stock on a one-for-one basis from time to time at and after 180 days following the Closing.</w:t>
      </w:r>
    </w:p>
    <w:p>
      <w:pPr>
        <w:spacing w:after="0" w:line="20"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percentage of voting power of the holders of Class A Common Stock and Class V Common Stock voting together as a single class.</w:t>
      </w:r>
    </w:p>
    <w:p>
      <w:pPr>
        <w:spacing w:after="0" w:line="1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5,000,000 shares in the aggregate of shares of Class A Common Stock held by AFV Partners SPV-5 LLC (“AFV 5”), AFV Partners SPV-6 LLC (“AFV 6”) and a controlled affiliated entity of Tony Aquila upon the completion of the business combination pursuant to the PIPE subscription financing. Mr. Aquila is the Chairman and CEO of AFV Partners LLC, which exercises ultimate voting and investment power with respect to the shares held by AFV 5 and AFV 6. Furthermore, Mr. Aquila will personally hold a portion of the shares of Class A</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33" w:lineRule="auto"/>
        <w:rPr>
          <w:sz w:val="20"/>
          <w:szCs w:val="20"/>
          <w:color w:val="auto"/>
        </w:rPr>
      </w:pPr>
      <w:r>
        <w:rPr>
          <w:rFonts w:ascii="Arial" w:cs="Arial" w:eastAsia="Arial" w:hAnsi="Arial"/>
          <w:sz w:val="14"/>
          <w:szCs w:val="14"/>
          <w:color w:val="auto"/>
        </w:rPr>
        <w:t>Common Stock and will be the sole member with ultimate voting and investment power with respect to the shares held by the controlled entity to be formed to hold the shares of Class A Common Stock. As such, Mr. Aquila may be deemed to be a beneficial owner of the shares held by AFV 5, AFV 6 and the controlled affiliated entity. The business address of the reporting person is 2126 Hamilton Road Suite 260, Argyle, TX 76226.</w:t>
      </w:r>
    </w:p>
    <w:p>
      <w:pPr>
        <w:spacing w:after="0" w:line="23" w:lineRule="exact"/>
        <w:rPr>
          <w:sz w:val="20"/>
          <w:szCs w:val="20"/>
          <w:color w:val="auto"/>
        </w:rPr>
      </w:pPr>
    </w:p>
    <w:p>
      <w:pPr>
        <w:jc w:val="both"/>
        <w:ind w:left="640" w:right="299" w:hanging="348"/>
        <w:spacing w:after="0" w:line="251" w:lineRule="auto"/>
        <w:tabs>
          <w:tab w:leader="none" w:pos="6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17,162,485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4" w:lineRule="exact"/>
        <w:rPr>
          <w:rFonts w:ascii="Arial" w:cs="Arial" w:eastAsia="Arial" w:hAnsi="Arial"/>
          <w:sz w:val="13"/>
          <w:szCs w:val="13"/>
          <w:color w:val="auto"/>
        </w:rPr>
      </w:pPr>
    </w:p>
    <w:p>
      <w:pPr>
        <w:jc w:val="both"/>
        <w:ind w:left="640" w:right="299" w:hanging="348"/>
        <w:spacing w:after="0" w:line="255" w:lineRule="auto"/>
        <w:tabs>
          <w:tab w:leader="none" w:pos="6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19,288,160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2" w:lineRule="exact"/>
        <w:rPr>
          <w:rFonts w:ascii="Arial" w:cs="Arial" w:eastAsia="Arial" w:hAnsi="Arial"/>
          <w:sz w:val="13"/>
          <w:szCs w:val="13"/>
          <w:color w:val="auto"/>
        </w:rPr>
      </w:pPr>
    </w:p>
    <w:p>
      <w:pPr>
        <w:ind w:left="640" w:hanging="348"/>
        <w:spacing w:after="0"/>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54,726,788 shares of Class V Common Stock beneficially owned by our directors and executive officers.</w:t>
      </w:r>
    </w:p>
    <w:p>
      <w:pPr>
        <w:spacing w:after="0" w:line="41" w:lineRule="exact"/>
        <w:rPr>
          <w:rFonts w:ascii="Arial" w:cs="Arial" w:eastAsia="Arial" w:hAnsi="Arial"/>
          <w:sz w:val="14"/>
          <w:szCs w:val="14"/>
          <w:color w:val="auto"/>
        </w:rPr>
      </w:pPr>
    </w:p>
    <w:p>
      <w:pPr>
        <w:jc w:val="both"/>
        <w:ind w:left="640" w:right="299" w:hanging="348"/>
        <w:spacing w:after="0" w:line="228"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Scott Gordon, William Healy and Gregory M. Gentile are the three managers of Silver Spike Sponsor, LLC’s board of managers. Any action by Silver Spike Sponsor, LLC with respect to the shares of Class A Common Stock, including voting and dispositive decisions, requires a majority vote of the managers of the board of managers. Under the so-called “rule of three,” because voting and dispositive decisions are made by a majority of Silver Spike Sponsor, LLC’s managers, none of the managers of Silver Spike Sponsor, LLC is deemed to be a beneficial owner of Silver Spike Sponsor, LLC’s securities, even those in which he holds a pecuniary interest. Accordingly, none of the Company’s executive officers is deemed to have or share beneficial ownership of the founders shares held by Silver Spike Sponsor, LLC.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Registration Rights Agreement, the Subscription Agreements and the Warrant Agreement, we agreed to file a registration statement with the SEC for the purposes of registering for resale</w:t>
      </w:r>
    </w:p>
    <w:p>
      <w:pPr>
        <w:spacing w:after="0" w:line="2" w:lineRule="exact"/>
        <w:rPr>
          <w:sz w:val="20"/>
          <w:szCs w:val="20"/>
          <w:color w:val="auto"/>
        </w:rPr>
      </w:pPr>
    </w:p>
    <w:p>
      <w:pPr>
        <w:jc w:val="both"/>
        <w:ind w:left="300" w:right="299" w:hanging="8"/>
        <w:spacing w:after="0" w:line="255" w:lineRule="auto"/>
        <w:tabs>
          <w:tab w:leader="none" w:pos="52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Private Placement Warrants (and the shares of Class A Common Stock that may be issued upon exercise of the Private Placement Warrants) and (ii) the shares of our Class A Common Stock issued to the Selling Securityholders.</w:t>
      </w:r>
    </w:p>
    <w:p>
      <w:pPr>
        <w:spacing w:after="0" w:line="8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63,738,563 shares of our Common Stock issued and outstanding as of June 16, 2021 and do not take into account the issuance of any shares of Class A Common Stock upon (i) the exercise of 19,499,993 Warrants to purchase an aggregate of 19,499,993 shares of Class A Common Stock, (ii) the exchange of 25,896,042 Class P Units for up to 25,896,042 shares of Class A Common Stock or (iii) the exchange of 65,502,347 Paired Interest for up to 65,502,347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64"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8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Up to 12,499,993 shares of Class A Common Stock issuable upon exercise of the Public Warrants are not included in the table below, unless specifically indicated in the footnotes therein.</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 of Class A</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6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Warrants Beneficially</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Class A</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Class A of</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the Offered Shares of</w:t>
            </w:r>
          </w:p>
        </w:tc>
        <w:tc>
          <w:tcPr>
            <w:tcW w:w="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Common</w:t>
            </w:r>
          </w:p>
        </w:tc>
        <w:tc>
          <w:tcPr>
            <w:tcW w:w="740" w:type="dxa"/>
            <w:vAlign w:val="bottom"/>
            <w:gridSpan w:val="2"/>
            <w:vMerge w:val="continue"/>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Class A Common Stock</w:t>
            </w:r>
          </w:p>
        </w:tc>
        <w:tc>
          <w:tcPr>
            <w:tcW w:w="16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Owned After the Offered</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are Sold</w:t>
            </w: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Warrants are Sold</w:t>
            </w:r>
          </w:p>
        </w:tc>
        <w:tc>
          <w:tcPr>
            <w:tcW w:w="0" w:type="dxa"/>
            <w:vAlign w:val="bottom"/>
          </w:tcPr>
          <w:p>
            <w:pPr>
              <w:spacing w:after="0"/>
              <w:rPr>
                <w:sz w:val="1"/>
                <w:szCs w:val="1"/>
                <w:color w:val="auto"/>
              </w:rPr>
            </w:pPr>
          </w:p>
        </w:tc>
      </w:tr>
      <w:tr>
        <w:trPr>
          <w:trHeight w:val="90"/>
        </w:trPr>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Prior to</w:t>
            </w:r>
          </w:p>
        </w:tc>
        <w:tc>
          <w:tcPr>
            <w:tcW w:w="40" w:type="dxa"/>
            <w:vAlign w:val="bottom"/>
          </w:tcPr>
          <w:p>
            <w:pPr>
              <w:spacing w:after="0"/>
              <w:rPr>
                <w:sz w:val="7"/>
                <w:szCs w:val="7"/>
                <w:color w:val="auto"/>
              </w:rPr>
            </w:pPr>
          </w:p>
        </w:tc>
        <w:tc>
          <w:tcPr>
            <w:tcW w:w="7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Being</w:t>
            </w: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Being</w:t>
            </w:r>
          </w:p>
        </w:tc>
        <w:tc>
          <w:tcPr>
            <w:tcW w:w="7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 of Selling Securityholder</w:t>
            </w:r>
          </w:p>
        </w:tc>
        <w:tc>
          <w:tcPr>
            <w:tcW w:w="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60" w:type="dxa"/>
            <w:vAlign w:val="bottom"/>
          </w:tcPr>
          <w:p>
            <w:pPr>
              <w:spacing w:after="0"/>
              <w:rPr>
                <w:sz w:val="3"/>
                <w:szCs w:val="3"/>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20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Offered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Offered</w:t>
            </w: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20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Christopher Beals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6,166,819</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6,166,819</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0"/>
                <w:szCs w:val="20"/>
                <w:color w:val="auto"/>
              </w:rPr>
            </w:pPr>
            <w:r>
              <w:rPr>
                <w:rFonts w:ascii="Arial" w:cs="Arial" w:eastAsia="Arial" w:hAnsi="Arial"/>
                <w:sz w:val="16"/>
                <w:szCs w:val="16"/>
                <w:color w:val="auto"/>
              </w:rPr>
              <w:t>Brian Camire</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681,749</w:t>
            </w: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681,749</w:t>
            </w:r>
          </w:p>
        </w:tc>
        <w:tc>
          <w:tcPr>
            <w:tcW w:w="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Justin Dean</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619,772</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619,772</w:t>
            </w:r>
          </w:p>
        </w:tc>
        <w:tc>
          <w:tcPr>
            <w:tcW w:w="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2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0"/>
                <w:szCs w:val="20"/>
                <w:color w:val="auto"/>
              </w:rPr>
            </w:pPr>
            <w:r>
              <w:rPr>
                <w:rFonts w:ascii="Arial" w:cs="Arial" w:eastAsia="Arial" w:hAnsi="Arial"/>
                <w:sz w:val="16"/>
                <w:szCs w:val="16"/>
                <w:color w:val="auto"/>
              </w:rPr>
              <w:t>Juanjo Feijoo</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681,749</w:t>
            </w: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681,749</w:t>
            </w:r>
          </w:p>
        </w:tc>
        <w:tc>
          <w:tcPr>
            <w:tcW w:w="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Arden Lee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1,239,543</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1,239,543</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0"/>
                <w:szCs w:val="20"/>
                <w:color w:val="auto"/>
              </w:rPr>
            </w:pPr>
            <w:r>
              <w:rPr>
                <w:rFonts w:ascii="Arial" w:cs="Arial" w:eastAsia="Arial" w:hAnsi="Arial"/>
                <w:sz w:val="16"/>
                <w:szCs w:val="16"/>
                <w:color w:val="auto"/>
              </w:rPr>
              <w:t>Steven Jung</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1,314,411</w:t>
            </w: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1,314,411</w:t>
            </w:r>
          </w:p>
        </w:tc>
        <w:tc>
          <w:tcPr>
            <w:tcW w:w="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Doug Francis</w:t>
            </w:r>
            <w:r>
              <w:rPr>
                <w:rFonts w:ascii="Arial" w:cs="Arial" w:eastAsia="Arial" w:hAnsi="Arial"/>
                <w:sz w:val="26"/>
                <w:szCs w:val="26"/>
                <w:color w:val="auto"/>
                <w:vertAlign w:val="superscript"/>
              </w:rPr>
              <w:t>(1)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27,700,849</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27,700,849</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080" w:type="dxa"/>
            <w:vAlign w:val="bottom"/>
          </w:tcPr>
          <w:p>
            <w:pPr>
              <w:spacing w:after="0"/>
              <w:rPr>
                <w:sz w:val="20"/>
                <w:szCs w:val="20"/>
                <w:color w:val="auto"/>
              </w:rPr>
            </w:pPr>
            <w:r>
              <w:rPr>
                <w:rFonts w:ascii="Arial" w:cs="Arial" w:eastAsia="Arial" w:hAnsi="Arial"/>
                <w:sz w:val="16"/>
                <w:szCs w:val="16"/>
                <w:color w:val="auto"/>
              </w:rPr>
              <w:t>Justin Hartfield</w:t>
            </w:r>
            <w:r>
              <w:rPr>
                <w:rFonts w:ascii="Arial" w:cs="Arial" w:eastAsia="Arial" w:hAnsi="Arial"/>
                <w:sz w:val="26"/>
                <w:szCs w:val="26"/>
                <w:color w:val="auto"/>
                <w:vertAlign w:val="superscript"/>
              </w:rPr>
              <w:t>(2)</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4"/>
              </w:rPr>
              <w:t>29,328,310</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4"/>
              </w:rPr>
              <w:t>29,328,310</w:t>
            </w:r>
          </w:p>
        </w:tc>
        <w:tc>
          <w:tcPr>
            <w:tcW w:w="4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Entities affiliated with Silver</w:t>
            </w: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080" w:type="dxa"/>
            <w:vAlign w:val="bottom"/>
            <w:shd w:val="clear" w:color="auto" w:fill="CCEEFF"/>
          </w:tcPr>
          <w:p>
            <w:pPr>
              <w:ind w:left="160"/>
              <w:spacing w:after="0" w:line="281" w:lineRule="exact"/>
              <w:rPr>
                <w:sz w:val="20"/>
                <w:szCs w:val="20"/>
                <w:color w:val="auto"/>
              </w:rPr>
            </w:pPr>
            <w:r>
              <w:rPr>
                <w:rFonts w:ascii="Arial" w:cs="Arial" w:eastAsia="Arial" w:hAnsi="Arial"/>
                <w:sz w:val="16"/>
                <w:szCs w:val="16"/>
                <w:color w:val="auto"/>
              </w:rPr>
              <w:t>Spike Sponsor, LLC</w:t>
            </w:r>
            <w:r>
              <w:rPr>
                <w:rFonts w:ascii="Arial" w:cs="Arial" w:eastAsia="Arial" w:hAnsi="Arial"/>
                <w:sz w:val="26"/>
                <w:szCs w:val="26"/>
                <w:color w:val="auto"/>
                <w:vertAlign w:val="superscript"/>
              </w:rPr>
              <w:t>(3)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7,065,752</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7,000,000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7,065,752</w:t>
            </w: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7,000,000</w:t>
            </w:r>
          </w:p>
        </w:tc>
        <w:tc>
          <w:tcPr>
            <w:tcW w:w="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080" w:type="dxa"/>
            <w:vAlign w:val="bottom"/>
          </w:tcPr>
          <w:p>
            <w:pPr>
              <w:spacing w:after="0"/>
              <w:rPr>
                <w:sz w:val="20"/>
                <w:szCs w:val="20"/>
                <w:color w:val="auto"/>
              </w:rPr>
            </w:pPr>
            <w:r>
              <w:rPr>
                <w:rFonts w:ascii="Arial" w:cs="Arial" w:eastAsia="Arial" w:hAnsi="Arial"/>
                <w:sz w:val="16"/>
                <w:szCs w:val="16"/>
                <w:color w:val="auto"/>
                <w:w w:val="94"/>
              </w:rPr>
              <w:t>2012 Grassie Family Delaware</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080" w:type="dxa"/>
            <w:vAlign w:val="bottom"/>
          </w:tcPr>
          <w:p>
            <w:pPr>
              <w:ind w:left="160"/>
              <w:spacing w:after="0" w:line="281" w:lineRule="exact"/>
              <w:rPr>
                <w:sz w:val="20"/>
                <w:szCs w:val="20"/>
                <w:color w:val="auto"/>
              </w:rPr>
            </w:pPr>
            <w:r>
              <w:rPr>
                <w:rFonts w:ascii="Arial" w:cs="Arial" w:eastAsia="Arial" w:hAnsi="Arial"/>
                <w:sz w:val="16"/>
                <w:szCs w:val="16"/>
                <w:color w:val="auto"/>
              </w:rPr>
              <w:t>Dynasty Trust</w:t>
            </w:r>
            <w:r>
              <w:rPr>
                <w:rFonts w:ascii="Arial" w:cs="Arial" w:eastAsia="Arial" w:hAnsi="Arial"/>
                <w:sz w:val="26"/>
                <w:szCs w:val="26"/>
                <w:color w:val="auto"/>
                <w:vertAlign w:val="superscript"/>
              </w:rPr>
              <w:t>(4)</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52,500</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52,500</w:t>
            </w:r>
          </w:p>
        </w:tc>
        <w:tc>
          <w:tcPr>
            <w:tcW w:w="4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2019 Alternative Public</w:t>
            </w: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080" w:type="dxa"/>
            <w:vAlign w:val="bottom"/>
            <w:shd w:val="clear" w:color="auto" w:fill="CCEEFF"/>
          </w:tcPr>
          <w:p>
            <w:pPr>
              <w:ind w:left="160"/>
              <w:spacing w:after="0" w:line="281" w:lineRule="exact"/>
              <w:rPr>
                <w:sz w:val="20"/>
                <w:szCs w:val="20"/>
                <w:color w:val="auto"/>
              </w:rPr>
            </w:pPr>
            <w:r>
              <w:rPr>
                <w:rFonts w:ascii="Arial" w:cs="Arial" w:eastAsia="Arial" w:hAnsi="Arial"/>
                <w:sz w:val="16"/>
                <w:szCs w:val="16"/>
                <w:color w:val="auto"/>
              </w:rPr>
              <w:t>Investments, LLC</w:t>
            </w:r>
            <w:r>
              <w:rPr>
                <w:rFonts w:ascii="Arial" w:cs="Arial" w:eastAsia="Arial" w:hAnsi="Arial"/>
                <w:sz w:val="26"/>
                <w:szCs w:val="26"/>
                <w:color w:val="auto"/>
                <w:vertAlign w:val="superscript"/>
              </w:rPr>
              <w:t>(5)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231,123</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231,123</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82"/>
        </w:trPr>
        <w:tc>
          <w:tcPr>
            <w:tcW w:w="2080" w:type="dxa"/>
            <w:vAlign w:val="bottom"/>
          </w:tcPr>
          <w:p>
            <w:pPr>
              <w:spacing w:after="0"/>
              <w:rPr>
                <w:sz w:val="20"/>
                <w:szCs w:val="20"/>
                <w:color w:val="auto"/>
              </w:rPr>
            </w:pPr>
            <w:r>
              <w:rPr>
                <w:rFonts w:ascii="Arial" w:cs="Arial" w:eastAsia="Arial" w:hAnsi="Arial"/>
                <w:sz w:val="16"/>
                <w:szCs w:val="16"/>
                <w:color w:val="auto"/>
              </w:rPr>
              <w:t>8704856 Canada Inc.</w:t>
            </w:r>
            <w:r>
              <w:rPr>
                <w:rFonts w:ascii="Arial" w:cs="Arial" w:eastAsia="Arial" w:hAnsi="Arial"/>
                <w:sz w:val="26"/>
                <w:szCs w:val="26"/>
                <w:color w:val="auto"/>
                <w:vertAlign w:val="superscript"/>
              </w:rPr>
              <w:t>(6)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85,000</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85,000</w:t>
            </w:r>
          </w:p>
        </w:tc>
        <w:tc>
          <w:tcPr>
            <w:tcW w:w="4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-2813685</wp:posOffset>
            </wp:positionV>
            <wp:extent cx="342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-2813685</wp:posOffset>
            </wp:positionV>
            <wp:extent cx="342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-2813685</wp:posOffset>
            </wp:positionV>
            <wp:extent cx="342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-2813685</wp:posOffset>
            </wp:positionV>
            <wp:extent cx="342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-2813685</wp:posOffset>
            </wp:positionV>
            <wp:extent cx="342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-2813685</wp:posOffset>
            </wp:positionV>
            <wp:extent cx="342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-2813685</wp:posOffset>
            </wp:positionV>
            <wp:extent cx="342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-2813685</wp:posOffset>
            </wp:positionV>
            <wp:extent cx="342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4" w:name="page115"/>
    <w:bookmarkEnd w:id="114"/>
    <w:p>
      <w:pPr>
        <w:spacing w:after="0" w:line="5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gridSpan w:val="3"/>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Warrants</w:t>
            </w:r>
          </w:p>
        </w:tc>
        <w:tc>
          <w:tcPr>
            <w:tcW w:w="7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6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78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Class A of</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the Offered Shares of</w:t>
            </w:r>
          </w:p>
        </w:tc>
        <w:tc>
          <w:tcPr>
            <w:tcW w:w="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5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Beneficially  Common</w:t>
            </w:r>
          </w:p>
        </w:tc>
        <w:tc>
          <w:tcPr>
            <w:tcW w:w="23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Number of  Class A Common Stock</w:t>
            </w:r>
          </w:p>
        </w:tc>
        <w:tc>
          <w:tcPr>
            <w:tcW w:w="16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Owned After the Offered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Owned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are Sold</w:t>
            </w: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Warrants are Sold</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Prior to</w:t>
            </w:r>
          </w:p>
        </w:tc>
        <w:tc>
          <w:tcPr>
            <w:tcW w:w="7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Being</w:t>
            </w: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Being</w:t>
            </w:r>
          </w:p>
        </w:tc>
        <w:tc>
          <w:tcPr>
            <w:tcW w:w="7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60" w:type="dxa"/>
            <w:vAlign w:val="bottom"/>
          </w:tcPr>
          <w:p>
            <w:pPr>
              <w:spacing w:after="0"/>
              <w:rPr>
                <w:sz w:val="3"/>
                <w:szCs w:val="3"/>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2160" w:type="dxa"/>
            <w:vAlign w:val="bottom"/>
            <w:gridSpan w:val="3"/>
            <w:vMerge w:val="continue"/>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Offering</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Offered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Offered</w:t>
            </w: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Adam L. Reeder</w:t>
            </w:r>
            <w:r>
              <w:rPr>
                <w:rFonts w:ascii="Arial" w:cs="Arial" w:eastAsia="Arial" w:hAnsi="Arial"/>
                <w:sz w:val="26"/>
                <w:szCs w:val="26"/>
                <w:color w:val="auto"/>
                <w:vertAlign w:val="superscript"/>
              </w:rPr>
              <w:t>(7)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160" w:type="dxa"/>
            <w:vAlign w:val="bottom"/>
            <w:gridSpan w:val="3"/>
          </w:tcPr>
          <w:p>
            <w:pPr>
              <w:spacing w:after="0"/>
              <w:rPr>
                <w:sz w:val="20"/>
                <w:szCs w:val="20"/>
                <w:color w:val="auto"/>
              </w:rPr>
            </w:pPr>
            <w:r>
              <w:rPr>
                <w:rFonts w:ascii="Arial" w:cs="Arial" w:eastAsia="Arial" w:hAnsi="Arial"/>
                <w:sz w:val="16"/>
                <w:szCs w:val="16"/>
                <w:color w:val="auto"/>
              </w:rPr>
              <w:t>Aguila Ventures LLC</w:t>
            </w:r>
            <w:r>
              <w:rPr>
                <w:rFonts w:ascii="Arial" w:cs="Arial" w:eastAsia="Arial" w:hAnsi="Arial"/>
                <w:sz w:val="26"/>
                <w:szCs w:val="26"/>
                <w:color w:val="auto"/>
                <w:vertAlign w:val="superscript"/>
              </w:rPr>
              <w:t>(8)</w:t>
            </w:r>
          </w:p>
        </w:tc>
        <w:tc>
          <w:tcPr>
            <w:tcW w:w="720" w:type="dxa"/>
            <w:vAlign w:val="bottom"/>
          </w:tcPr>
          <w:p>
            <w:pPr>
              <w:jc w:val="right"/>
              <w:spacing w:after="0"/>
              <w:rPr>
                <w:sz w:val="20"/>
                <w:szCs w:val="20"/>
                <w:color w:val="auto"/>
              </w:rPr>
            </w:pPr>
            <w:r>
              <w:rPr>
                <w:rFonts w:ascii="Arial" w:cs="Arial" w:eastAsia="Arial" w:hAnsi="Arial"/>
                <w:sz w:val="16"/>
                <w:szCs w:val="16"/>
                <w:color w:val="auto"/>
              </w:rPr>
              <w:t>100,000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AHPPCB Legacy Trust dated</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February 1, 2014</w:t>
            </w:r>
            <w:r>
              <w:rPr>
                <w:rFonts w:ascii="Arial" w:cs="Arial" w:eastAsia="Arial" w:hAnsi="Arial"/>
                <w:sz w:val="26"/>
                <w:szCs w:val="26"/>
                <w:color w:val="auto"/>
                <w:vertAlign w:val="superscript"/>
              </w:rPr>
              <w:t>(9)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Alasdair I.C. Grassie 2012</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Delaware Trust</w:t>
            </w:r>
            <w:r>
              <w:rPr>
                <w:rFonts w:ascii="Arial" w:cs="Arial" w:eastAsia="Arial" w:hAnsi="Arial"/>
                <w:sz w:val="26"/>
                <w:szCs w:val="26"/>
                <w:color w:val="auto"/>
                <w:vertAlign w:val="superscript"/>
              </w:rPr>
              <w:t>(10)</w:t>
            </w: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Amer Bisat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160" w:type="dxa"/>
            <w:vAlign w:val="bottom"/>
            <w:gridSpan w:val="3"/>
          </w:tcPr>
          <w:p>
            <w:pPr>
              <w:spacing w:after="0"/>
              <w:rPr>
                <w:sz w:val="20"/>
                <w:szCs w:val="20"/>
                <w:color w:val="auto"/>
              </w:rPr>
            </w:pPr>
            <w:r>
              <w:rPr>
                <w:rFonts w:ascii="Arial" w:cs="Arial" w:eastAsia="Arial" w:hAnsi="Arial"/>
                <w:sz w:val="16"/>
                <w:szCs w:val="16"/>
                <w:color w:val="auto"/>
              </w:rPr>
              <w:t>Ansari 3 Twelve LLC II</w:t>
            </w:r>
            <w:r>
              <w:rPr>
                <w:rFonts w:ascii="Arial" w:cs="Arial" w:eastAsia="Arial" w:hAnsi="Arial"/>
                <w:sz w:val="26"/>
                <w:szCs w:val="26"/>
                <w:color w:val="auto"/>
                <w:vertAlign w:val="superscript"/>
              </w:rPr>
              <w:t>(11)</w:t>
            </w:r>
          </w:p>
        </w:tc>
        <w:tc>
          <w:tcPr>
            <w:tcW w:w="720" w:type="dxa"/>
            <w:vAlign w:val="bottom"/>
          </w:tcPr>
          <w:p>
            <w:pPr>
              <w:jc w:val="right"/>
              <w:spacing w:after="0"/>
              <w:rPr>
                <w:sz w:val="20"/>
                <w:szCs w:val="20"/>
                <w:color w:val="auto"/>
              </w:rPr>
            </w:pPr>
            <w:r>
              <w:rPr>
                <w:rFonts w:ascii="Arial" w:cs="Arial" w:eastAsia="Arial" w:hAnsi="Arial"/>
                <w:sz w:val="16"/>
                <w:szCs w:val="16"/>
                <w:color w:val="auto"/>
              </w:rPr>
              <w:t>180,000</w:t>
            </w:r>
          </w:p>
        </w:tc>
        <w:tc>
          <w:tcPr>
            <w:tcW w:w="6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91,666</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91,666</w:t>
            </w:r>
          </w:p>
        </w:tc>
        <w:tc>
          <w:tcPr>
            <w:tcW w:w="60" w:type="dxa"/>
            <w:vAlign w:val="bottom"/>
          </w:tcPr>
          <w:p>
            <w:pPr>
              <w:spacing w:after="0"/>
              <w:rPr>
                <w:sz w:val="24"/>
                <w:szCs w:val="24"/>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Entities affiliated with Anthony</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Aquila</w:t>
            </w:r>
            <w:r>
              <w:rPr>
                <w:rFonts w:ascii="Arial" w:cs="Arial" w:eastAsia="Arial" w:hAnsi="Arial"/>
                <w:sz w:val="26"/>
                <w:szCs w:val="26"/>
                <w:color w:val="auto"/>
                <w:vertAlign w:val="superscript"/>
              </w:rPr>
              <w:t>(12)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5,000,000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5,000,000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Asia Pacific On-Line</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Limited</w:t>
            </w:r>
            <w:r>
              <w:rPr>
                <w:rFonts w:ascii="Arial" w:cs="Arial" w:eastAsia="Arial" w:hAnsi="Arial"/>
                <w:sz w:val="26"/>
                <w:szCs w:val="26"/>
                <w:color w:val="auto"/>
                <w:vertAlign w:val="superscript"/>
              </w:rPr>
              <w:t>(13)</w:t>
            </w:r>
          </w:p>
        </w:tc>
        <w:tc>
          <w:tcPr>
            <w:tcW w:w="720" w:type="dxa"/>
            <w:vAlign w:val="bottom"/>
          </w:tcPr>
          <w:p>
            <w:pPr>
              <w:jc w:val="right"/>
              <w:spacing w:after="0"/>
              <w:rPr>
                <w:sz w:val="20"/>
                <w:szCs w:val="20"/>
                <w:color w:val="auto"/>
              </w:rPr>
            </w:pPr>
            <w:r>
              <w:rPr>
                <w:rFonts w:ascii="Arial" w:cs="Arial" w:eastAsia="Arial" w:hAnsi="Arial"/>
                <w:sz w:val="16"/>
                <w:szCs w:val="16"/>
                <w:color w:val="auto"/>
              </w:rPr>
              <w:t>20,000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7"/>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Entities affiliated with</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1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Monashee Investment</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Management, LLC</w:t>
            </w:r>
            <w:r>
              <w:rPr>
                <w:rFonts w:ascii="Arial" w:cs="Arial" w:eastAsia="Arial" w:hAnsi="Arial"/>
                <w:sz w:val="26"/>
                <w:szCs w:val="26"/>
                <w:color w:val="auto"/>
                <w:vertAlign w:val="superscript"/>
              </w:rPr>
              <w:t>(14)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Bernardino Colonna</w:t>
            </w:r>
          </w:p>
        </w:tc>
        <w:tc>
          <w:tcPr>
            <w:tcW w:w="720" w:type="dxa"/>
            <w:vAlign w:val="bottom"/>
          </w:tcPr>
          <w:p>
            <w:pPr>
              <w:jc w:val="right"/>
              <w:spacing w:after="0"/>
              <w:rPr>
                <w:sz w:val="20"/>
                <w:szCs w:val="20"/>
                <w:color w:val="auto"/>
              </w:rPr>
            </w:pPr>
            <w:r>
              <w:rPr>
                <w:rFonts w:ascii="Arial" w:cs="Arial" w:eastAsia="Arial" w:hAnsi="Arial"/>
                <w:sz w:val="16"/>
                <w:szCs w:val="16"/>
                <w:color w:val="auto"/>
              </w:rPr>
              <w:t>3,000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Cavenham Private Equity and</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Directs</w:t>
            </w:r>
            <w:r>
              <w:rPr>
                <w:rFonts w:ascii="Arial" w:cs="Arial" w:eastAsia="Arial" w:hAnsi="Arial"/>
                <w:sz w:val="26"/>
                <w:szCs w:val="26"/>
                <w:color w:val="auto"/>
                <w:vertAlign w:val="superscript"/>
              </w:rPr>
              <w:t>(15)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w w:val="99"/>
              </w:rPr>
              <w:t>Citadel Multi-Strategy Equities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Master Fund Ltd.</w:t>
            </w:r>
            <w:r>
              <w:rPr>
                <w:rFonts w:ascii="Arial" w:cs="Arial" w:eastAsia="Arial" w:hAnsi="Arial"/>
                <w:sz w:val="26"/>
                <w:szCs w:val="26"/>
                <w:color w:val="auto"/>
                <w:vertAlign w:val="superscript"/>
              </w:rPr>
              <w:t>(16)</w:t>
            </w:r>
          </w:p>
        </w:tc>
        <w:tc>
          <w:tcPr>
            <w:tcW w:w="720" w:type="dxa"/>
            <w:vAlign w:val="bottom"/>
          </w:tcPr>
          <w:p>
            <w:pPr>
              <w:jc w:val="right"/>
              <w:spacing w:after="0"/>
              <w:rPr>
                <w:sz w:val="20"/>
                <w:szCs w:val="20"/>
                <w:color w:val="auto"/>
              </w:rPr>
            </w:pPr>
            <w:r>
              <w:rPr>
                <w:rFonts w:ascii="Arial" w:cs="Arial" w:eastAsia="Arial" w:hAnsi="Arial"/>
                <w:sz w:val="16"/>
                <w:szCs w:val="16"/>
                <w:color w:val="auto"/>
              </w:rPr>
              <w:t>750,000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Behdad Eghbali</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1,225,000</w:t>
            </w:r>
          </w:p>
        </w:tc>
        <w:tc>
          <w:tcPr>
            <w:tcW w:w="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1,225,000</w:t>
            </w:r>
          </w:p>
        </w:tc>
        <w:tc>
          <w:tcPr>
            <w:tcW w:w="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Jose E. Feliciano</w:t>
            </w:r>
          </w:p>
        </w:tc>
        <w:tc>
          <w:tcPr>
            <w:tcW w:w="720" w:type="dxa"/>
            <w:vAlign w:val="bottom"/>
          </w:tcPr>
          <w:p>
            <w:pPr>
              <w:jc w:val="right"/>
              <w:spacing w:after="0"/>
              <w:rPr>
                <w:sz w:val="20"/>
                <w:szCs w:val="20"/>
                <w:color w:val="auto"/>
              </w:rPr>
            </w:pPr>
            <w:r>
              <w:rPr>
                <w:rFonts w:ascii="Arial" w:cs="Arial" w:eastAsia="Arial" w:hAnsi="Arial"/>
                <w:sz w:val="16"/>
                <w:szCs w:val="16"/>
                <w:color w:val="auto"/>
              </w:rPr>
              <w:t>625,000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625,000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Chalten Investments Ltd</w:t>
            </w:r>
            <w:r>
              <w:rPr>
                <w:rFonts w:ascii="Arial" w:cs="Arial" w:eastAsia="Arial" w:hAnsi="Arial"/>
                <w:sz w:val="26"/>
                <w:szCs w:val="26"/>
                <w:color w:val="auto"/>
                <w:vertAlign w:val="superscript"/>
              </w:rPr>
              <w:t>(17)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Craig Schlanger Trust UAD</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540" w:type="dxa"/>
            <w:vAlign w:val="bottom"/>
          </w:tcPr>
          <w:p>
            <w:pPr>
              <w:ind w:left="160"/>
              <w:spacing w:after="0" w:line="281" w:lineRule="exact"/>
              <w:rPr>
                <w:sz w:val="20"/>
                <w:szCs w:val="20"/>
                <w:color w:val="auto"/>
              </w:rPr>
            </w:pPr>
            <w:r>
              <w:rPr>
                <w:rFonts w:ascii="Arial" w:cs="Arial" w:eastAsia="Arial" w:hAnsi="Arial"/>
                <w:sz w:val="16"/>
                <w:szCs w:val="16"/>
                <w:color w:val="auto"/>
              </w:rPr>
              <w:t>8/31/1979</w:t>
            </w:r>
            <w:r>
              <w:rPr>
                <w:rFonts w:ascii="Arial" w:cs="Arial" w:eastAsia="Arial" w:hAnsi="Arial"/>
                <w:sz w:val="26"/>
                <w:szCs w:val="26"/>
                <w:color w:val="auto"/>
                <w:vertAlign w:val="superscript"/>
              </w:rPr>
              <w:t>(18)</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CVI Investments, Inc.</w:t>
            </w:r>
            <w:r>
              <w:rPr>
                <w:rFonts w:ascii="Arial" w:cs="Arial" w:eastAsia="Arial" w:hAnsi="Arial"/>
                <w:sz w:val="26"/>
                <w:szCs w:val="26"/>
                <w:color w:val="auto"/>
                <w:vertAlign w:val="superscript"/>
              </w:rPr>
              <w:t>(19)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Darren Lazarus</w:t>
            </w:r>
          </w:p>
        </w:tc>
        <w:tc>
          <w:tcPr>
            <w:tcW w:w="720" w:type="dxa"/>
            <w:vAlign w:val="bottom"/>
          </w:tcPr>
          <w:p>
            <w:pPr>
              <w:jc w:val="right"/>
              <w:spacing w:after="0"/>
              <w:rPr>
                <w:sz w:val="20"/>
                <w:szCs w:val="20"/>
                <w:color w:val="auto"/>
              </w:rPr>
            </w:pPr>
            <w:r>
              <w:rPr>
                <w:rFonts w:ascii="Arial" w:cs="Arial" w:eastAsia="Arial" w:hAnsi="Arial"/>
                <w:sz w:val="16"/>
                <w:szCs w:val="16"/>
                <w:color w:val="auto"/>
              </w:rPr>
              <w:t>12,150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12,150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David M. Baron</w:t>
            </w:r>
            <w:r>
              <w:rPr>
                <w:rFonts w:ascii="Arial" w:cs="Arial" w:eastAsia="Arial" w:hAnsi="Arial"/>
                <w:sz w:val="26"/>
                <w:szCs w:val="26"/>
                <w:color w:val="auto"/>
                <w:vertAlign w:val="superscript"/>
              </w:rPr>
              <w:t>(20)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David Mayer de Rothschild</w:t>
            </w:r>
          </w:p>
        </w:tc>
        <w:tc>
          <w:tcPr>
            <w:tcW w:w="720" w:type="dxa"/>
            <w:vAlign w:val="bottom"/>
          </w:tcPr>
          <w:p>
            <w:pPr>
              <w:jc w:val="right"/>
              <w:spacing w:after="0"/>
              <w:rPr>
                <w:sz w:val="20"/>
                <w:szCs w:val="20"/>
                <w:color w:val="auto"/>
              </w:rPr>
            </w:pPr>
            <w:r>
              <w:rPr>
                <w:rFonts w:ascii="Arial" w:cs="Arial" w:eastAsia="Arial" w:hAnsi="Arial"/>
                <w:sz w:val="16"/>
                <w:szCs w:val="16"/>
                <w:color w:val="auto"/>
              </w:rPr>
              <w:t>100,000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David Morrill</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David Todd Posen</w:t>
            </w:r>
          </w:p>
        </w:tc>
        <w:tc>
          <w:tcPr>
            <w:tcW w:w="720" w:type="dxa"/>
            <w:vAlign w:val="bottom"/>
          </w:tcPr>
          <w:p>
            <w:pPr>
              <w:jc w:val="right"/>
              <w:spacing w:after="0"/>
              <w:rPr>
                <w:sz w:val="20"/>
                <w:szCs w:val="20"/>
                <w:color w:val="auto"/>
              </w:rPr>
            </w:pPr>
            <w:r>
              <w:rPr>
                <w:rFonts w:ascii="Arial" w:cs="Arial" w:eastAsia="Arial" w:hAnsi="Arial"/>
                <w:sz w:val="16"/>
                <w:szCs w:val="16"/>
                <w:color w:val="auto"/>
              </w:rPr>
              <w:t>7,000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Debra Shemesh-Joester</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Doug Kaplan</w:t>
            </w:r>
          </w:p>
        </w:tc>
        <w:tc>
          <w:tcPr>
            <w:tcW w:w="720" w:type="dxa"/>
            <w:vAlign w:val="bottom"/>
          </w:tcPr>
          <w:p>
            <w:pPr>
              <w:jc w:val="right"/>
              <w:spacing w:after="0"/>
              <w:rPr>
                <w:sz w:val="20"/>
                <w:szCs w:val="20"/>
                <w:color w:val="auto"/>
              </w:rPr>
            </w:pPr>
            <w:r>
              <w:rPr>
                <w:rFonts w:ascii="Arial" w:cs="Arial" w:eastAsia="Arial" w:hAnsi="Arial"/>
                <w:sz w:val="16"/>
                <w:szCs w:val="16"/>
                <w:color w:val="auto"/>
              </w:rPr>
              <w:t>19,800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19,800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Eric Aroesty</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160" w:type="dxa"/>
            <w:vAlign w:val="bottom"/>
            <w:gridSpan w:val="3"/>
          </w:tcPr>
          <w:p>
            <w:pPr>
              <w:spacing w:after="0"/>
              <w:rPr>
                <w:sz w:val="20"/>
                <w:szCs w:val="20"/>
                <w:color w:val="auto"/>
              </w:rPr>
            </w:pPr>
            <w:r>
              <w:rPr>
                <w:rFonts w:ascii="Arial" w:cs="Arial" w:eastAsia="Arial" w:hAnsi="Arial"/>
                <w:sz w:val="16"/>
                <w:szCs w:val="16"/>
                <w:color w:val="auto"/>
              </w:rPr>
              <w:t>Eric Hirschfield</w:t>
            </w:r>
            <w:r>
              <w:rPr>
                <w:rFonts w:ascii="Arial" w:cs="Arial" w:eastAsia="Arial" w:hAnsi="Arial"/>
                <w:sz w:val="26"/>
                <w:szCs w:val="26"/>
                <w:color w:val="auto"/>
                <w:vertAlign w:val="superscript"/>
              </w:rPr>
              <w:t>(21)</w:t>
            </w:r>
          </w:p>
        </w:tc>
        <w:tc>
          <w:tcPr>
            <w:tcW w:w="720" w:type="dxa"/>
            <w:vAlign w:val="bottom"/>
          </w:tcPr>
          <w:p>
            <w:pPr>
              <w:jc w:val="right"/>
              <w:spacing w:after="0"/>
              <w:rPr>
                <w:sz w:val="20"/>
                <w:szCs w:val="20"/>
                <w:color w:val="auto"/>
              </w:rPr>
            </w:pPr>
            <w:r>
              <w:rPr>
                <w:rFonts w:ascii="Arial" w:cs="Arial" w:eastAsia="Arial" w:hAnsi="Arial"/>
                <w:sz w:val="16"/>
                <w:szCs w:val="16"/>
                <w:color w:val="auto"/>
              </w:rPr>
              <w:t>15,000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Euan C.A. Grassie 2012</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Delaware Trust</w:t>
            </w:r>
            <w:r>
              <w:rPr>
                <w:rFonts w:ascii="Arial" w:cs="Arial" w:eastAsia="Arial" w:hAnsi="Arial"/>
                <w:sz w:val="26"/>
                <w:szCs w:val="26"/>
                <w:color w:val="auto"/>
                <w:vertAlign w:val="superscript"/>
              </w:rPr>
              <w:t>(22)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Federated Funds</w:t>
            </w:r>
            <w:r>
              <w:rPr>
                <w:rFonts w:ascii="Arial" w:cs="Arial" w:eastAsia="Arial" w:hAnsi="Arial"/>
                <w:sz w:val="26"/>
                <w:szCs w:val="26"/>
                <w:color w:val="auto"/>
                <w:vertAlign w:val="superscript"/>
              </w:rPr>
              <w:t>(23)</w:t>
            </w:r>
          </w:p>
        </w:tc>
        <w:tc>
          <w:tcPr>
            <w:tcW w:w="720" w:type="dxa"/>
            <w:vAlign w:val="bottom"/>
          </w:tcPr>
          <w:p>
            <w:pPr>
              <w:jc w:val="right"/>
              <w:spacing w:after="0"/>
              <w:rPr>
                <w:sz w:val="20"/>
                <w:szCs w:val="20"/>
                <w:color w:val="auto"/>
              </w:rPr>
            </w:pPr>
            <w:r>
              <w:rPr>
                <w:rFonts w:ascii="Arial" w:cs="Arial" w:eastAsia="Arial" w:hAnsi="Arial"/>
                <w:sz w:val="16"/>
                <w:szCs w:val="16"/>
                <w:color w:val="auto"/>
                <w:w w:val="92"/>
              </w:rPr>
              <w:t>4,000,000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2"/>
              </w:rPr>
              <w:t>4,000,000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Final Word Investments</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32"/>
                <w:szCs w:val="32"/>
                <w:color w:val="auto"/>
                <w:vertAlign w:val="subscript"/>
              </w:rPr>
              <w:t>LLC</w:t>
            </w:r>
            <w:r>
              <w:rPr>
                <w:rFonts w:ascii="Arial" w:cs="Arial" w:eastAsia="Arial" w:hAnsi="Arial"/>
                <w:sz w:val="13"/>
                <w:szCs w:val="13"/>
                <w:color w:val="auto"/>
              </w:rPr>
              <w:t>(24)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Granite Point Master Fund,</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32"/>
                <w:szCs w:val="32"/>
                <w:color w:val="auto"/>
                <w:vertAlign w:val="subscript"/>
              </w:rPr>
              <w:t>LP</w:t>
            </w:r>
            <w:r>
              <w:rPr>
                <w:rFonts w:ascii="Arial" w:cs="Arial" w:eastAsia="Arial" w:hAnsi="Arial"/>
                <w:sz w:val="13"/>
                <w:szCs w:val="13"/>
                <w:color w:val="auto"/>
              </w:rPr>
              <w:t>(25)</w:t>
            </w:r>
          </w:p>
        </w:tc>
        <w:tc>
          <w:tcPr>
            <w:tcW w:w="720" w:type="dxa"/>
            <w:vAlign w:val="bottom"/>
          </w:tcPr>
          <w:p>
            <w:pPr>
              <w:jc w:val="right"/>
              <w:spacing w:after="0"/>
              <w:rPr>
                <w:sz w:val="20"/>
                <w:szCs w:val="20"/>
                <w:color w:val="auto"/>
              </w:rPr>
            </w:pPr>
            <w:r>
              <w:rPr>
                <w:rFonts w:ascii="Arial" w:cs="Arial" w:eastAsia="Arial" w:hAnsi="Arial"/>
                <w:sz w:val="16"/>
                <w:szCs w:val="16"/>
                <w:color w:val="auto"/>
              </w:rPr>
              <w:t>437,500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437,500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Gregor C.A. Grassie 2012</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Delaware Trust</w:t>
            </w:r>
            <w:r>
              <w:rPr>
                <w:rFonts w:ascii="Arial" w:cs="Arial" w:eastAsia="Arial" w:hAnsi="Arial"/>
                <w:sz w:val="26"/>
                <w:szCs w:val="26"/>
                <w:color w:val="auto"/>
                <w:vertAlign w:val="superscript"/>
              </w:rPr>
              <w:t>(26)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w w:val="94"/>
              </w:rPr>
              <w:t>GS+A Global Special Situations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Fund</w:t>
            </w:r>
            <w:r>
              <w:rPr>
                <w:rFonts w:ascii="Arial" w:cs="Arial" w:eastAsia="Arial" w:hAnsi="Arial"/>
                <w:sz w:val="26"/>
                <w:szCs w:val="26"/>
                <w:color w:val="auto"/>
                <w:vertAlign w:val="superscript"/>
              </w:rPr>
              <w:t>(27)</w:t>
            </w:r>
          </w:p>
        </w:tc>
        <w:tc>
          <w:tcPr>
            <w:tcW w:w="720" w:type="dxa"/>
            <w:vAlign w:val="bottom"/>
          </w:tcPr>
          <w:p>
            <w:pPr>
              <w:jc w:val="right"/>
              <w:spacing w:after="0"/>
              <w:rPr>
                <w:sz w:val="20"/>
                <w:szCs w:val="20"/>
                <w:color w:val="auto"/>
              </w:rPr>
            </w:pPr>
            <w:r>
              <w:rPr>
                <w:rFonts w:ascii="Arial" w:cs="Arial" w:eastAsia="Arial" w:hAnsi="Arial"/>
                <w:sz w:val="16"/>
                <w:szCs w:val="16"/>
                <w:color w:val="auto"/>
              </w:rPr>
              <w:t>350,000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Harbert Stoneview Master</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Fund, Ltd.</w:t>
            </w:r>
            <w:r>
              <w:rPr>
                <w:rFonts w:ascii="Arial" w:cs="Arial" w:eastAsia="Arial" w:hAnsi="Arial"/>
                <w:sz w:val="26"/>
                <w:szCs w:val="26"/>
                <w:color w:val="auto"/>
                <w:vertAlign w:val="superscript"/>
              </w:rPr>
              <w:t>(28)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Homer Parkhill</w:t>
            </w:r>
            <w:r>
              <w:rPr>
                <w:rFonts w:ascii="Arial" w:cs="Arial" w:eastAsia="Arial" w:hAnsi="Arial"/>
                <w:sz w:val="26"/>
                <w:szCs w:val="26"/>
                <w:color w:val="auto"/>
                <w:vertAlign w:val="superscript"/>
              </w:rPr>
              <w:t>(29)</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Hoplite Capital Series LLC –</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Kerdos</w:t>
            </w:r>
            <w:r>
              <w:rPr>
                <w:rFonts w:ascii="Arial" w:cs="Arial" w:eastAsia="Arial" w:hAnsi="Arial"/>
                <w:sz w:val="26"/>
                <w:szCs w:val="26"/>
                <w:color w:val="auto"/>
                <w:vertAlign w:val="superscript"/>
              </w:rPr>
              <w:t>(30)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Interward Capital Corp</w:t>
            </w:r>
            <w:r>
              <w:rPr>
                <w:rFonts w:ascii="Arial" w:cs="Arial" w:eastAsia="Arial" w:hAnsi="Arial"/>
                <w:sz w:val="26"/>
                <w:szCs w:val="26"/>
                <w:color w:val="auto"/>
                <w:vertAlign w:val="superscript"/>
              </w:rPr>
              <w:t>(31)</w:t>
            </w:r>
          </w:p>
        </w:tc>
        <w:tc>
          <w:tcPr>
            <w:tcW w:w="720" w:type="dxa"/>
            <w:vAlign w:val="bottom"/>
          </w:tcPr>
          <w:p>
            <w:pPr>
              <w:jc w:val="right"/>
              <w:spacing w:after="0"/>
              <w:rPr>
                <w:sz w:val="20"/>
                <w:szCs w:val="20"/>
                <w:color w:val="auto"/>
              </w:rPr>
            </w:pPr>
            <w:r>
              <w:rPr>
                <w:rFonts w:ascii="Arial" w:cs="Arial" w:eastAsia="Arial" w:hAnsi="Arial"/>
                <w:sz w:val="16"/>
                <w:szCs w:val="16"/>
                <w:color w:val="auto"/>
              </w:rPr>
              <w:t>20,000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Ben</w:t>
            </w:r>
            <w:r>
              <w:rPr>
                <w:rFonts w:ascii="Arial" w:cs="Arial" w:eastAsia="Arial" w:hAnsi="Arial"/>
                <w:sz w:val="26"/>
                <w:szCs w:val="26"/>
                <w:color w:val="auto"/>
                <w:vertAlign w:val="superscript"/>
              </w:rPr>
              <w:t>(32)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-9368790</wp:posOffset>
            </wp:positionV>
            <wp:extent cx="342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-9368790</wp:posOffset>
            </wp:positionV>
            <wp:extent cx="342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-9368790</wp:posOffset>
            </wp:positionV>
            <wp:extent cx="342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-9368790</wp:posOffset>
            </wp:positionV>
            <wp:extent cx="342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-9368790</wp:posOffset>
            </wp:positionV>
            <wp:extent cx="342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-9368790</wp:posOffset>
            </wp:positionV>
            <wp:extent cx="342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-9368790</wp:posOffset>
            </wp:positionV>
            <wp:extent cx="342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-9368790</wp:posOffset>
            </wp:positionV>
            <wp:extent cx="342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91" w:orient="portrait"/>
          <w:cols w:equalWidth="0" w:num="1">
            <w:col w:w="9019"/>
          </w:cols>
          <w:pgMar w:left="1440" w:top="262" w:right="1440" w:bottom="0" w:gutter="0" w:footer="0" w:header="0"/>
        </w:sectPr>
      </w:pPr>
    </w:p>
    <w:bookmarkStart w:id="115" w:name="page116"/>
    <w:bookmarkEnd w:id="115"/>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6" w:name="page117"/>
    <w:bookmarkEnd w:id="116"/>
    <w:tbl>
      <w:tblPr>
        <w:tblLayout w:type="fixed"/>
        <w:tblInd w:w="300" w:type="dxa"/>
        <w:tblCellMar>
          <w:top w:w="0" w:type="dxa"/>
          <w:left w:w="0" w:type="dxa"/>
          <w:bottom w:w="0" w:type="dxa"/>
          <w:right w:w="0" w:type="dxa"/>
        </w:tblCellMar>
      </w:tblPr>
      <w:tr>
        <w:trPr>
          <w:trHeight w:val="161"/>
        </w:trPr>
        <w:tc>
          <w:tcPr>
            <w:tcW w:w="2160" w:type="dxa"/>
            <w:vAlign w:val="bottom"/>
            <w:gridSpan w:val="3"/>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Warrants</w:t>
            </w:r>
          </w:p>
        </w:tc>
        <w:tc>
          <w:tcPr>
            <w:tcW w:w="7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6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78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Class A of</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the Offered Shares of</w:t>
            </w:r>
          </w:p>
        </w:tc>
        <w:tc>
          <w:tcPr>
            <w:tcW w:w="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740" w:type="dxa"/>
            <w:vAlign w:val="bottom"/>
            <w:gridSpan w:val="2"/>
            <w:vMerge w:val="continue"/>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Class A Common Stock</w:t>
            </w:r>
          </w:p>
        </w:tc>
        <w:tc>
          <w:tcPr>
            <w:tcW w:w="16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Owned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are Sold</w:t>
            </w: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Warrants are Sold</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Prior to</w:t>
            </w:r>
          </w:p>
        </w:tc>
        <w:tc>
          <w:tcPr>
            <w:tcW w:w="7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Being</w:t>
            </w: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Being</w:t>
            </w:r>
          </w:p>
        </w:tc>
        <w:tc>
          <w:tcPr>
            <w:tcW w:w="7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3"/>
                <w:szCs w:val="3"/>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line="20" w:lineRule="exact"/>
              <w:rPr>
                <w:sz w:val="1"/>
                <w:szCs w:val="1"/>
                <w:color w:val="auto"/>
              </w:rPr>
            </w:pPr>
          </w:p>
        </w:tc>
      </w:tr>
      <w:tr>
        <w:trPr>
          <w:trHeight w:val="186"/>
        </w:trPr>
        <w:tc>
          <w:tcPr>
            <w:tcW w:w="2160" w:type="dxa"/>
            <w:vAlign w:val="bottom"/>
            <w:gridSpan w:val="3"/>
            <w:vMerge w:val="continue"/>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Offering</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Offered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Offered</w:t>
            </w: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Neissa</w:t>
            </w:r>
            <w:r>
              <w:rPr>
                <w:rFonts w:ascii="Arial" w:cs="Arial" w:eastAsia="Arial" w:hAnsi="Arial"/>
                <w:sz w:val="26"/>
                <w:szCs w:val="26"/>
                <w:color w:val="auto"/>
                <w:vertAlign w:val="superscript"/>
              </w:rPr>
              <w:t>(33)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Jeffrey Jagid</w:t>
            </w:r>
          </w:p>
        </w:tc>
        <w:tc>
          <w:tcPr>
            <w:tcW w:w="720" w:type="dxa"/>
            <w:vAlign w:val="bottom"/>
          </w:tcPr>
          <w:p>
            <w:pPr>
              <w:jc w:val="right"/>
              <w:spacing w:after="0"/>
              <w:rPr>
                <w:sz w:val="20"/>
                <w:szCs w:val="20"/>
                <w:color w:val="auto"/>
              </w:rPr>
            </w:pPr>
            <w:r>
              <w:rPr>
                <w:rFonts w:ascii="Arial" w:cs="Arial" w:eastAsia="Arial" w:hAnsi="Arial"/>
                <w:sz w:val="16"/>
                <w:szCs w:val="16"/>
                <w:color w:val="auto"/>
              </w:rPr>
              <w:t>27,650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27,650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Jonathan Jagid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Joshua Jagid</w:t>
            </w:r>
          </w:p>
        </w:tc>
        <w:tc>
          <w:tcPr>
            <w:tcW w:w="720" w:type="dxa"/>
            <w:vAlign w:val="bottom"/>
          </w:tcPr>
          <w:p>
            <w:pPr>
              <w:jc w:val="right"/>
              <w:spacing w:after="0"/>
              <w:rPr>
                <w:sz w:val="20"/>
                <w:szCs w:val="20"/>
                <w:color w:val="auto"/>
              </w:rPr>
            </w:pPr>
            <w:r>
              <w:rPr>
                <w:rFonts w:ascii="Arial" w:cs="Arial" w:eastAsia="Arial" w:hAnsi="Arial"/>
                <w:sz w:val="16"/>
                <w:szCs w:val="16"/>
                <w:color w:val="auto"/>
              </w:rPr>
              <w:t>19,800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19,800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Joshua Samuelson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91,250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91,250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Kaitlin Carey</w:t>
            </w:r>
          </w:p>
        </w:tc>
        <w:tc>
          <w:tcPr>
            <w:tcW w:w="720" w:type="dxa"/>
            <w:vAlign w:val="bottom"/>
          </w:tcPr>
          <w:p>
            <w:pPr>
              <w:jc w:val="right"/>
              <w:spacing w:after="0"/>
              <w:rPr>
                <w:sz w:val="20"/>
                <w:szCs w:val="20"/>
                <w:color w:val="auto"/>
              </w:rPr>
            </w:pPr>
            <w:r>
              <w:rPr>
                <w:rFonts w:ascii="Arial" w:cs="Arial" w:eastAsia="Arial" w:hAnsi="Arial"/>
                <w:sz w:val="16"/>
                <w:szCs w:val="16"/>
                <w:color w:val="auto"/>
              </w:rPr>
              <w:t>2,500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Katz 2014 Limited</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Partnership</w:t>
            </w:r>
            <w:r>
              <w:rPr>
                <w:rFonts w:ascii="Arial" w:cs="Arial" w:eastAsia="Arial" w:hAnsi="Arial"/>
                <w:sz w:val="26"/>
                <w:szCs w:val="26"/>
                <w:color w:val="auto"/>
                <w:vertAlign w:val="superscript"/>
              </w:rPr>
              <w:t>(34)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Keith F. Overlander</w:t>
            </w:r>
          </w:p>
        </w:tc>
        <w:tc>
          <w:tcPr>
            <w:tcW w:w="720" w:type="dxa"/>
            <w:vAlign w:val="bottom"/>
          </w:tcPr>
          <w:p>
            <w:pPr>
              <w:jc w:val="right"/>
              <w:spacing w:after="0"/>
              <w:rPr>
                <w:sz w:val="20"/>
                <w:szCs w:val="20"/>
                <w:color w:val="auto"/>
              </w:rPr>
            </w:pPr>
            <w:r>
              <w:rPr>
                <w:rFonts w:ascii="Arial" w:cs="Arial" w:eastAsia="Arial" w:hAnsi="Arial"/>
                <w:sz w:val="16"/>
                <w:szCs w:val="16"/>
                <w:color w:val="auto"/>
              </w:rPr>
              <w:t>25,000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Lachlan S.H. Grassie 2012</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Delaware Trust</w:t>
            </w:r>
            <w:r>
              <w:rPr>
                <w:rFonts w:ascii="Arial" w:cs="Arial" w:eastAsia="Arial" w:hAnsi="Arial"/>
                <w:sz w:val="26"/>
                <w:szCs w:val="26"/>
                <w:color w:val="auto"/>
                <w:vertAlign w:val="superscript"/>
              </w:rPr>
              <w:t>(35)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Landis Capital LLC</w:t>
            </w:r>
            <w:r>
              <w:rPr>
                <w:rFonts w:ascii="Arial" w:cs="Arial" w:eastAsia="Arial" w:hAnsi="Arial"/>
                <w:sz w:val="26"/>
                <w:szCs w:val="26"/>
                <w:color w:val="auto"/>
                <w:vertAlign w:val="superscript"/>
              </w:rPr>
              <w:t>(36)</w:t>
            </w:r>
          </w:p>
        </w:tc>
        <w:tc>
          <w:tcPr>
            <w:tcW w:w="720" w:type="dxa"/>
            <w:vAlign w:val="bottom"/>
          </w:tcPr>
          <w:p>
            <w:pPr>
              <w:jc w:val="right"/>
              <w:spacing w:after="0"/>
              <w:rPr>
                <w:sz w:val="20"/>
                <w:szCs w:val="20"/>
                <w:color w:val="auto"/>
              </w:rPr>
            </w:pPr>
            <w:r>
              <w:rPr>
                <w:rFonts w:ascii="Arial" w:cs="Arial" w:eastAsia="Arial" w:hAnsi="Arial"/>
                <w:sz w:val="16"/>
                <w:szCs w:val="16"/>
                <w:color w:val="auto"/>
              </w:rPr>
              <w:t>25,000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Laurence Russian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Laurence Schreiber</w:t>
            </w:r>
          </w:p>
        </w:tc>
        <w:tc>
          <w:tcPr>
            <w:tcW w:w="720" w:type="dxa"/>
            <w:vAlign w:val="bottom"/>
          </w:tcPr>
          <w:p>
            <w:pPr>
              <w:jc w:val="right"/>
              <w:spacing w:after="0"/>
              <w:rPr>
                <w:sz w:val="20"/>
                <w:szCs w:val="20"/>
                <w:color w:val="auto"/>
              </w:rPr>
            </w:pPr>
            <w:r>
              <w:rPr>
                <w:rFonts w:ascii="Arial" w:cs="Arial" w:eastAsia="Arial" w:hAnsi="Arial"/>
                <w:sz w:val="16"/>
                <w:szCs w:val="16"/>
                <w:color w:val="auto"/>
              </w:rPr>
              <w:t>100,000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Entities affiliated with Luxor</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Capital</w:t>
            </w:r>
            <w:r>
              <w:rPr>
                <w:rFonts w:ascii="Arial" w:cs="Arial" w:eastAsia="Arial" w:hAnsi="Arial"/>
                <w:sz w:val="26"/>
                <w:szCs w:val="26"/>
                <w:color w:val="auto"/>
                <w:vertAlign w:val="superscript"/>
              </w:rPr>
              <w:t>(37)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5,147,524</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369,756</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2,700,000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2,447,524</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369,756</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Entities affiliated with</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Manatuck Hill</w:t>
            </w:r>
            <w:r>
              <w:rPr>
                <w:rFonts w:ascii="Arial" w:cs="Arial" w:eastAsia="Arial" w:hAnsi="Arial"/>
                <w:sz w:val="26"/>
                <w:szCs w:val="26"/>
                <w:color w:val="auto"/>
                <w:vertAlign w:val="superscript"/>
              </w:rPr>
              <w:t>(38)</w:t>
            </w:r>
          </w:p>
        </w:tc>
        <w:tc>
          <w:tcPr>
            <w:tcW w:w="720" w:type="dxa"/>
            <w:vAlign w:val="bottom"/>
          </w:tcPr>
          <w:p>
            <w:pPr>
              <w:jc w:val="right"/>
              <w:spacing w:after="0"/>
              <w:rPr>
                <w:sz w:val="20"/>
                <w:szCs w:val="20"/>
                <w:color w:val="auto"/>
              </w:rPr>
            </w:pPr>
            <w:r>
              <w:rPr>
                <w:rFonts w:ascii="Arial" w:cs="Arial" w:eastAsia="Arial" w:hAnsi="Arial"/>
                <w:sz w:val="16"/>
                <w:szCs w:val="16"/>
                <w:color w:val="auto"/>
              </w:rPr>
              <w:t>100,000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Marc Sontrop</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Matthew Tomasino</w:t>
            </w:r>
          </w:p>
        </w:tc>
        <w:tc>
          <w:tcPr>
            <w:tcW w:w="720" w:type="dxa"/>
            <w:vAlign w:val="bottom"/>
          </w:tcPr>
          <w:p>
            <w:pPr>
              <w:jc w:val="right"/>
              <w:spacing w:after="0"/>
              <w:rPr>
                <w:sz w:val="20"/>
                <w:szCs w:val="20"/>
                <w:color w:val="auto"/>
              </w:rPr>
            </w:pPr>
            <w:r>
              <w:rPr>
                <w:rFonts w:ascii="Arial" w:cs="Arial" w:eastAsia="Arial" w:hAnsi="Arial"/>
                <w:sz w:val="16"/>
                <w:szCs w:val="16"/>
                <w:color w:val="auto"/>
              </w:rPr>
              <w:t>3,000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Measure 8 Full Spectrum,</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32"/>
                <w:szCs w:val="32"/>
                <w:color w:val="auto"/>
                <w:vertAlign w:val="subscript"/>
              </w:rPr>
              <w:t>LP</w:t>
            </w:r>
            <w:r>
              <w:rPr>
                <w:rFonts w:ascii="Arial" w:cs="Arial" w:eastAsia="Arial" w:hAnsi="Arial"/>
                <w:sz w:val="13"/>
                <w:szCs w:val="13"/>
                <w:color w:val="auto"/>
              </w:rPr>
              <w:t>(39)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Ninepoint Alternative Health</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32"/>
                <w:szCs w:val="32"/>
                <w:color w:val="auto"/>
                <w:vertAlign w:val="subscript"/>
              </w:rPr>
              <w:t>Fund</w:t>
            </w:r>
            <w:r>
              <w:rPr>
                <w:rFonts w:ascii="Arial" w:cs="Arial" w:eastAsia="Arial" w:hAnsi="Arial"/>
                <w:sz w:val="13"/>
                <w:szCs w:val="13"/>
                <w:color w:val="auto"/>
              </w:rPr>
              <w:t>(40)</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6"/>
              </w:rPr>
              <w:t>Paul A. Halpern Trust date July</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540" w:type="dxa"/>
            <w:vAlign w:val="bottom"/>
            <w:shd w:val="clear" w:color="auto" w:fill="CCEEFF"/>
          </w:tcPr>
          <w:p>
            <w:pPr>
              <w:ind w:left="160"/>
              <w:spacing w:after="0" w:line="281" w:lineRule="exact"/>
              <w:rPr>
                <w:sz w:val="20"/>
                <w:szCs w:val="20"/>
                <w:color w:val="auto"/>
              </w:rPr>
            </w:pPr>
            <w:r>
              <w:rPr>
                <w:rFonts w:ascii="Arial" w:cs="Arial" w:eastAsia="Arial" w:hAnsi="Arial"/>
                <w:sz w:val="16"/>
                <w:szCs w:val="16"/>
                <w:color w:val="auto"/>
              </w:rPr>
              <w:t>24, 2000</w:t>
            </w:r>
            <w:r>
              <w:rPr>
                <w:rFonts w:ascii="Arial" w:cs="Arial" w:eastAsia="Arial" w:hAnsi="Arial"/>
                <w:sz w:val="26"/>
                <w:szCs w:val="26"/>
                <w:color w:val="auto"/>
                <w:vertAlign w:val="superscript"/>
              </w:rPr>
              <w:t>(41)</w:t>
            </w:r>
          </w:p>
        </w:tc>
        <w:tc>
          <w:tcPr>
            <w:tcW w:w="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Perch Bay Group, LLC</w:t>
            </w:r>
            <w:r>
              <w:rPr>
                <w:rFonts w:ascii="Arial" w:cs="Arial" w:eastAsia="Arial" w:hAnsi="Arial"/>
                <w:sz w:val="26"/>
                <w:szCs w:val="26"/>
                <w:color w:val="auto"/>
                <w:vertAlign w:val="superscript"/>
              </w:rPr>
              <w:t>(42)</w:t>
            </w:r>
          </w:p>
        </w:tc>
        <w:tc>
          <w:tcPr>
            <w:tcW w:w="720" w:type="dxa"/>
            <w:vAlign w:val="bottom"/>
          </w:tcPr>
          <w:p>
            <w:pPr>
              <w:jc w:val="right"/>
              <w:spacing w:after="0"/>
              <w:rPr>
                <w:sz w:val="20"/>
                <w:szCs w:val="20"/>
                <w:color w:val="auto"/>
              </w:rPr>
            </w:pPr>
            <w:r>
              <w:rPr>
                <w:rFonts w:ascii="Arial" w:cs="Arial" w:eastAsia="Arial" w:hAnsi="Arial"/>
                <w:sz w:val="16"/>
                <w:szCs w:val="16"/>
                <w:color w:val="auto"/>
              </w:rPr>
              <w:t>25,000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Peter J. Moses</w:t>
            </w:r>
            <w:r>
              <w:rPr>
                <w:rFonts w:ascii="Arial" w:cs="Arial" w:eastAsia="Arial" w:hAnsi="Arial"/>
                <w:sz w:val="26"/>
                <w:szCs w:val="26"/>
                <w:color w:val="auto"/>
                <w:vertAlign w:val="superscript"/>
              </w:rPr>
              <w:t>(43)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w w:val="98"/>
              </w:rPr>
              <w:t>Entities affiliated with the Polar</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Funds</w:t>
            </w:r>
            <w:r>
              <w:rPr>
                <w:rFonts w:ascii="Arial" w:cs="Arial" w:eastAsia="Arial" w:hAnsi="Arial"/>
                <w:sz w:val="26"/>
                <w:szCs w:val="26"/>
                <w:color w:val="auto"/>
                <w:vertAlign w:val="superscript"/>
              </w:rPr>
              <w:t>(44)</w:t>
            </w:r>
          </w:p>
        </w:tc>
        <w:tc>
          <w:tcPr>
            <w:tcW w:w="720" w:type="dxa"/>
            <w:vAlign w:val="bottom"/>
          </w:tcPr>
          <w:p>
            <w:pPr>
              <w:jc w:val="right"/>
              <w:spacing w:after="0"/>
              <w:rPr>
                <w:sz w:val="20"/>
                <w:szCs w:val="20"/>
                <w:color w:val="auto"/>
              </w:rPr>
            </w:pPr>
            <w:r>
              <w:rPr>
                <w:rFonts w:ascii="Arial" w:cs="Arial" w:eastAsia="Arial" w:hAnsi="Arial"/>
                <w:sz w:val="16"/>
                <w:szCs w:val="16"/>
                <w:color w:val="auto"/>
                <w:w w:val="92"/>
              </w:rPr>
              <w:t>1,500,000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2"/>
              </w:rPr>
              <w:t>1,500,000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Ponya Asset Management</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32"/>
                <w:szCs w:val="32"/>
                <w:color w:val="auto"/>
                <w:vertAlign w:val="subscript"/>
              </w:rPr>
              <w:t>LLC</w:t>
            </w:r>
            <w:r>
              <w:rPr>
                <w:rFonts w:ascii="Arial" w:cs="Arial" w:eastAsia="Arial" w:hAnsi="Arial"/>
                <w:sz w:val="13"/>
                <w:szCs w:val="13"/>
                <w:color w:val="auto"/>
              </w:rPr>
              <w:t>(45)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2160" w:type="dxa"/>
            <w:vAlign w:val="bottom"/>
            <w:gridSpan w:val="3"/>
          </w:tcPr>
          <w:p>
            <w:pPr>
              <w:spacing w:after="0"/>
              <w:rPr>
                <w:sz w:val="20"/>
                <w:szCs w:val="20"/>
                <w:color w:val="auto"/>
              </w:rPr>
            </w:pPr>
            <w:r>
              <w:rPr>
                <w:rFonts w:ascii="Arial" w:cs="Arial" w:eastAsia="Arial" w:hAnsi="Arial"/>
                <w:sz w:val="16"/>
                <w:szCs w:val="16"/>
                <w:color w:val="auto"/>
              </w:rPr>
              <w:t>Ray E. Newton III Revocable</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160" w:type="dxa"/>
            <w:vAlign w:val="bottom"/>
            <w:gridSpan w:val="3"/>
          </w:tcPr>
          <w:p>
            <w:pPr>
              <w:ind w:left="160"/>
              <w:spacing w:after="0"/>
              <w:rPr>
                <w:sz w:val="20"/>
                <w:szCs w:val="20"/>
                <w:color w:val="auto"/>
              </w:rPr>
            </w:pPr>
            <w:r>
              <w:rPr>
                <w:rFonts w:ascii="Arial" w:cs="Arial" w:eastAsia="Arial" w:hAnsi="Arial"/>
                <w:sz w:val="16"/>
                <w:szCs w:val="16"/>
                <w:color w:val="auto"/>
              </w:rPr>
              <w:t>Trust UAD 10/11/12 as</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amended 7/23/19</w:t>
            </w:r>
            <w:r>
              <w:rPr>
                <w:rFonts w:ascii="Arial" w:cs="Arial" w:eastAsia="Arial" w:hAnsi="Arial"/>
                <w:sz w:val="26"/>
                <w:szCs w:val="26"/>
                <w:color w:val="auto"/>
                <w:vertAlign w:val="superscript"/>
              </w:rPr>
              <w:t>(46)</w:t>
            </w:r>
          </w:p>
        </w:tc>
        <w:tc>
          <w:tcPr>
            <w:tcW w:w="720" w:type="dxa"/>
            <w:vAlign w:val="bottom"/>
          </w:tcPr>
          <w:p>
            <w:pPr>
              <w:jc w:val="right"/>
              <w:spacing w:after="0"/>
              <w:rPr>
                <w:sz w:val="20"/>
                <w:szCs w:val="20"/>
                <w:color w:val="auto"/>
              </w:rPr>
            </w:pPr>
            <w:r>
              <w:rPr>
                <w:rFonts w:ascii="Arial" w:cs="Arial" w:eastAsia="Arial" w:hAnsi="Arial"/>
                <w:sz w:val="16"/>
                <w:szCs w:val="16"/>
                <w:color w:val="auto"/>
              </w:rPr>
              <w:t>30,000</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7,550</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7,550</w:t>
            </w:r>
          </w:p>
        </w:tc>
        <w:tc>
          <w:tcPr>
            <w:tcW w:w="60" w:type="dxa"/>
            <w:vAlign w:val="bottom"/>
          </w:tcPr>
          <w:p>
            <w:pPr>
              <w:spacing w:after="0"/>
              <w:rPr>
                <w:sz w:val="24"/>
                <w:szCs w:val="24"/>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Richard Goldman</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Richard Prager</w:t>
            </w:r>
          </w:p>
        </w:tc>
        <w:tc>
          <w:tcPr>
            <w:tcW w:w="720" w:type="dxa"/>
            <w:vAlign w:val="bottom"/>
          </w:tcPr>
          <w:p>
            <w:pPr>
              <w:jc w:val="right"/>
              <w:spacing w:after="0"/>
              <w:rPr>
                <w:sz w:val="20"/>
                <w:szCs w:val="20"/>
                <w:color w:val="auto"/>
              </w:rPr>
            </w:pPr>
            <w:r>
              <w:rPr>
                <w:rFonts w:ascii="Arial" w:cs="Arial" w:eastAsia="Arial" w:hAnsi="Arial"/>
                <w:sz w:val="16"/>
                <w:szCs w:val="16"/>
                <w:color w:val="auto"/>
              </w:rPr>
              <w:t>25,000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2"/>
              </w:rPr>
              <w:t>Robinson Family Trust 2016</w:t>
            </w:r>
            <w:r>
              <w:rPr>
                <w:rFonts w:ascii="Arial" w:cs="Arial" w:eastAsia="Arial" w:hAnsi="Arial"/>
                <w:sz w:val="26"/>
                <w:szCs w:val="26"/>
                <w:color w:val="auto"/>
                <w:w w:val="92"/>
                <w:vertAlign w:val="superscript"/>
              </w:rPr>
              <w:t>(47)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2160" w:type="dxa"/>
            <w:vAlign w:val="bottom"/>
            <w:gridSpan w:val="3"/>
          </w:tcPr>
          <w:p>
            <w:pPr>
              <w:spacing w:after="0"/>
              <w:rPr>
                <w:sz w:val="20"/>
                <w:szCs w:val="20"/>
                <w:color w:val="auto"/>
              </w:rPr>
            </w:pPr>
            <w:r>
              <w:rPr>
                <w:rFonts w:ascii="Arial" w:cs="Arial" w:eastAsia="Arial" w:hAnsi="Arial"/>
                <w:sz w:val="16"/>
                <w:szCs w:val="16"/>
                <w:color w:val="auto"/>
              </w:rPr>
              <w:t>Rock J. Eiden &amp; Sandra K.</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160" w:type="dxa"/>
            <w:vAlign w:val="bottom"/>
            <w:gridSpan w:val="3"/>
          </w:tcPr>
          <w:p>
            <w:pPr>
              <w:ind w:left="160"/>
              <w:spacing w:after="0"/>
              <w:rPr>
                <w:sz w:val="20"/>
                <w:szCs w:val="20"/>
                <w:color w:val="auto"/>
              </w:rPr>
            </w:pPr>
            <w:r>
              <w:rPr>
                <w:rFonts w:ascii="Arial" w:cs="Arial" w:eastAsia="Arial" w:hAnsi="Arial"/>
                <w:sz w:val="16"/>
                <w:szCs w:val="16"/>
                <w:color w:val="auto"/>
              </w:rPr>
              <w:t>Eiden</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17"/>
                <w:szCs w:val="17"/>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Rothschild &amp; Co US Inc.</w:t>
            </w:r>
            <w:r>
              <w:rPr>
                <w:rFonts w:ascii="Arial" w:cs="Arial" w:eastAsia="Arial" w:hAnsi="Arial"/>
                <w:sz w:val="26"/>
                <w:szCs w:val="26"/>
                <w:color w:val="auto"/>
                <w:vertAlign w:val="superscript"/>
              </w:rPr>
              <w:t>(48)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w w:val="99"/>
              </w:rPr>
              <w:t>Roystone Capital Master Fund</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32"/>
                <w:szCs w:val="32"/>
                <w:color w:val="auto"/>
                <w:vertAlign w:val="subscript"/>
              </w:rPr>
              <w:t>Ltd.</w:t>
            </w:r>
            <w:r>
              <w:rPr>
                <w:rFonts w:ascii="Arial" w:cs="Arial" w:eastAsia="Arial" w:hAnsi="Arial"/>
                <w:sz w:val="13"/>
                <w:szCs w:val="13"/>
                <w:color w:val="auto"/>
              </w:rPr>
              <w:t>(49)</w:t>
            </w:r>
          </w:p>
        </w:tc>
        <w:tc>
          <w:tcPr>
            <w:tcW w:w="720" w:type="dxa"/>
            <w:vAlign w:val="bottom"/>
          </w:tcPr>
          <w:p>
            <w:pPr>
              <w:jc w:val="right"/>
              <w:spacing w:after="0"/>
              <w:rPr>
                <w:sz w:val="20"/>
                <w:szCs w:val="20"/>
                <w:color w:val="auto"/>
              </w:rPr>
            </w:pPr>
            <w:r>
              <w:rPr>
                <w:rFonts w:ascii="Arial" w:cs="Arial" w:eastAsia="Arial" w:hAnsi="Arial"/>
                <w:sz w:val="16"/>
                <w:szCs w:val="16"/>
                <w:color w:val="auto"/>
              </w:rPr>
              <w:t>699,437</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297,000</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49,437</w:t>
            </w:r>
          </w:p>
        </w:tc>
        <w:tc>
          <w:tcPr>
            <w:tcW w:w="6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297,000</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Samantha Lewis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Scott J. Taylor</w:t>
            </w:r>
          </w:p>
        </w:tc>
        <w:tc>
          <w:tcPr>
            <w:tcW w:w="720" w:type="dxa"/>
            <w:vAlign w:val="bottom"/>
          </w:tcPr>
          <w:p>
            <w:pPr>
              <w:jc w:val="right"/>
              <w:spacing w:after="0"/>
              <w:rPr>
                <w:sz w:val="20"/>
                <w:szCs w:val="20"/>
                <w:color w:val="auto"/>
              </w:rPr>
            </w:pPr>
            <w:r>
              <w:rPr>
                <w:rFonts w:ascii="Arial" w:cs="Arial" w:eastAsia="Arial" w:hAnsi="Arial"/>
                <w:sz w:val="16"/>
                <w:szCs w:val="16"/>
                <w:color w:val="auto"/>
              </w:rPr>
              <w:t>87,500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87,500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Entities affiliated with Pura</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Vida Investments, LLC</w:t>
            </w:r>
            <w:r>
              <w:rPr>
                <w:rFonts w:ascii="Arial" w:cs="Arial" w:eastAsia="Arial" w:hAnsi="Arial"/>
                <w:sz w:val="26"/>
                <w:szCs w:val="26"/>
                <w:color w:val="auto"/>
                <w:vertAlign w:val="superscript"/>
              </w:rPr>
              <w:t>(50)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3,200,000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3,200,000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Seawolf Capital LLC</w:t>
            </w:r>
            <w:r>
              <w:rPr>
                <w:rFonts w:ascii="Arial" w:cs="Arial" w:eastAsia="Arial" w:hAnsi="Arial"/>
                <w:sz w:val="26"/>
                <w:szCs w:val="26"/>
                <w:color w:val="auto"/>
                <w:vertAlign w:val="superscript"/>
              </w:rPr>
              <w:t>(51)</w:t>
            </w:r>
          </w:p>
        </w:tc>
        <w:tc>
          <w:tcPr>
            <w:tcW w:w="720" w:type="dxa"/>
            <w:vAlign w:val="bottom"/>
          </w:tcPr>
          <w:p>
            <w:pPr>
              <w:jc w:val="right"/>
              <w:spacing w:after="0"/>
              <w:rPr>
                <w:sz w:val="20"/>
                <w:szCs w:val="20"/>
                <w:color w:val="auto"/>
              </w:rPr>
            </w:pPr>
            <w:r>
              <w:rPr>
                <w:rFonts w:ascii="Arial" w:cs="Arial" w:eastAsia="Arial" w:hAnsi="Arial"/>
                <w:sz w:val="16"/>
                <w:szCs w:val="16"/>
                <w:color w:val="auto"/>
              </w:rPr>
              <w:t>43,750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43,750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Entities affiliated with Senvest</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Management LLC</w:t>
            </w:r>
            <w:r>
              <w:rPr>
                <w:rFonts w:ascii="Arial" w:cs="Arial" w:eastAsia="Arial" w:hAnsi="Arial"/>
                <w:sz w:val="26"/>
                <w:szCs w:val="26"/>
                <w:color w:val="auto"/>
                <w:vertAlign w:val="superscript"/>
              </w:rPr>
              <w:t>(52)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5,584,975</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3,468,682</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4,000,000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1,584,975</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3,468,682</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SOJE Fund LP</w:t>
            </w:r>
            <w:r>
              <w:rPr>
                <w:rFonts w:ascii="Arial" w:cs="Arial" w:eastAsia="Arial" w:hAnsi="Arial"/>
                <w:sz w:val="26"/>
                <w:szCs w:val="26"/>
                <w:color w:val="auto"/>
                <w:vertAlign w:val="superscript"/>
              </w:rPr>
              <w:t>(53)</w:t>
            </w:r>
          </w:p>
        </w:tc>
        <w:tc>
          <w:tcPr>
            <w:tcW w:w="720" w:type="dxa"/>
            <w:vAlign w:val="bottom"/>
          </w:tcPr>
          <w:p>
            <w:pPr>
              <w:jc w:val="right"/>
              <w:spacing w:after="0"/>
              <w:rPr>
                <w:sz w:val="20"/>
                <w:szCs w:val="20"/>
                <w:color w:val="auto"/>
              </w:rPr>
            </w:pPr>
            <w:r>
              <w:rPr>
                <w:rFonts w:ascii="Arial" w:cs="Arial" w:eastAsia="Arial" w:hAnsi="Arial"/>
                <w:sz w:val="16"/>
                <w:szCs w:val="16"/>
                <w:color w:val="auto"/>
              </w:rPr>
              <w:t>65,625</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65,625</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SRC WM LP</w:t>
            </w:r>
            <w:r>
              <w:rPr>
                <w:rFonts w:ascii="Arial" w:cs="Arial" w:eastAsia="Arial" w:hAnsi="Arial"/>
                <w:sz w:val="26"/>
                <w:szCs w:val="26"/>
                <w:color w:val="auto"/>
                <w:vertAlign w:val="superscript"/>
              </w:rPr>
              <w:t>(54)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-9240520</wp:posOffset>
            </wp:positionV>
            <wp:extent cx="342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-9240520</wp:posOffset>
            </wp:positionV>
            <wp:extent cx="342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-9240520</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-9240520</wp:posOffset>
            </wp:positionV>
            <wp:extent cx="34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-9240520</wp:posOffset>
            </wp:positionV>
            <wp:extent cx="342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-9240520</wp:posOffset>
            </wp:positionV>
            <wp:extent cx="342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-9240520</wp:posOffset>
            </wp:positionV>
            <wp:extent cx="342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-9240520</wp:posOffset>
            </wp:positionV>
            <wp:extent cx="342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9019"/>
          </w:cols>
          <w:pgMar w:left="1440" w:top="262" w:right="1440" w:bottom="0" w:gutter="0" w:footer="0" w:header="0"/>
        </w:sectPr>
      </w:pPr>
    </w:p>
    <w:bookmarkStart w:id="117" w:name="page118"/>
    <w:bookmarkEnd w:id="117"/>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8" w:name="page119"/>
    <w:bookmarkEnd w:id="118"/>
    <w:tbl>
      <w:tblPr>
        <w:tblLayout w:type="fixed"/>
        <w:tblInd w:w="300" w:type="dxa"/>
        <w:tblCellMar>
          <w:top w:w="0" w:type="dxa"/>
          <w:left w:w="0" w:type="dxa"/>
          <w:bottom w:w="0" w:type="dxa"/>
          <w:right w:w="0" w:type="dxa"/>
        </w:tblCellMar>
      </w:tblPr>
      <w:tr>
        <w:trPr>
          <w:trHeight w:val="161"/>
        </w:trPr>
        <w:tc>
          <w:tcPr>
            <w:tcW w:w="2160" w:type="dxa"/>
            <w:vAlign w:val="bottom"/>
            <w:gridSpan w:val="3"/>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Warrants</w:t>
            </w:r>
          </w:p>
        </w:tc>
        <w:tc>
          <w:tcPr>
            <w:tcW w:w="7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6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78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Class A of</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the Offered Shares of</w:t>
            </w:r>
          </w:p>
        </w:tc>
        <w:tc>
          <w:tcPr>
            <w:tcW w:w="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740" w:type="dxa"/>
            <w:vAlign w:val="bottom"/>
            <w:gridSpan w:val="2"/>
            <w:vMerge w:val="continue"/>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Class A Common Stock</w:t>
            </w:r>
          </w:p>
        </w:tc>
        <w:tc>
          <w:tcPr>
            <w:tcW w:w="16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Owned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are Sold</w:t>
            </w: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Warrants are Sold</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Prior to</w:t>
            </w:r>
          </w:p>
        </w:tc>
        <w:tc>
          <w:tcPr>
            <w:tcW w:w="7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Being</w:t>
            </w: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Being</w:t>
            </w:r>
          </w:p>
        </w:tc>
        <w:tc>
          <w:tcPr>
            <w:tcW w:w="7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60" w:type="dxa"/>
            <w:vAlign w:val="bottom"/>
          </w:tcPr>
          <w:p>
            <w:pPr>
              <w:spacing w:after="0"/>
              <w:rPr>
                <w:sz w:val="3"/>
                <w:szCs w:val="3"/>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2160" w:type="dxa"/>
            <w:vAlign w:val="bottom"/>
            <w:gridSpan w:val="3"/>
            <w:vMerge w:val="continue"/>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Offering</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Offered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Offered</w:t>
            </w: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Stephen J. Antinelli</w:t>
            </w:r>
            <w:r>
              <w:rPr>
                <w:rFonts w:ascii="Arial" w:cs="Arial" w:eastAsia="Arial" w:hAnsi="Arial"/>
                <w:sz w:val="26"/>
                <w:szCs w:val="26"/>
                <w:color w:val="auto"/>
                <w:vertAlign w:val="superscript"/>
              </w:rPr>
              <w:t>(55)</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Stuart Spodek</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25,000</w:t>
            </w:r>
          </w:p>
        </w:tc>
        <w:tc>
          <w:tcPr>
            <w:tcW w:w="60" w:type="dxa"/>
            <w:vAlign w:val="bottom"/>
          </w:tcPr>
          <w:p>
            <w:pPr>
              <w:spacing w:after="0"/>
              <w:rPr>
                <w:sz w:val="21"/>
                <w:szCs w:val="21"/>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25,000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Sunshine Charitable</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Foundation</w:t>
            </w:r>
            <w:r>
              <w:rPr>
                <w:rFonts w:ascii="Arial" w:cs="Arial" w:eastAsia="Arial" w:hAnsi="Arial"/>
                <w:sz w:val="26"/>
                <w:szCs w:val="26"/>
                <w:color w:val="auto"/>
                <w:vertAlign w:val="superscript"/>
              </w:rPr>
              <w:t>(56)</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Susan Nappan Cocke</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5,000</w:t>
            </w:r>
          </w:p>
        </w:tc>
        <w:tc>
          <w:tcPr>
            <w:tcW w:w="60" w:type="dxa"/>
            <w:vAlign w:val="bottom"/>
          </w:tcPr>
          <w:p>
            <w:pPr>
              <w:spacing w:after="0"/>
              <w:rPr>
                <w:sz w:val="21"/>
                <w:szCs w:val="21"/>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5,000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Tauro Investments, LLC</w:t>
            </w:r>
            <w:r>
              <w:rPr>
                <w:rFonts w:ascii="Arial" w:cs="Arial" w:eastAsia="Arial" w:hAnsi="Arial"/>
                <w:sz w:val="26"/>
                <w:szCs w:val="26"/>
                <w:color w:val="auto"/>
                <w:vertAlign w:val="superscript"/>
              </w:rPr>
              <w:t>(57)</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TCCS I, LP</w:t>
            </w:r>
            <w:r>
              <w:rPr>
                <w:rFonts w:ascii="Arial" w:cs="Arial" w:eastAsia="Arial" w:hAnsi="Arial"/>
                <w:sz w:val="26"/>
                <w:szCs w:val="26"/>
                <w:color w:val="auto"/>
                <w:vertAlign w:val="superscript"/>
              </w:rPr>
              <w:t>(58)</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500,000</w:t>
            </w:r>
          </w:p>
        </w:tc>
        <w:tc>
          <w:tcPr>
            <w:tcW w:w="60" w:type="dxa"/>
            <w:vAlign w:val="bottom"/>
          </w:tcPr>
          <w:p>
            <w:pPr>
              <w:spacing w:after="0"/>
              <w:rPr>
                <w:sz w:val="24"/>
                <w:szCs w:val="2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500,000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Teak Fund, LP</w:t>
            </w:r>
            <w:r>
              <w:rPr>
                <w:rFonts w:ascii="Arial" w:cs="Arial" w:eastAsia="Arial" w:hAnsi="Arial"/>
                <w:sz w:val="26"/>
                <w:szCs w:val="26"/>
                <w:color w:val="auto"/>
                <w:vertAlign w:val="superscript"/>
              </w:rPr>
              <w:t>(59)</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Teton Fund, LP</w:t>
            </w:r>
            <w:r>
              <w:rPr>
                <w:rFonts w:ascii="Arial" w:cs="Arial" w:eastAsia="Arial" w:hAnsi="Arial"/>
                <w:sz w:val="26"/>
                <w:szCs w:val="26"/>
                <w:color w:val="auto"/>
                <w:vertAlign w:val="superscript"/>
              </w:rPr>
              <w:t>(60)</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15,000</w:t>
            </w:r>
          </w:p>
        </w:tc>
        <w:tc>
          <w:tcPr>
            <w:tcW w:w="60" w:type="dxa"/>
            <w:vAlign w:val="bottom"/>
          </w:tcPr>
          <w:p>
            <w:pPr>
              <w:spacing w:after="0"/>
              <w:rPr>
                <w:sz w:val="24"/>
                <w:szCs w:val="2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15,000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The Vorfeld Family Trust</w:t>
            </w:r>
            <w:r>
              <w:rPr>
                <w:rFonts w:ascii="Arial" w:cs="Arial" w:eastAsia="Arial" w:hAnsi="Arial"/>
                <w:sz w:val="26"/>
                <w:szCs w:val="26"/>
                <w:color w:val="auto"/>
                <w:vertAlign w:val="superscript"/>
              </w:rPr>
              <w:t>(61)</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Thomas Marino</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25,000</w:t>
            </w:r>
          </w:p>
        </w:tc>
        <w:tc>
          <w:tcPr>
            <w:tcW w:w="60" w:type="dxa"/>
            <w:vAlign w:val="bottom"/>
          </w:tcPr>
          <w:p>
            <w:pPr>
              <w:spacing w:after="0"/>
              <w:rPr>
                <w:sz w:val="21"/>
                <w:szCs w:val="21"/>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25,000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Troy Gregory</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81,000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81,000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TLP Investment Partners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32"/>
                <w:szCs w:val="32"/>
                <w:color w:val="auto"/>
                <w:vertAlign w:val="subscript"/>
              </w:rPr>
              <w:t>LLC</w:t>
            </w:r>
            <w:r>
              <w:rPr>
                <w:rFonts w:ascii="Arial" w:cs="Arial" w:eastAsia="Arial" w:hAnsi="Arial"/>
                <w:sz w:val="13"/>
                <w:szCs w:val="13"/>
                <w:color w:val="auto"/>
              </w:rPr>
              <w:t>(62)</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60,000</w:t>
            </w:r>
          </w:p>
        </w:tc>
        <w:tc>
          <w:tcPr>
            <w:tcW w:w="60" w:type="dxa"/>
            <w:vAlign w:val="bottom"/>
          </w:tcPr>
          <w:p>
            <w:pPr>
              <w:spacing w:after="0"/>
              <w:rPr>
                <w:sz w:val="24"/>
                <w:szCs w:val="2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60,000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TUP Investments, L.P.</w:t>
            </w:r>
            <w:r>
              <w:rPr>
                <w:rFonts w:ascii="Arial" w:cs="Arial" w:eastAsia="Arial" w:hAnsi="Arial"/>
                <w:sz w:val="26"/>
                <w:szCs w:val="26"/>
                <w:color w:val="auto"/>
                <w:vertAlign w:val="superscript"/>
              </w:rPr>
              <w:t>(63)</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Vobren Limited</w:t>
            </w:r>
            <w:r>
              <w:rPr>
                <w:rFonts w:ascii="Arial" w:cs="Arial" w:eastAsia="Arial" w:hAnsi="Arial"/>
                <w:sz w:val="26"/>
                <w:szCs w:val="26"/>
                <w:color w:val="auto"/>
                <w:vertAlign w:val="superscript"/>
              </w:rPr>
              <w:t>(64)</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100,000</w:t>
            </w:r>
          </w:p>
        </w:tc>
        <w:tc>
          <w:tcPr>
            <w:tcW w:w="60" w:type="dxa"/>
            <w:vAlign w:val="bottom"/>
          </w:tcPr>
          <w:p>
            <w:pPr>
              <w:spacing w:after="0"/>
              <w:rPr>
                <w:sz w:val="24"/>
                <w:szCs w:val="2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William James Pade III</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150,000</w:t>
            </w:r>
          </w:p>
        </w:tc>
        <w:tc>
          <w:tcPr>
            <w:tcW w:w="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150,000</w:t>
            </w:r>
          </w:p>
        </w:tc>
        <w:tc>
          <w:tcPr>
            <w:tcW w:w="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-3230880</wp:posOffset>
            </wp:positionV>
            <wp:extent cx="342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-3230880</wp:posOffset>
            </wp:positionV>
            <wp:extent cx="342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-3230880</wp:posOffset>
            </wp:positionV>
            <wp:extent cx="342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-3230880</wp:posOffset>
            </wp:positionV>
            <wp:extent cx="342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-3230880</wp:posOffset>
            </wp:positionV>
            <wp:extent cx="342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-3230880</wp:posOffset>
            </wp:positionV>
            <wp:extent cx="342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-3230880</wp:posOffset>
            </wp:positionV>
            <wp:extent cx="342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-3230880</wp:posOffset>
            </wp:positionV>
            <wp:extent cx="342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6" w:lineRule="exact"/>
        <w:rPr>
          <w:sz w:val="20"/>
          <w:szCs w:val="20"/>
          <w:color w:val="auto"/>
        </w:rPr>
      </w:pPr>
    </w:p>
    <w:p>
      <w:pPr>
        <w:jc w:val="both"/>
        <w:ind w:left="640" w:right="299" w:hanging="348"/>
        <w:spacing w:after="0" w:line="228" w:lineRule="auto"/>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w:t>
      </w:r>
    </w:p>
    <w:p>
      <w:pPr>
        <w:spacing w:after="0" w:line="22" w:lineRule="exact"/>
        <w:rPr>
          <w:rFonts w:ascii="Arial" w:cs="Arial" w:eastAsia="Arial" w:hAnsi="Arial"/>
          <w:sz w:val="14"/>
          <w:szCs w:val="14"/>
          <w:color w:val="auto"/>
        </w:rPr>
      </w:pPr>
    </w:p>
    <w:p>
      <w:pPr>
        <w:jc w:val="both"/>
        <w:ind w:left="640" w:right="319" w:hanging="348"/>
        <w:spacing w:after="0" w:line="251" w:lineRule="auto"/>
        <w:tabs>
          <w:tab w:leader="none" w:pos="6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19,288,160 shares of Class A Common Stock issuable upon exchange of Paired Interests held by Mr. Hartfield, 8,469,191 shares of Class A Common Stock issuable upon exchange of Paired Interests held by Ghost Media Group, LLC and 1,570,959 shares of Class A 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w:t>
      </w:r>
    </w:p>
    <w:p>
      <w:pPr>
        <w:spacing w:after="0" w:line="14" w:lineRule="exact"/>
        <w:rPr>
          <w:rFonts w:ascii="Arial" w:cs="Arial" w:eastAsia="Arial" w:hAnsi="Arial"/>
          <w:sz w:val="13"/>
          <w:szCs w:val="13"/>
          <w:color w:val="auto"/>
        </w:rPr>
      </w:pPr>
    </w:p>
    <w:p>
      <w:pPr>
        <w:jc w:val="both"/>
        <w:ind w:left="640" w:right="299" w:hanging="348"/>
        <w:spacing w:after="0" w:line="245" w:lineRule="auto"/>
        <w:tabs>
          <w:tab w:leader="none" w:pos="6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6,250,000 shares of Class A Common Stock held by Silver Spike Sponsor, LLC and 815,752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 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w:t>
      </w:r>
    </w:p>
    <w:p>
      <w:pPr>
        <w:spacing w:after="0" w:line="21" w:lineRule="exact"/>
        <w:rPr>
          <w:rFonts w:ascii="Arial" w:cs="Arial" w:eastAsia="Arial" w:hAnsi="Arial"/>
          <w:sz w:val="13"/>
          <w:szCs w:val="13"/>
          <w:color w:val="auto"/>
        </w:rPr>
      </w:pPr>
    </w:p>
    <w:p>
      <w:pPr>
        <w:ind w:left="640" w:hanging="348"/>
        <w:spacing w:after="0"/>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Vince Maglio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Robert Josephson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Jaroslav Enrique Alonso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Sanjay Patel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Mohsinuddin Ansari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8" w:lineRule="auto"/>
        <w:tabs>
          <w:tab w:leader="none" w:pos="6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w:t>
      </w:r>
    </w:p>
    <w:p>
      <w:pPr>
        <w:sectPr>
          <w:pgSz w:w="11900" w:h="16838" w:orient="portrait"/>
          <w:cols w:equalWidth="0" w:num="1">
            <w:col w:w="9019"/>
          </w:cols>
          <w:pgMar w:left="1440" w:top="262"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33" w:lineRule="auto"/>
        <w:rPr>
          <w:sz w:val="20"/>
          <w:szCs w:val="20"/>
          <w:color w:val="auto"/>
        </w:rPr>
      </w:pPr>
      <w:r>
        <w:rPr>
          <w:rFonts w:ascii="Arial" w:cs="Arial" w:eastAsia="Arial" w:hAnsi="Arial"/>
          <w:sz w:val="14"/>
          <w:szCs w:val="14"/>
          <w:color w:val="auto"/>
        </w:rPr>
        <w:t>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w:t>
      </w:r>
    </w:p>
    <w:p>
      <w:pPr>
        <w:spacing w:after="0" w:line="23" w:lineRule="exact"/>
        <w:rPr>
          <w:sz w:val="20"/>
          <w:szCs w:val="20"/>
          <w:color w:val="auto"/>
        </w:rPr>
      </w:pPr>
    </w:p>
    <w:p>
      <w:pPr>
        <w:ind w:left="640" w:hanging="348"/>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Kelly Yip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7" w:lineRule="auto"/>
        <w:tabs>
          <w:tab w:leader="none" w:pos="6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w:t>
      </w:r>
    </w:p>
    <w:p>
      <w:pPr>
        <w:spacing w:after="0" w:line="16" w:lineRule="exact"/>
        <w:rPr>
          <w:rFonts w:ascii="Arial" w:cs="Arial" w:eastAsia="Arial" w:hAnsi="Arial"/>
          <w:sz w:val="13"/>
          <w:szCs w:val="13"/>
          <w:color w:val="auto"/>
        </w:rPr>
      </w:pPr>
    </w:p>
    <w:p>
      <w:pPr>
        <w:jc w:val="both"/>
        <w:ind w:left="640" w:right="299" w:hanging="348"/>
        <w:spacing w:after="0" w:line="233"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General Oriental Investments SA, as Investment Manager and Advisor to the Selling Securityholders, has voting and investment authority on the Registrable Securities held by the Selling Securityholders. General Oriental Investments SA is directed by certain of its representatives and must act by (i) Constantin Papadimitriou and David Cowling jointly or (ii) one of Constantin Papadimitriou or David Cowling with one of (1) Tom Lileng, (2) Jean-Baptiste Luccio, (3) Julien Brenier or (4) Rupert Martin.</w:t>
      </w:r>
    </w:p>
    <w:p>
      <w:pPr>
        <w:spacing w:after="0" w:line="22" w:lineRule="exact"/>
        <w:rPr>
          <w:rFonts w:ascii="Arial" w:cs="Arial" w:eastAsia="Arial" w:hAnsi="Arial"/>
          <w:sz w:val="14"/>
          <w:szCs w:val="14"/>
          <w:color w:val="auto"/>
        </w:rPr>
      </w:pPr>
    </w:p>
    <w:p>
      <w:pPr>
        <w:jc w:val="both"/>
        <w:ind w:left="640" w:right="299" w:hanging="348"/>
        <w:spacing w:after="0" w:line="244" w:lineRule="auto"/>
        <w:tabs>
          <w:tab w:leader="none" w:pos="6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2" w:lineRule="exact"/>
        <w:rPr>
          <w:rFonts w:ascii="Arial" w:cs="Arial" w:eastAsia="Arial" w:hAnsi="Arial"/>
          <w:sz w:val="13"/>
          <w:szCs w:val="13"/>
          <w:color w:val="auto"/>
        </w:rPr>
      </w:pPr>
    </w:p>
    <w:p>
      <w:pPr>
        <w:ind w:left="640" w:hanging="348"/>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Amy Collins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Craig Schlanger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5" w:lineRule="auto"/>
        <w:tabs>
          <w:tab w:leader="none" w:pos="6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1" w:lineRule="exact"/>
        <w:rPr>
          <w:rFonts w:ascii="Arial" w:cs="Arial" w:eastAsia="Arial" w:hAnsi="Arial"/>
          <w:sz w:val="13"/>
          <w:szCs w:val="13"/>
          <w:color w:val="auto"/>
        </w:rPr>
      </w:pPr>
    </w:p>
    <w:p>
      <w:pPr>
        <w:jc w:val="both"/>
        <w:ind w:left="640" w:right="299" w:hanging="348"/>
        <w:spacing w:after="0" w:line="251" w:lineRule="auto"/>
        <w:tabs>
          <w:tab w:leader="none" w:pos="6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jc w:val="both"/>
        <w:ind w:left="640" w:right="299" w:hanging="348"/>
        <w:spacing w:after="0" w:line="251" w:lineRule="auto"/>
        <w:tabs>
          <w:tab w:leader="none" w:pos="6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3" w:lineRule="auto"/>
        <w:tabs>
          <w:tab w:leader="none" w:pos="6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Beneficial ownership consists of (i) 1,877,500 shares of Class A Common Stock held by Federated Hermes Kaufmann Fund, a portfolio of 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 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w:t>
      </w:r>
    </w:p>
    <w:p>
      <w:pPr>
        <w:spacing w:after="0" w:line="22" w:lineRule="exact"/>
        <w:rPr>
          <w:rFonts w:ascii="Arial" w:cs="Arial" w:eastAsia="Arial" w:hAnsi="Arial"/>
          <w:sz w:val="13"/>
          <w:szCs w:val="13"/>
          <w:color w:val="auto"/>
        </w:rPr>
      </w:pPr>
    </w:p>
    <w:p>
      <w:pPr>
        <w:ind w:left="640" w:hanging="348"/>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Budd S. Goldman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 Scott Bushley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Robert Fournier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28"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55" w:lineRule="auto"/>
        <w:rPr>
          <w:sz w:val="20"/>
          <w:szCs w:val="20"/>
          <w:color w:val="auto"/>
        </w:rPr>
      </w:pPr>
      <w:r>
        <w:rPr>
          <w:rFonts w:ascii="Arial" w:cs="Arial" w:eastAsia="Arial" w:hAnsi="Arial"/>
          <w:sz w:val="13"/>
          <w:szCs w:val="13"/>
          <w:color w:val="auto"/>
        </w:rPr>
        <w:t>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3" w:lineRule="exact"/>
        <w:rPr>
          <w:sz w:val="20"/>
          <w:szCs w:val="20"/>
          <w:color w:val="auto"/>
        </w:rPr>
      </w:pPr>
    </w:p>
    <w:p>
      <w:pPr>
        <w:ind w:left="640" w:hanging="348"/>
        <w:spacing w:after="0"/>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John T. Lkyouretzos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Marc Sontrop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jc w:val="both"/>
        <w:ind w:left="640" w:right="299" w:hanging="348"/>
        <w:spacing w:after="0" w:line="229" w:lineRule="auto"/>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23"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Raanan Katz is the Partner of Katz 2014 Limited Partnership and may be deemed to be the beneficial owner of the Registrable Securities held by Katz 2014 Limited Partnership.</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Kenneth Landis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3" w:lineRule="auto"/>
        <w:tabs>
          <w:tab w:leader="none" w:pos="6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22" w:lineRule="exact"/>
        <w:rPr>
          <w:rFonts w:ascii="Arial" w:cs="Arial" w:eastAsia="Arial" w:hAnsi="Arial"/>
          <w:sz w:val="13"/>
          <w:szCs w:val="13"/>
          <w:color w:val="auto"/>
        </w:rPr>
      </w:pPr>
    </w:p>
    <w:p>
      <w:pPr>
        <w:jc w:val="both"/>
        <w:ind w:left="640" w:right="319" w:hanging="348"/>
        <w:spacing w:after="0" w:line="238" w:lineRule="auto"/>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Justin Ort is deemed to have power to vote or dispose of the Registrable Securities.</w:t>
      </w:r>
    </w:p>
    <w:p>
      <w:pPr>
        <w:spacing w:after="0" w:line="4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Jayvee &amp; Co is the registered holder. The beneficial holder is Ninepoint Alternative Health Fund. Douglas Waterson has investment control through an investment advisory agreement.</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Paul A. Halpern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Curtis F. Brockelman, Jr.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jc w:val="both"/>
        <w:ind w:left="640" w:right="299" w:hanging="348"/>
        <w:spacing w:after="0" w:line="251" w:lineRule="auto"/>
        <w:tabs>
          <w:tab w:leader="none" w:pos="6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Polar Long/Short Master Fund and Polar Multi-Strategy Master Fund (“Polar Funds”) are under management by Polar Asset Management Partners Inc. (“PAMPI”). PAMPI serves as investment advisor of the Polar Funds and has control and discretion over the shares held by 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John J Adair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Ray E. Newton III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Patrick Robinson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Rich Barrera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5" w:lineRule="auto"/>
        <w:tabs>
          <w:tab w:leader="none" w:pos="6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33" w:lineRule="auto"/>
        <w:rPr>
          <w:sz w:val="20"/>
          <w:szCs w:val="20"/>
          <w:color w:val="auto"/>
        </w:rPr>
      </w:pPr>
      <w:r>
        <w:rPr>
          <w:rFonts w:ascii="Arial" w:cs="Arial" w:eastAsia="Arial" w:hAnsi="Arial"/>
          <w:sz w:val="14"/>
          <w:szCs w:val="14"/>
          <w:color w:val="auto"/>
        </w:rPr>
        <w:t>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w:t>
      </w:r>
    </w:p>
    <w:p>
      <w:pPr>
        <w:spacing w:after="0" w:line="23" w:lineRule="exact"/>
        <w:rPr>
          <w:sz w:val="20"/>
          <w:szCs w:val="20"/>
          <w:color w:val="auto"/>
        </w:rPr>
      </w:pPr>
    </w:p>
    <w:p>
      <w:pPr>
        <w:jc w:val="both"/>
        <w:ind w:left="660" w:right="299"/>
        <w:spacing w:after="0" w:line="233" w:lineRule="auto"/>
        <w:rPr>
          <w:sz w:val="20"/>
          <w:szCs w:val="20"/>
          <w:color w:val="auto"/>
        </w:rPr>
      </w:pPr>
      <w:r>
        <w:rPr>
          <w:rFonts w:ascii="Arial" w:cs="Arial" w:eastAsia="Arial" w:hAnsi="Arial"/>
          <w:sz w:val="14"/>
          <w:szCs w:val="14"/>
          <w:color w:val="auto"/>
        </w:rPr>
        <w:t>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w:t>
      </w:r>
    </w:p>
    <w:p>
      <w:pPr>
        <w:spacing w:after="0" w:line="23" w:lineRule="exact"/>
        <w:rPr>
          <w:sz w:val="20"/>
          <w:szCs w:val="20"/>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Vincent Daniel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John J. Pinto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Peter Lee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Each of David G. Bunning and Michael J. Bunning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Scot Fischer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Vikram Patel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Glen Schneider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Glen Schneider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Each of Rodney Hodges and Fabrice Dupont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Each of David G. Bunning and Michael J. Bunning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Vikram Patel is deemed to have power to vote or dispose of the Registrable Securities.</w:t>
      </w:r>
    </w:p>
    <w:p>
      <w:pPr>
        <w:spacing w:after="0" w:line="4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Pericles Spyrou, Sigthor Sigmarsson, Jan Rottiers and Melina Panagi are deemed to have power to vote or dispose of the Registrable Securities.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Certificate of Incorporation authorizes the issuance of 2,075,000,000 shares of capital stock, consisting of</w:t>
      </w:r>
    </w:p>
    <w:p>
      <w:pPr>
        <w:spacing w:after="0" w:line="46" w:lineRule="exact"/>
        <w:rPr>
          <w:sz w:val="20"/>
          <w:szCs w:val="20"/>
          <w:color w:val="auto"/>
        </w:rPr>
      </w:pPr>
    </w:p>
    <w:p>
      <w:pPr>
        <w:jc w:val="both"/>
        <w:ind w:left="300" w:right="299" w:hanging="8"/>
        <w:spacing w:after="0" w:line="271" w:lineRule="auto"/>
        <w:tabs>
          <w:tab w:leader="none" w:pos="5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June 16, 2021, there were (1) 63,738,563 shares of Class A Common Stock, (2) 65,502,347 shares of Class V Common Stock and no shares of preferred stock outstanding.</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ectPr>
          <w:pgSz w:w="11900" w:h="16838" w:orient="portrait"/>
          <w:cols w:equalWidth="0" w:num="1">
            <w:col w:w="9019"/>
          </w:cols>
          <w:pgMar w:left="1440" w:top="265"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holders of the Class V Common Stock will not participate in any dividends declared by our board of directors.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our assets.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holders of shares of Class V Common Stock do not have preemptive, subscription, redemption or conversion rights. There will be no redemption or sinking fund provisions applicable to the Class V Common Stock.</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5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6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agreed that as soon as practicable, but in no event later than 15 business days, after the Closing, we will use our reasonable best efforts to file with the SEC and have an effective registration statement for covering the issuance, under the Securities Act, of the shares of Class A Common Stock issuable upon exercise of the Public Warrants, and we will use our reasonable best efforts to cause the same to become effective within 60 business days after the Closing and to maintain the effectiveness of such registration statement, and a current prospectus relating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Once the Public Warrants become exercisable, 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to each holder of Public Warrants; and</w:t>
      </w:r>
    </w:p>
    <w:p>
      <w:pPr>
        <w:spacing w:after="0" w:line="128"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80"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If and when the Public Warrants become redeemable by us, we may exercise our redemption right even if we are unable to register or qualify the underlying securities for sale under all applicable state securities laws.</w:t>
      </w:r>
    </w:p>
    <w:p>
      <w:pPr>
        <w:spacing w:after="0" w:line="3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49"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6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6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6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68"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Whenever the number of shares of Class A Common Stock purchasable upon exercise of the Public Warrants is adjusted, as described above, the Public Warrant exercise price will be adjusted by multiplying the Public Warrant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7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6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Restrictions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Pursuant to the letter agreement entered into between Silver Spike and Silver Spike Sponsor, after the completion of the Business Combination and subject to certain exceptions, the Sponsor is contractually restricted from selling or transferring any of its shares of Class A Common Stock until the earlier of (A) one year after the completion of the Business Combination or (B) subsequent to the Business Combination, (x) if the last reported sale price of the Class A Common Stock equals or exceeds $12.00 per share (as adjusted for share splits, share dividends, rights issuances, subdivisions, reorganizations, recapitalizations and the like) for any 20 trading days within any 30-trading day period commencing at least 150 days after the Business Combination or (y) the date following the completion of the Business Combination on which we complete a liquidation, merger, amalgamation, share exchange, reorganization or other similar transaction that results in all of our stockholders having the right to exchange their Class A Common Stock for cash, securities or other property. After the consummation of the business combination and subject to certain exceptions, Unit holders are contractually restricted from selling or transferring any of their respective shares of common stock until 180 days after completion of the Business Combination. See the section entitled “Certain Relationships and Related Party Transactions” for lock-up restrictions on our securities under the Exchange Agreement.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Special Meetings of Stockholders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17" w:lineRule="exact"/>
        <w:rPr>
          <w:sz w:val="20"/>
          <w:szCs w:val="20"/>
          <w:color w:val="auto"/>
        </w:rPr>
      </w:pPr>
    </w:p>
    <w:p>
      <w:pPr>
        <w:jc w:val="both"/>
        <w:ind w:left="300" w:right="299" w:firstLine="360"/>
        <w:spacing w:after="0" w:line="228"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 than the open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 later than the close of business on the latter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Authorized but Unissued Shares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Exclusive Forum Selection</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opt out of Section 203 of the DGCL under our Certificate of Incorporation.</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Limitation on Liability and Indemnification of Directors and Officers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9" w:lineRule="exact"/>
        <w:rPr>
          <w:sz w:val="20"/>
          <w:szCs w:val="20"/>
          <w:color w:val="auto"/>
        </w:rPr>
      </w:pPr>
    </w:p>
    <w:p>
      <w:pPr>
        <w:ind w:left="1000" w:hanging="348"/>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9" w:lineRule="exact"/>
        <w:rPr>
          <w:sz w:val="20"/>
          <w:szCs w:val="20"/>
          <w:color w:val="auto"/>
        </w:rPr>
      </w:pPr>
    </w:p>
    <w:p>
      <w:pPr>
        <w:ind w:left="1000" w:hanging="348"/>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one percent (1%) of the total number of shares of Class A Common Stock then outstanding;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Sales by our affiliates under Rule 144 will also be limited by manner of sale provisions and notice requirements and to the availability of current public information about us.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transfer agent, warrant agent and registrar for our Class A Common Stock, Class V Common Stock and Warrants is Continental Stock Transfer &amp; Trust Company.</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Our Class A Common Stock and Public Warrants are listed on Nasdaq under the symbols “MAPS” and “MAPW,” respectively.</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5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 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65"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76" w:lineRule="exact"/>
        <w:rPr>
          <w:sz w:val="20"/>
          <w:szCs w:val="20"/>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Holders—Gain or Loss on Sale, Taxable Exchange or Other Taxable Disposition of Class A Common Stock” below.</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Class A Common Stock</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5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U.S. holders are urged to consult their tax advisors as to the consequences of an exercise of a Warrant on a cashless basis, including with respect to their holding period and tax basis in the Class A Common Stock received upon exercise of the Warrant.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 Exchange, Redemption or Expiration of a Warrant</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Upon a sale, exchange (other than by exercise), redemption, or expiration of a Warrant, a U.S. Holder will recognize taxable gain or loss in an amount equal to the difference between (1) the amount realized upon such disposition or expiration and (2) the U.S. Holder’s adjusted tax basis in the Warrant. A U.S. Holder’s adjusted tax</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color w:val="auto"/>
        </w:rPr>
        <w:t>basis in its Warrants will generally equal the U.S. Holder’s acquisition cost, increased by the amount of any constructive distributions included in income by such U.S. Holder (as described below under “U.S. Holders— Possible Constructive Distributions”). Such gain or loss generally will be treated as long-term capital gain or loss if the Warrant is held by the U.S. Holder for more than one year at the time of such disposition or expiration.</w:t>
      </w:r>
    </w:p>
    <w:p>
      <w:pPr>
        <w:spacing w:after="0" w:line="4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a Warrant is allowed to lapse unexercised, a U.S. Holder will generally recognize a capital loss equal to such holder’s adjusted tax basis in the Warrant. Any such loss generally will be a capital loss and will be long-term capital loss if the Warrant is held for more than one year. Because the term of the Warrants is more than one year, a U.S. Holder’s capital loss will be treated as a long-term capital loss. The deductibility of capital losses is subject to certain limitations.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terms of each Warrant provide for an adjustment to the number of shares of Class A Common Stock for which the Warrant may be exercised or to the exercise price of the Warrant in certain events, as discussed in the section of this prospectus entitled “Description of our Securities—Warrants—Public Stockholders’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“U.S. Holders—Taxation of Distributions” in the same manner as if such U.S. Holder received a cash distribution from us on Class A Common Stock equal to the fair market value of such increased interest.</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Non-U.S.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on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“Non-U.S. Holders— 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described under “Non-U.S. Holders—Gain on Sale, Taxable Exchange or Other Taxable Disposition of Class A Common Stock and Warrants” below. In addition, if we determine that we are likely to be classified as a “United States real property holding corporation” (see the section entitled “Non-U.S. Holders—Gain on Sale, Exchange or Other Taxable Disposition of Class A Common Stock and Warrants” below), we will withhold 15% of any distribution that exceeds our current and accumulated earnings and profits.</w:t>
      </w:r>
    </w:p>
    <w:p>
      <w:pPr>
        <w:spacing w:after="0" w:line="6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U.S. federal income tax treatment of a non-U.S. Holder’s exercise of a Warrant will generally correspond to the U.S. federal income tax treatment of the exercise of a Warrant by a U.S. Holder, as described under “U.S. Holders—Exercise of a Warrant” above, although to the extent a cashless exercise results in a taxable exchange, the tax consequences to the non-U.S. Holder would be the same as those described below in “Non-U.S. Holders—Gain on Sale, Exchange or Other Taxable Disposition of Class A Common Stock and Warrants.”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 and Warrants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76" w:lineRule="exact"/>
        <w:rPr>
          <w:sz w:val="20"/>
          <w:szCs w:val="20"/>
          <w:color w:val="auto"/>
        </w:rPr>
      </w:pPr>
    </w:p>
    <w:p>
      <w:pPr>
        <w:jc w:val="both"/>
        <w:ind w:left="1000" w:right="319" w:hanging="348"/>
        <w:spacing w:after="0" w:line="263"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62" w:lineRule="exact"/>
        <w:rPr>
          <w:rFonts w:ascii="Arial" w:cs="Arial" w:eastAsia="Arial" w:hAnsi="Arial"/>
          <w:sz w:val="18"/>
          <w:szCs w:val="18"/>
          <w:color w:val="auto"/>
        </w:rPr>
      </w:pPr>
    </w:p>
    <w:p>
      <w:pPr>
        <w:jc w:val="both"/>
        <w:ind w:left="1000" w:right="299" w:hanging="348"/>
        <w:spacing w:after="0" w:line="268" w:lineRule="auto"/>
        <w:tabs>
          <w:tab w:leader="none" w:pos="10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the shares of our Warrants. There can be no assurance that our Class A Common Stock will be treated as regularly traded or not regularly traded on an established securities market for this purpose.</w:t>
      </w:r>
    </w:p>
    <w:p>
      <w:pPr>
        <w:spacing w:after="0" w:line="7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84"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If the third bullet point above applies to a non-U.S. Holder and applicable exceptions are not available, gain recognized by such holder on the sale, exchange or other disposition of our Class A Common Stock or Warrants, as applicable, will be subject to tax at generally applicable U.S. federal income tax rates. In addition, a buyer of our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Possible Constructive Distributions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in the section entitled “Description of our Securities—Warrants—Public Stockholders’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“Non-U.S. Holders—Taxation of Distributions” under that section in the same manner as if such non-U.S. Holder received a cash distribution from us on Class A Common Stock equal to the fair market value of such increased interest.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67" w:lineRule="auto"/>
        <w:tabs>
          <w:tab w:leader="none" w:pos="566"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Information returns will be filed with the IRS in connection with payments of dividends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w:t>
      </w:r>
    </w:p>
    <w:p>
      <w:pPr>
        <w:spacing w:after="0" w:line="4" w:lineRule="exact"/>
        <w:rPr>
          <w:sz w:val="20"/>
          <w:szCs w:val="20"/>
          <w:color w:val="auto"/>
        </w:rPr>
      </w:pPr>
    </w:p>
    <w:p>
      <w:pPr>
        <w:jc w:val="both"/>
        <w:ind w:left="300" w:right="299" w:hanging="8"/>
        <w:spacing w:after="0" w:line="273" w:lineRule="auto"/>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112,014,011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8" w:lineRule="exact"/>
        <w:rPr>
          <w:sz w:val="20"/>
          <w:szCs w:val="20"/>
          <w:color w:val="auto"/>
        </w:rPr>
      </w:pPr>
    </w:p>
    <w:p>
      <w:pPr>
        <w:ind w:left="1000" w:right="319" w:hanging="348"/>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distribution to employees, members, limited partners or stockholders of the Selling Securityholders;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117"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any securities offered by this prospectus will be passed upon for us by Cooley LLP.</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financial statements of Silver Spike as of December 31, 2020 and 2019, the related consolidated statements of operations, changes in shareholders’ equity and cash flows for year ended December 31, 2020 and for the period from June 7, 2019 (inception) through December 31, 2019, have been audited by Marcum LLP (“Marcum”), an independent registered public accounting firm, as stated in their report thereon (which contains an explanatory paragraph relating to substantial doubt about the ability of Silver Spike to continue as a going concern), and have been included in this proxy statement/prospectus in reliance upon such reports and upon the authority of such firm as experts in accounting and auditing.</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consolidated financial statements of WMH LLC as of December 31, 2020 and 2019 and for each of the years in periods ended December 31, 2020, 2019, and 2018 have been audited by Baker Tilly US, LLP (“Baker Tilly”), an independent registered public accounting firm, as stated in their report thereon which report expresses an unqualified opinion and includes an emphasis of matter paragraph relating to the industry in which WMH operates, have been included in this proxy statement/prospectus in reliance upon such reports and upon the authority of such firm as experts in accounting and auditing.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REGISTRANT’S CERTIFYING ACCOUNTANT</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June 16, 2021, our board of directors approved the engagement of Baker Tilly as our independent registered public accounting firm to audit our consolidated financial statements for the year ending December 31, 2021. Baker Tilly served as the independent registered public accounting firm of Legacy WMH prior to the Business Combination. Accordingly, Marcum, Silver Spike’s independent registered public accounting firm prior to the Business Combination, was informed on the Closing Date that it would be dismissed and replaced by Baker Tilly as our independent registered public accounting firm.</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Marcum’s report on the Company’s balance sheets as of December 31, 2020 and 2019, the related statements of operations, stockholders’ equity and cash flows for the year ended December 31, 2020 and for the period from June 7, 2019 (inception) to December 31, 2019, and the related notes to the financial statements (collectively, the “financial statements”) did not contain any adverse opinion or disclaimer of opinion, nor were they qualified or modified as to uncertainty, audit scope or accounting principles, except for the substantial doubt about our ability to continue as a going concern.</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During the period from June 7, 2019 (inception) to December 31, 2020 and the subsequent interim period through June 21, 2021, there were no: (i) disagreements with Marcum on any matter of accounting principles or practices, financial statement disclosures or audited scope or procedures, which disagreements if not resolved to Marcum’s satisfaction would have caused Marcum to make reference to the subject matter of the disagreement in connection with its report or (ii) reportable events as defined in Item 304(a)(1)(v) of Regulation S-K under the Exchange Act.</w:t>
      </w:r>
    </w:p>
    <w:p>
      <w:pPr>
        <w:spacing w:after="0" w:line="8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During the period from June 7, 2019 (inception) to December 31, 2020, and the interim period through March 31, 2021, the Company did not consult Baker Tilly with respect to either (i) the application of accounting principles to a specified transaction, either completed or proposed; or the type of audit opinion that might be rendered on the Company’s financial statements, and no written report or oral advice was provided to the Company by Baker Tilly that Baker Tilly concluded was an important factor considered by the Company in reaching a decision as to the accounting, auditing or financial reporting issue; or (ii) any matter that was either the subject of a disagreement, 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spacing w:after="0" w:line="73"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We have provided Marcum with a copy of the disclosures made by us and have requested that Marcum furnish us with a letter addressed to the SEC stating whether it agrees with the statements made by us as set forth above and, if not, stating the respects in which it does not agree. A letter from Marcum is attached hereto as Exhibit 16.1.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www.weedmaps.com</w:t>
      </w:r>
      <w:r>
        <w:rPr>
          <w:rFonts w:ascii="Arial" w:cs="Arial" w:eastAsia="Arial" w:hAnsi="Arial"/>
          <w:sz w:val="17"/>
          <w:szCs w:val="17"/>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6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300" w:type="dxa"/>
            <w:vAlign w:val="bottom"/>
          </w:tcPr>
          <w:p>
            <w:pPr>
              <w:spacing w:after="0"/>
              <w:rPr>
                <w:sz w:val="4"/>
                <w:szCs w:val="4"/>
                <w:color w:val="auto"/>
              </w:rPr>
            </w:pPr>
          </w:p>
        </w:tc>
        <w:tc>
          <w:tcPr>
            <w:tcW w:w="20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8060" w:type="dxa"/>
            <w:vAlign w:val="bottom"/>
            <w:tcBorders>
              <w:bottom w:val="single" w:sz="8" w:color="CCEEFF"/>
            </w:tcBorders>
            <w:gridSpan w:val="18"/>
            <w:shd w:val="clear" w:color="auto" w:fill="CCEEFF"/>
          </w:tcPr>
          <w:p>
            <w:pPr>
              <w:spacing w:after="0"/>
              <w:rPr>
                <w:sz w:val="20"/>
                <w:szCs w:val="20"/>
                <w:color w:val="auto"/>
              </w:rPr>
            </w:pPr>
            <w:r>
              <w:rPr>
                <w:rFonts w:ascii="Arial" w:cs="Arial" w:eastAsia="Arial" w:hAnsi="Arial"/>
                <w:sz w:val="18"/>
                <w:szCs w:val="18"/>
                <w:b w:val="1"/>
                <w:bCs w:val="1"/>
                <w:color w:val="auto"/>
              </w:rPr>
              <w:t>WM HOLDING COMPANY, LLC</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060" w:type="dxa"/>
            <w:vAlign w:val="bottom"/>
            <w:gridSpan w:val="18"/>
          </w:tcPr>
          <w:p>
            <w:pPr>
              <w:spacing w:after="0"/>
              <w:rPr>
                <w:sz w:val="20"/>
                <w:szCs w:val="20"/>
                <w:color w:val="auto"/>
              </w:rPr>
            </w:pPr>
            <w:r>
              <w:rPr>
                <w:rFonts w:ascii="Arial" w:cs="Arial" w:eastAsia="Arial" w:hAnsi="Arial"/>
                <w:sz w:val="18"/>
                <w:szCs w:val="18"/>
                <w:b w:val="1"/>
                <w:bCs w:val="1"/>
                <w:color w:val="auto"/>
              </w:rPr>
              <w:t>Audited Financial Statements of WM Holding Company, LLC</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Report of Independent Registered Public Accounting Firm</w:t>
              </w:r>
            </w:hyperlink>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rFonts w:ascii="Arial" w:cs="Arial" w:eastAsia="Arial" w:hAnsi="Arial"/>
                <w:sz w:val="18"/>
                <w:szCs w:val="18"/>
                <w:color w:val="0000EE"/>
                <w:w w:val="88"/>
              </w:rPr>
            </w:pPr>
            <w:hyperlink w:anchor="page141">
              <w:r>
                <w:rPr>
                  <w:rFonts w:ascii="Arial" w:cs="Arial" w:eastAsia="Arial" w:hAnsi="Arial"/>
                  <w:sz w:val="18"/>
                  <w:szCs w:val="18"/>
                  <w:color w:val="0000EE"/>
                  <w:w w:val="88"/>
                </w:rPr>
                <w:t>F-2</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Consolidated Balance Sheets</w:t>
              </w:r>
            </w:hyperlink>
          </w:p>
        </w:tc>
        <w:tc>
          <w:tcPr>
            <w:tcW w:w="80" w:type="dxa"/>
            <w:vAlign w:val="bottom"/>
          </w:tcPr>
          <w:p>
            <w:pPr>
              <w:spacing w:after="0"/>
              <w:rPr>
                <w:sz w:val="19"/>
                <w:szCs w:val="19"/>
                <w:color w:val="auto"/>
              </w:rPr>
            </w:pPr>
          </w:p>
        </w:tc>
        <w:tc>
          <w:tcPr>
            <w:tcW w:w="1580" w:type="dxa"/>
            <w:vAlign w:val="bottom"/>
            <w:gridSpan w:val="2"/>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F-3</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Consolidated Statements of Income</w:t>
              </w:r>
            </w:hyperlink>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rFonts w:ascii="Arial" w:cs="Arial" w:eastAsia="Arial" w:hAnsi="Arial"/>
                <w:sz w:val="18"/>
                <w:szCs w:val="18"/>
                <w:color w:val="0000EE"/>
                <w:w w:val="88"/>
              </w:rPr>
            </w:pPr>
            <w:hyperlink w:anchor="page143">
              <w:r>
                <w:rPr>
                  <w:rFonts w:ascii="Arial" w:cs="Arial" w:eastAsia="Arial" w:hAnsi="Arial"/>
                  <w:sz w:val="18"/>
                  <w:szCs w:val="18"/>
                  <w:color w:val="0000EE"/>
                  <w:w w:val="88"/>
                </w:rPr>
                <w:t>F-4</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Consolidated Statements of Members’ Equity</w:t>
              </w:r>
            </w:hyperlink>
          </w:p>
        </w:tc>
        <w:tc>
          <w:tcPr>
            <w:tcW w:w="80" w:type="dxa"/>
            <w:vAlign w:val="bottom"/>
          </w:tcPr>
          <w:p>
            <w:pPr>
              <w:spacing w:after="0"/>
              <w:rPr>
                <w:sz w:val="19"/>
                <w:szCs w:val="19"/>
                <w:color w:val="auto"/>
              </w:rPr>
            </w:pPr>
          </w:p>
        </w:tc>
        <w:tc>
          <w:tcPr>
            <w:tcW w:w="1580" w:type="dxa"/>
            <w:vAlign w:val="bottom"/>
            <w:gridSpan w:val="2"/>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F-5</w:t>
              </w:r>
            </w:hyperlink>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Consolidated Statements of Cash Flows</w:t>
              </w:r>
            </w:hyperlink>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rFonts w:ascii="Arial" w:cs="Arial" w:eastAsia="Arial" w:hAnsi="Arial"/>
                <w:sz w:val="18"/>
                <w:szCs w:val="18"/>
                <w:color w:val="0000EE"/>
                <w:w w:val="88"/>
              </w:rPr>
            </w:pPr>
            <w:hyperlink w:anchor="page145">
              <w:r>
                <w:rPr>
                  <w:rFonts w:ascii="Arial" w:cs="Arial" w:eastAsia="Arial" w:hAnsi="Arial"/>
                  <w:sz w:val="18"/>
                  <w:szCs w:val="18"/>
                  <w:color w:val="0000EE"/>
                  <w:w w:val="88"/>
                </w:rPr>
                <w:t>F-6</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Notes to Audited Consolidated Financial Statements</w:t>
              </w:r>
            </w:hyperlink>
          </w:p>
        </w:tc>
        <w:tc>
          <w:tcPr>
            <w:tcW w:w="80" w:type="dxa"/>
            <w:vAlign w:val="bottom"/>
          </w:tcPr>
          <w:p>
            <w:pPr>
              <w:spacing w:after="0"/>
              <w:rPr>
                <w:sz w:val="19"/>
                <w:szCs w:val="19"/>
                <w:color w:val="auto"/>
              </w:rPr>
            </w:pPr>
          </w:p>
        </w:tc>
        <w:tc>
          <w:tcPr>
            <w:tcW w:w="1580" w:type="dxa"/>
            <w:vAlign w:val="bottom"/>
            <w:gridSpan w:val="2"/>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F-7</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060" w:type="dxa"/>
            <w:vAlign w:val="bottom"/>
            <w:gridSpan w:val="18"/>
          </w:tcPr>
          <w:p>
            <w:pPr>
              <w:spacing w:after="0"/>
              <w:rPr>
                <w:sz w:val="20"/>
                <w:szCs w:val="20"/>
                <w:color w:val="auto"/>
              </w:rPr>
            </w:pPr>
            <w:r>
              <w:rPr>
                <w:rFonts w:ascii="Arial" w:cs="Arial" w:eastAsia="Arial" w:hAnsi="Arial"/>
                <w:sz w:val="18"/>
                <w:szCs w:val="18"/>
                <w:b w:val="1"/>
                <w:bCs w:val="1"/>
                <w:color w:val="auto"/>
              </w:rPr>
              <w:t>Unaudited Condensed Consolidated Financial Statements of WM Holding Company, LLC</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Interim Condensed Consolidated Balance Sheets</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57">
              <w:r>
                <w:rPr>
                  <w:rFonts w:ascii="Arial" w:cs="Arial" w:eastAsia="Arial" w:hAnsi="Arial"/>
                  <w:sz w:val="18"/>
                  <w:szCs w:val="18"/>
                  <w:color w:val="0000EE"/>
                  <w:w w:val="91"/>
                </w:rPr>
                <w:t>F-18</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Interim Condensed Consolidated Statements of Income</w:t>
              </w:r>
            </w:hyperlink>
          </w:p>
        </w:tc>
        <w:tc>
          <w:tcPr>
            <w:tcW w:w="1660" w:type="dxa"/>
            <w:vAlign w:val="bottom"/>
            <w:gridSpan w:val="3"/>
          </w:tcPr>
          <w:p>
            <w:pPr>
              <w:jc w:val="center"/>
              <w:ind w:right="1320"/>
              <w:spacing w:after="0"/>
              <w:rPr>
                <w:rFonts w:ascii="Arial" w:cs="Arial" w:eastAsia="Arial" w:hAnsi="Arial"/>
                <w:sz w:val="18"/>
                <w:szCs w:val="18"/>
                <w:color w:val="0000EE"/>
                <w:w w:val="91"/>
              </w:rPr>
            </w:pPr>
            <w:hyperlink w:anchor="page158">
              <w:r>
                <w:rPr>
                  <w:rFonts w:ascii="Arial" w:cs="Arial" w:eastAsia="Arial" w:hAnsi="Arial"/>
                  <w:sz w:val="18"/>
                  <w:szCs w:val="18"/>
                  <w:color w:val="0000EE"/>
                  <w:w w:val="91"/>
                </w:rPr>
                <w:t>F-19</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Interim Condensed Consolidated Statements of Members’ Equity</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59">
              <w:r>
                <w:rPr>
                  <w:rFonts w:ascii="Arial" w:cs="Arial" w:eastAsia="Arial" w:hAnsi="Arial"/>
                  <w:sz w:val="18"/>
                  <w:szCs w:val="18"/>
                  <w:color w:val="0000EE"/>
                  <w:w w:val="91"/>
                </w:rPr>
                <w:t>F-20</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Interim Condensed Consolidated Statements of Cash Flows</w:t>
              </w:r>
            </w:hyperlink>
          </w:p>
        </w:tc>
        <w:tc>
          <w:tcPr>
            <w:tcW w:w="1660" w:type="dxa"/>
            <w:vAlign w:val="bottom"/>
            <w:gridSpan w:val="3"/>
          </w:tcPr>
          <w:p>
            <w:pPr>
              <w:jc w:val="center"/>
              <w:ind w:right="1320"/>
              <w:spacing w:after="0"/>
              <w:rPr>
                <w:rFonts w:ascii="Arial" w:cs="Arial" w:eastAsia="Arial" w:hAnsi="Arial"/>
                <w:sz w:val="18"/>
                <w:szCs w:val="18"/>
                <w:color w:val="0000EE"/>
                <w:w w:val="91"/>
              </w:rPr>
            </w:pPr>
            <w:hyperlink w:anchor="page160">
              <w:r>
                <w:rPr>
                  <w:rFonts w:ascii="Arial" w:cs="Arial" w:eastAsia="Arial" w:hAnsi="Arial"/>
                  <w:sz w:val="18"/>
                  <w:szCs w:val="18"/>
                  <w:color w:val="0000EE"/>
                  <w:w w:val="91"/>
                </w:rPr>
                <w:t>F-21</w:t>
              </w:r>
            </w:hyperlink>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Notes to Interim Condensed Consolidated Financial Statements</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61">
              <w:r>
                <w:rPr>
                  <w:rFonts w:ascii="Arial" w:cs="Arial" w:eastAsia="Arial" w:hAnsi="Arial"/>
                  <w:sz w:val="18"/>
                  <w:szCs w:val="18"/>
                  <w:color w:val="0000EE"/>
                  <w:w w:val="91"/>
                </w:rPr>
                <w:t>F-22</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68"/>
        </w:trPr>
        <w:tc>
          <w:tcPr>
            <w:tcW w:w="13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58"/>
        </w:trPr>
        <w:tc>
          <w:tcPr>
            <w:tcW w:w="1300" w:type="dxa"/>
            <w:vAlign w:val="bottom"/>
          </w:tcPr>
          <w:p>
            <w:pPr>
              <w:spacing w:after="0"/>
              <w:rPr>
                <w:sz w:val="24"/>
                <w:szCs w:val="24"/>
                <w:color w:val="auto"/>
              </w:rPr>
            </w:pPr>
          </w:p>
        </w:tc>
        <w:tc>
          <w:tcPr>
            <w:tcW w:w="8060" w:type="dxa"/>
            <w:vAlign w:val="bottom"/>
            <w:tcBorders>
              <w:bottom w:val="single" w:sz="8" w:color="CCEEFF"/>
            </w:tcBorders>
            <w:gridSpan w:val="18"/>
            <w:shd w:val="clear" w:color="auto" w:fill="CCEEFF"/>
          </w:tcPr>
          <w:p>
            <w:pPr>
              <w:spacing w:after="0"/>
              <w:rPr>
                <w:sz w:val="20"/>
                <w:szCs w:val="20"/>
                <w:color w:val="auto"/>
              </w:rPr>
            </w:pPr>
            <w:r>
              <w:rPr>
                <w:rFonts w:ascii="Arial" w:cs="Arial" w:eastAsia="Arial" w:hAnsi="Arial"/>
                <w:sz w:val="18"/>
                <w:szCs w:val="18"/>
                <w:b w:val="1"/>
                <w:bCs w:val="1"/>
                <w:color w:val="auto"/>
              </w:rPr>
              <w:t>SILVER SPIKE ACQUISITION CORP</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060" w:type="dxa"/>
            <w:vAlign w:val="bottom"/>
            <w:gridSpan w:val="18"/>
          </w:tcPr>
          <w:p>
            <w:pPr>
              <w:spacing w:after="0"/>
              <w:rPr>
                <w:sz w:val="20"/>
                <w:szCs w:val="20"/>
                <w:color w:val="auto"/>
              </w:rPr>
            </w:pPr>
            <w:r>
              <w:rPr>
                <w:rFonts w:ascii="Arial" w:cs="Arial" w:eastAsia="Arial" w:hAnsi="Arial"/>
                <w:sz w:val="18"/>
                <w:szCs w:val="18"/>
                <w:b w:val="1"/>
                <w:bCs w:val="1"/>
                <w:color w:val="auto"/>
              </w:rPr>
              <w:t>Audited Financial Statements of Silver Spike Acquisition Corp</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Report of Independent Registered Public Accounting Firm</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69">
              <w:r>
                <w:rPr>
                  <w:rFonts w:ascii="Arial" w:cs="Arial" w:eastAsia="Arial" w:hAnsi="Arial"/>
                  <w:sz w:val="18"/>
                  <w:szCs w:val="18"/>
                  <w:color w:val="0000EE"/>
                  <w:w w:val="91"/>
                </w:rPr>
                <w:t>F-30</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Consolidated Balance Sheets (Restated)</w:t>
              </w:r>
            </w:hyperlink>
          </w:p>
        </w:tc>
        <w:tc>
          <w:tcPr>
            <w:tcW w:w="1660" w:type="dxa"/>
            <w:vAlign w:val="bottom"/>
            <w:gridSpan w:val="3"/>
          </w:tcPr>
          <w:p>
            <w:pPr>
              <w:jc w:val="center"/>
              <w:ind w:right="1320"/>
              <w:spacing w:after="0"/>
              <w:rPr>
                <w:rFonts w:ascii="Arial" w:cs="Arial" w:eastAsia="Arial" w:hAnsi="Arial"/>
                <w:sz w:val="18"/>
                <w:szCs w:val="18"/>
                <w:color w:val="0000EE"/>
                <w:w w:val="91"/>
              </w:rPr>
            </w:pPr>
            <w:hyperlink w:anchor="page170">
              <w:r>
                <w:rPr>
                  <w:rFonts w:ascii="Arial" w:cs="Arial" w:eastAsia="Arial" w:hAnsi="Arial"/>
                  <w:sz w:val="18"/>
                  <w:szCs w:val="18"/>
                  <w:color w:val="0000EE"/>
                  <w:w w:val="91"/>
                </w:rPr>
                <w:t>F-31</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Consolidated Statements of Operations (Restated)</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71">
              <w:r>
                <w:rPr>
                  <w:rFonts w:ascii="Arial" w:cs="Arial" w:eastAsia="Arial" w:hAnsi="Arial"/>
                  <w:sz w:val="18"/>
                  <w:szCs w:val="18"/>
                  <w:color w:val="0000EE"/>
                  <w:w w:val="91"/>
                </w:rPr>
                <w:t>F-32</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Consolidated Statements of Changes in Shareholders’ Equity (Restated)</w:t>
              </w:r>
            </w:hyperlink>
          </w:p>
        </w:tc>
        <w:tc>
          <w:tcPr>
            <w:tcW w:w="1660" w:type="dxa"/>
            <w:vAlign w:val="bottom"/>
            <w:gridSpan w:val="3"/>
          </w:tcPr>
          <w:p>
            <w:pPr>
              <w:jc w:val="center"/>
              <w:ind w:right="1320"/>
              <w:spacing w:after="0"/>
              <w:rPr>
                <w:rFonts w:ascii="Arial" w:cs="Arial" w:eastAsia="Arial" w:hAnsi="Arial"/>
                <w:sz w:val="18"/>
                <w:szCs w:val="18"/>
                <w:color w:val="0000EE"/>
                <w:w w:val="91"/>
              </w:rPr>
            </w:pPr>
            <w:hyperlink w:anchor="page172">
              <w:r>
                <w:rPr>
                  <w:rFonts w:ascii="Arial" w:cs="Arial" w:eastAsia="Arial" w:hAnsi="Arial"/>
                  <w:sz w:val="18"/>
                  <w:szCs w:val="18"/>
                  <w:color w:val="0000EE"/>
                  <w:w w:val="91"/>
                </w:rPr>
                <w:t>F-33</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Consolidated Statements of Cash Flows (Restated)</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73">
              <w:r>
                <w:rPr>
                  <w:rFonts w:ascii="Arial" w:cs="Arial" w:eastAsia="Arial" w:hAnsi="Arial"/>
                  <w:sz w:val="18"/>
                  <w:szCs w:val="18"/>
                  <w:color w:val="0000EE"/>
                  <w:w w:val="91"/>
                </w:rPr>
                <w:t>F-34</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Notes to Consolidated Financial Statements (Restated)</w:t>
              </w:r>
            </w:hyperlink>
          </w:p>
        </w:tc>
        <w:tc>
          <w:tcPr>
            <w:tcW w:w="1660" w:type="dxa"/>
            <w:vAlign w:val="bottom"/>
            <w:gridSpan w:val="3"/>
          </w:tcPr>
          <w:p>
            <w:pPr>
              <w:jc w:val="center"/>
              <w:ind w:right="1320"/>
              <w:spacing w:after="0"/>
              <w:rPr>
                <w:rFonts w:ascii="Arial" w:cs="Arial" w:eastAsia="Arial" w:hAnsi="Arial"/>
                <w:sz w:val="18"/>
                <w:szCs w:val="18"/>
                <w:color w:val="0000EE"/>
                <w:w w:val="91"/>
              </w:rPr>
            </w:pPr>
            <w:hyperlink w:anchor="page174">
              <w:r>
                <w:rPr>
                  <w:rFonts w:ascii="Arial" w:cs="Arial" w:eastAsia="Arial" w:hAnsi="Arial"/>
                  <w:sz w:val="18"/>
                  <w:szCs w:val="18"/>
                  <w:color w:val="0000EE"/>
                  <w:w w:val="91"/>
                </w:rPr>
                <w:t>F-35</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060" w:type="dxa"/>
            <w:vAlign w:val="bottom"/>
            <w:gridSpan w:val="18"/>
          </w:tcPr>
          <w:p>
            <w:pPr>
              <w:spacing w:after="0"/>
              <w:rPr>
                <w:sz w:val="20"/>
                <w:szCs w:val="20"/>
                <w:color w:val="auto"/>
              </w:rPr>
            </w:pPr>
            <w:r>
              <w:rPr>
                <w:rFonts w:ascii="Arial" w:cs="Arial" w:eastAsia="Arial" w:hAnsi="Arial"/>
                <w:sz w:val="18"/>
                <w:szCs w:val="18"/>
                <w:b w:val="1"/>
                <w:bCs w:val="1"/>
                <w:color w:val="auto"/>
              </w:rPr>
              <w:t>Unaudited Condensed Consolidated Financial Statements of Silver Spike Acquisition Corp</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Interim Condensed Consolidated Balance Sheets</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93">
              <w:r>
                <w:rPr>
                  <w:rFonts w:ascii="Arial" w:cs="Arial" w:eastAsia="Arial" w:hAnsi="Arial"/>
                  <w:sz w:val="18"/>
                  <w:szCs w:val="18"/>
                  <w:color w:val="0000EE"/>
                  <w:w w:val="91"/>
                </w:rPr>
                <w:t>F-52</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Interim Condensed Consolidated Statements of Operations</w:t>
              </w:r>
            </w:hyperlink>
          </w:p>
        </w:tc>
        <w:tc>
          <w:tcPr>
            <w:tcW w:w="1660" w:type="dxa"/>
            <w:vAlign w:val="bottom"/>
            <w:gridSpan w:val="3"/>
          </w:tcPr>
          <w:p>
            <w:pPr>
              <w:jc w:val="center"/>
              <w:ind w:right="1320"/>
              <w:spacing w:after="0"/>
              <w:rPr>
                <w:rFonts w:ascii="Arial" w:cs="Arial" w:eastAsia="Arial" w:hAnsi="Arial"/>
                <w:sz w:val="18"/>
                <w:szCs w:val="18"/>
                <w:color w:val="0000EE"/>
                <w:w w:val="91"/>
              </w:rPr>
            </w:pPr>
            <w:hyperlink w:anchor="page194">
              <w:r>
                <w:rPr>
                  <w:rFonts w:ascii="Arial" w:cs="Arial" w:eastAsia="Arial" w:hAnsi="Arial"/>
                  <w:sz w:val="18"/>
                  <w:szCs w:val="18"/>
                  <w:color w:val="0000EE"/>
                  <w:w w:val="91"/>
                </w:rPr>
                <w:t>F-53</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Interim Condensed Consolidated Statements of Shareholders’ Equity</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95">
              <w:r>
                <w:rPr>
                  <w:rFonts w:ascii="Arial" w:cs="Arial" w:eastAsia="Arial" w:hAnsi="Arial"/>
                  <w:sz w:val="18"/>
                  <w:szCs w:val="18"/>
                  <w:color w:val="0000EE"/>
                  <w:w w:val="91"/>
                </w:rPr>
                <w:t>F-54</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Interim Condensed Consolidated Statements of Cash Flows</w:t>
              </w:r>
            </w:hyperlink>
          </w:p>
        </w:tc>
        <w:tc>
          <w:tcPr>
            <w:tcW w:w="1660" w:type="dxa"/>
            <w:vAlign w:val="bottom"/>
            <w:gridSpan w:val="3"/>
          </w:tcPr>
          <w:p>
            <w:pPr>
              <w:jc w:val="center"/>
              <w:ind w:right="1320"/>
              <w:spacing w:after="0"/>
              <w:rPr>
                <w:rFonts w:ascii="Arial" w:cs="Arial" w:eastAsia="Arial" w:hAnsi="Arial"/>
                <w:sz w:val="18"/>
                <w:szCs w:val="18"/>
                <w:color w:val="0000EE"/>
                <w:w w:val="91"/>
              </w:rPr>
            </w:pPr>
            <w:hyperlink w:anchor="page196">
              <w:r>
                <w:rPr>
                  <w:rFonts w:ascii="Arial" w:cs="Arial" w:eastAsia="Arial" w:hAnsi="Arial"/>
                  <w:sz w:val="18"/>
                  <w:szCs w:val="18"/>
                  <w:color w:val="0000EE"/>
                  <w:w w:val="91"/>
                </w:rPr>
                <w:t>F-55</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Notes to Interim Condensed Consolidated Financial Statements</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97">
              <w:r>
                <w:rPr>
                  <w:rFonts w:ascii="Arial" w:cs="Arial" w:eastAsia="Arial" w:hAnsi="Arial"/>
                  <w:sz w:val="18"/>
                  <w:szCs w:val="18"/>
                  <w:color w:val="0000EE"/>
                  <w:w w:val="91"/>
                </w:rPr>
                <w:t>F-56</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756"/>
        </w:trPr>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gridSpan w:val="8"/>
          </w:tcPr>
          <w:p>
            <w:pPr>
              <w:ind w:left="100"/>
              <w:spacing w:after="0"/>
              <w:rPr>
                <w:sz w:val="20"/>
                <w:szCs w:val="20"/>
                <w:color w:val="auto"/>
              </w:rPr>
            </w:pPr>
            <w:r>
              <w:rPr>
                <w:rFonts w:ascii="Arial" w:cs="Arial" w:eastAsia="Arial" w:hAnsi="Arial"/>
                <w:sz w:val="18"/>
                <w:szCs w:val="18"/>
                <w:color w:val="auto"/>
              </w:rPr>
              <w:t>F-1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-6874510</wp:posOffset>
            </wp:positionV>
            <wp:extent cx="939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Members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WM Holding Company, LLC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Irvine, California</w:t>
      </w:r>
    </w:p>
    <w:p>
      <w:pPr>
        <w:spacing w:after="0" w:line="3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audited the accompanying consolidated balance sheets of WM Holding Company, LLC and its subsidiaries (collectively the “Company”) as of December 31, 2020 and 2019, the related consolidated statements of operations, members’ equity, and cash flows for each of the years ended December 31, 2020, 2019 and 2018, and the related notes to the consolidated financial statements (collectively, the “financial statements”). In our opinion, the consolidated financial statements present fairly, in all material respects, the financial position of the Company as of December 31, 2020 and 2019, and the results of its operations and its cash flows for each of the years ended December 31, 2020, 2019, and 2018, in conformity with accounting principles generally accepted in the United States of America.</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6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Emphasis of Matter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is an organization that provides online directory services to legalized cannabis companies. As discussed in Note 1,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 Baker Tilly US, LLP</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2014.</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March 9,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0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2020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6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$ 4,967,954</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$19,918,914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3,929,321</w:t>
            </w: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9,428,166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1,783,783</w:t>
            </w:r>
          </w:p>
        </w:tc>
        <w:tc>
          <w:tcPr>
            <w:tcW w:w="60" w:type="dxa"/>
            <w:vAlign w:val="bottom"/>
            <w:shd w:val="clear" w:color="auto" w:fill="CCEEFF"/>
          </w:tcPr>
          <w:p>
            <w:pPr>
              <w:spacing w:after="0"/>
              <w:rPr>
                <w:sz w:val="22"/>
                <w:szCs w:val="22"/>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4,819,968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10,681,058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34,167,048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9,155,525</w:t>
            </w:r>
          </w:p>
        </w:tc>
        <w:tc>
          <w:tcPr>
            <w:tcW w:w="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7,387,420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Goodwill</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3,961,122</w:t>
            </w: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3,961,122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5,402,956</w:t>
            </w:r>
          </w:p>
        </w:tc>
        <w:tc>
          <w:tcPr>
            <w:tcW w:w="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4,504,408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Assets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4,553,009</w:t>
            </w:r>
          </w:p>
        </w:tc>
        <w:tc>
          <w:tcPr>
            <w:tcW w:w="6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3,874,155</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33,753,670</w:t>
            </w:r>
          </w:p>
        </w:tc>
        <w:tc>
          <w:tcPr>
            <w:tcW w:w="60" w:type="dxa"/>
            <w:vAlign w:val="bottom"/>
            <w:shd w:val="clear" w:color="auto" w:fill="CCEEFF"/>
          </w:tcPr>
          <w:p>
            <w:pPr>
              <w:spacing w:after="0"/>
              <w:rPr>
                <w:sz w:val="24"/>
                <w:szCs w:val="24"/>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53,894,153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61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MEMBERS’ EQUITY</w:t>
            </w:r>
          </w:p>
        </w:tc>
        <w:tc>
          <w:tcPr>
            <w:tcW w:w="14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14,886,301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12,651,130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4,328,635</w:t>
            </w:r>
          </w:p>
        </w:tc>
        <w:tc>
          <w:tcPr>
            <w:tcW w:w="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5,264,373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1,435,691</w:t>
            </w: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5,128,755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payable to members, current portion</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205,324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20,650,627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23,249,582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Notes payable to members, non-current portion</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205,324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98,964</w:t>
            </w:r>
          </w:p>
        </w:tc>
        <w:tc>
          <w:tcPr>
            <w:tcW w:w="60" w:type="dxa"/>
            <w:vAlign w:val="bottom"/>
            <w:shd w:val="clear" w:color="auto" w:fill="CCEEFF"/>
          </w:tcPr>
          <w:p>
            <w:pPr>
              <w:spacing w:after="0"/>
              <w:rPr>
                <w:sz w:val="22"/>
                <w:szCs w:val="22"/>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1,373,836</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20,954,915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24,623,418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Members’ equity</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Class A-1 Units - no par value; 821,769 units authorized, issued and outstanding</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at December 31, 2020 and 2019</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3,306,922</w:t>
            </w:r>
          </w:p>
        </w:tc>
        <w:tc>
          <w:tcPr>
            <w:tcW w:w="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2,543,998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w w:val="99"/>
              </w:rPr>
              <w:t>Class A-2 Units - no par value; 34,264 units authorized, 24,058 issued and</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outstanding at December 31, 2020 and 2019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17,108,743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16,864,901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Class A-3 Units/Class B Units - no par value; 274,822 units authorized, 53,333</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A-3 units and 221,483 Class B units issued and outstanding at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December 31, 2020, 274,667 units authorized, 53,333 Class A-3 units and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210,744 Class B units issued and outstanding at December 31, 2019</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Retained earnings/accumulated deficit</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(7,616,910)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9,861,836</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12,798,755</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29,270,735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Total liabilities and members’ equity</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33,753,670</w:t>
            </w: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53,894,153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6120" w:type="dxa"/>
            <w:vAlign w:val="bottom"/>
            <w:vMerge w:val="restart"/>
          </w:tcPr>
          <w:p>
            <w:pPr>
              <w:ind w:left="4080"/>
              <w:spacing w:after="0"/>
              <w:rPr>
                <w:sz w:val="20"/>
                <w:szCs w:val="20"/>
                <w:color w:val="auto"/>
              </w:rPr>
            </w:pPr>
            <w:r>
              <w:rPr>
                <w:rFonts w:ascii="Arial" w:cs="Arial" w:eastAsia="Arial" w:hAnsi="Arial"/>
                <w:sz w:val="18"/>
                <w:szCs w:val="18"/>
                <w:color w:val="auto"/>
              </w:rPr>
              <w:t>F-3</w:t>
            </w: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-7414895</wp:posOffset>
            </wp:positionV>
            <wp:extent cx="17145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-7414895</wp:posOffset>
            </wp:positionV>
            <wp:extent cx="857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2" w:name="page143"/>
    <w:bookmarkEnd w:id="142"/>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48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63"/>
        </w:trPr>
        <w:tc>
          <w:tcPr>
            <w:tcW w:w="1300" w:type="dxa"/>
            <w:vAlign w:val="bottom"/>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net</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101,402,007</w:t>
            </w:r>
          </w:p>
        </w:tc>
        <w:tc>
          <w:tcPr>
            <w:tcW w:w="22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144,231,479</w:t>
            </w:r>
          </w:p>
        </w:tc>
        <w:tc>
          <w:tcPr>
            <w:tcW w:w="22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161,790,762</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6,304,059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7,073,728</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7,629,965</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17,798,973</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39,745,946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30,716,015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development</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20,033,481</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29,496,687</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27,142,129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38,934,680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56,465,609</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51,127,116</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2,148,628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5,162,595</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3,977,805</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8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85,219,821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137,944,565</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120,593,030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16,182,186</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6,286,914</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41,197,732</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(621,462)</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(124,220)</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(2,116)</w:t>
            </w: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2"/>
                <w:szCs w:val="22"/>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(1,206,475)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7"/>
              </w:rPr>
              <w:t>(5,217,334)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(2,365,623)</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8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w:t>
            </w:r>
          </w:p>
        </w:tc>
        <w:tc>
          <w:tcPr>
            <w:tcW w:w="14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(1,827,937)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(5,341,554)</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(2,367,739)</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1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14,354,249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945,360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38,829,993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DISCONTINUED OPERATIONS</w:t>
            </w:r>
          </w:p>
        </w:tc>
        <w:tc>
          <w:tcPr>
            <w:tcW w:w="1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(1,674,738)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12,679,511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945,360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38,829,993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from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1,321,045</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12,679,511</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(375,685)</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38,829,993</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45"/>
        </w:trPr>
        <w:tc>
          <w:tcPr>
            <w:tcW w:w="130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 (LOSS) PER UNIT</w:t>
            </w: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w w:val="96"/>
              </w:rPr>
              <w:t>Basic and diluted earnings (loss) per Class A-1, A-2 and A-3</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7"/>
        </w:trPr>
        <w:tc>
          <w:tcPr>
            <w:tcW w:w="1300" w:type="dxa"/>
            <w:vAlign w:val="bottom"/>
          </w:tcPr>
          <w:p>
            <w:pPr>
              <w:spacing w:after="0"/>
              <w:rPr>
                <w:sz w:val="18"/>
                <w:szCs w:val="18"/>
                <w:color w:val="auto"/>
              </w:rPr>
            </w:pPr>
          </w:p>
        </w:tc>
        <w:tc>
          <w:tcPr>
            <w:tcW w:w="4820" w:type="dxa"/>
            <w:vAlign w:val="bottom"/>
          </w:tcPr>
          <w:p>
            <w:pPr>
              <w:ind w:left="360"/>
              <w:spacing w:after="0"/>
              <w:rPr>
                <w:sz w:val="20"/>
                <w:szCs w:val="20"/>
                <w:color w:val="auto"/>
              </w:rPr>
            </w:pPr>
            <w:r>
              <w:rPr>
                <w:rFonts w:ascii="Arial" w:cs="Arial" w:eastAsia="Arial" w:hAnsi="Arial"/>
                <w:sz w:val="18"/>
                <w:szCs w:val="18"/>
                <w:color w:val="auto"/>
              </w:rPr>
              <w:t>units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16.95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43.18</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96"/>
        </w:trPr>
        <w:tc>
          <w:tcPr>
            <w:tcW w:w="1300" w:type="dxa"/>
            <w:vAlign w:val="bottom"/>
          </w:tcPr>
          <w:p>
            <w:pPr>
              <w:spacing w:after="0"/>
              <w:rPr>
                <w:sz w:val="24"/>
                <w:szCs w:val="24"/>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Basic and diluted loss per Class A-1, A-2 and A-3 units from</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305"/>
        </w:trPr>
        <w:tc>
          <w:tcPr>
            <w:tcW w:w="1300" w:type="dxa"/>
            <w:vAlign w:val="bottom"/>
          </w:tcPr>
          <w:p>
            <w:pPr>
              <w:spacing w:after="0"/>
              <w:rPr>
                <w:sz w:val="24"/>
                <w:szCs w:val="24"/>
                <w:color w:val="auto"/>
              </w:rPr>
            </w:pPr>
          </w:p>
        </w:tc>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96"/>
        </w:trPr>
        <w:tc>
          <w:tcPr>
            <w:tcW w:w="1300" w:type="dxa"/>
            <w:vAlign w:val="bottom"/>
          </w:tcPr>
          <w:p>
            <w:pPr>
              <w:spacing w:after="0"/>
              <w:rPr>
                <w:sz w:val="24"/>
                <w:szCs w:val="24"/>
                <w:color w:val="auto"/>
              </w:rPr>
            </w:pPr>
          </w:p>
        </w:tc>
        <w:tc>
          <w:tcPr>
            <w:tcW w:w="48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w w:val="96"/>
              </w:rPr>
              <w:t>Basic and diluted earnings (loss) per Class A-1, A-2 and A-3</w:t>
            </w: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217"/>
        </w:trPr>
        <w:tc>
          <w:tcPr>
            <w:tcW w:w="1300" w:type="dxa"/>
            <w:vAlign w:val="bottom"/>
          </w:tcPr>
          <w:p>
            <w:pPr>
              <w:spacing w:after="0"/>
              <w:rPr>
                <w:sz w:val="18"/>
                <w:szCs w:val="18"/>
                <w:color w:val="auto"/>
              </w:rPr>
            </w:pPr>
          </w:p>
        </w:tc>
        <w:tc>
          <w:tcPr>
            <w:tcW w:w="4820" w:type="dxa"/>
            <w:vAlign w:val="bottom"/>
          </w:tcPr>
          <w:p>
            <w:pPr>
              <w:ind w:left="360"/>
              <w:spacing w:after="0"/>
              <w:rPr>
                <w:sz w:val="20"/>
                <w:szCs w:val="20"/>
                <w:color w:val="auto"/>
              </w:rPr>
            </w:pPr>
            <w:r>
              <w:rPr>
                <w:rFonts w:ascii="Arial" w:cs="Arial" w:eastAsia="Arial" w:hAnsi="Arial"/>
                <w:sz w:val="18"/>
                <w:szCs w:val="18"/>
                <w:color w:val="auto"/>
              </w:rPr>
              <w:t>units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14.97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43.18</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96"/>
        </w:trPr>
        <w:tc>
          <w:tcPr>
            <w:tcW w:w="1300" w:type="dxa"/>
            <w:vAlign w:val="bottom"/>
          </w:tcPr>
          <w:p>
            <w:pPr>
              <w:spacing w:after="0"/>
              <w:rPr>
                <w:sz w:val="24"/>
                <w:szCs w:val="24"/>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weighted-average number of units</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64"/>
        </w:trPr>
        <w:tc>
          <w:tcPr>
            <w:tcW w:w="1300" w:type="dxa"/>
            <w:vAlign w:val="bottom"/>
          </w:tcPr>
          <w:p>
            <w:pPr>
              <w:spacing w:after="0"/>
              <w:rPr>
                <w:sz w:val="22"/>
                <w:szCs w:val="22"/>
                <w:color w:val="auto"/>
              </w:rPr>
            </w:pPr>
          </w:p>
        </w:tc>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847,024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899,160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899,160</w:t>
            </w:r>
          </w:p>
        </w:tc>
        <w:tc>
          <w:tcPr>
            <w:tcW w:w="1300" w:type="dxa"/>
            <w:vAlign w:val="bottom"/>
          </w:tcPr>
          <w:p>
            <w:pPr>
              <w:spacing w:after="0"/>
              <w:rPr>
                <w:sz w:val="22"/>
                <w:szCs w:val="22"/>
                <w:color w:val="auto"/>
              </w:rPr>
            </w:pPr>
          </w:p>
        </w:tc>
      </w:tr>
      <w:tr>
        <w:trPr>
          <w:trHeight w:val="432"/>
        </w:trPr>
        <w:tc>
          <w:tcPr>
            <w:tcW w:w="1300" w:type="dxa"/>
            <w:vAlign w:val="bottom"/>
          </w:tcPr>
          <w:p>
            <w:pPr>
              <w:spacing w:after="0"/>
              <w:rPr>
                <w:sz w:val="24"/>
                <w:szCs w:val="24"/>
                <w:color w:val="auto"/>
              </w:rPr>
            </w:pPr>
          </w:p>
        </w:tc>
        <w:tc>
          <w:tcPr>
            <w:tcW w:w="4820" w:type="dxa"/>
            <w:vAlign w:val="bottom"/>
            <w:tcBorders>
              <w:top w:val="single" w:sz="8" w:color="CCEEFF"/>
            </w:tcBorders>
          </w:tcPr>
          <w:p>
            <w:pPr>
              <w:ind w:left="4080"/>
              <w:spacing w:after="0"/>
              <w:rPr>
                <w:sz w:val="20"/>
                <w:szCs w:val="20"/>
                <w:color w:val="auto"/>
              </w:rPr>
            </w:pPr>
            <w:r>
              <w:rPr>
                <w:rFonts w:ascii="Arial" w:cs="Arial" w:eastAsia="Arial" w:hAnsi="Arial"/>
                <w:sz w:val="18"/>
                <w:szCs w:val="18"/>
                <w:color w:val="auto"/>
              </w:rPr>
              <w:t>F-4</w:t>
            </w: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-6025515</wp:posOffset>
            </wp:positionV>
            <wp:extent cx="137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-6025515</wp:posOffset>
            </wp:positionV>
            <wp:extent cx="137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3820795</wp:posOffset>
            </wp:positionH>
            <wp:positionV relativeFrom="paragraph">
              <wp:posOffset>-6025515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3" w:name="page144"/>
    <w:bookmarkEnd w:id="143"/>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Class A-1 Units</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A-2 Units</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Class A-3/B</w:t>
            </w:r>
          </w:p>
        </w:tc>
        <w:tc>
          <w:tcPr>
            <w:tcW w:w="10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234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3"/>
              </w:rPr>
              <w:t>Total Member's</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120" w:type="dxa"/>
            <w:vAlign w:val="bottom"/>
            <w:gridSpan w:val="5"/>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6"/>
                <w:szCs w:val="16"/>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earnings</w:t>
            </w:r>
          </w:p>
        </w:tc>
        <w:tc>
          <w:tcPr>
            <w:tcW w:w="234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2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2017</w:t>
            </w:r>
          </w:p>
        </w:tc>
        <w:tc>
          <w:tcPr>
            <w:tcW w:w="9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4,546,847</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8,891,183</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13,438,030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Sale of Class A Units</w:t>
            </w:r>
          </w:p>
        </w:tc>
        <w:tc>
          <w:tcPr>
            <w:tcW w:w="80" w:type="dxa"/>
            <w:vAlign w:val="bottom"/>
          </w:tcPr>
          <w:p>
            <w:pPr>
              <w:spacing w:after="0"/>
              <w:rPr>
                <w:sz w:val="23"/>
                <w:szCs w:val="23"/>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17,553,601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17,553,601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9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(524,894)</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(66,840)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(10,832,926)</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(11,424,660)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Repurchase of Class B Units</w:t>
            </w:r>
          </w:p>
        </w:tc>
        <w:tc>
          <w:tcPr>
            <w:tcW w:w="80" w:type="dxa"/>
            <w:vAlign w:val="bottom"/>
          </w:tcPr>
          <w:p>
            <w:pPr>
              <w:spacing w:after="0"/>
              <w:rPr>
                <w:sz w:val="23"/>
                <w:szCs w:val="23"/>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(1,694,407)</w:t>
            </w:r>
          </w:p>
        </w:tc>
        <w:tc>
          <w:tcPr>
            <w:tcW w:w="1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(1,694,407)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Deemed distribution on divestiture of</w:t>
            </w:r>
          </w:p>
        </w:tc>
        <w:tc>
          <w:tcPr>
            <w:tcW w:w="80" w:type="dxa"/>
            <w:vAlign w:val="bottom"/>
            <w:tcBorders>
              <w:right w:val="single" w:sz="8" w:color="CCEEFF"/>
            </w:tcBorders>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tcBorders>
              <w:right w:val="single" w:sz="8" w:color="CCEEFF"/>
            </w:tcBorders>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controlled entities</w:t>
            </w: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(428,417)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(428,417)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2"/>
                <w:szCs w:val="22"/>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12,679,511</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12,679,511</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2018</w:t>
            </w:r>
          </w:p>
        </w:tc>
        <w:tc>
          <w:tcPr>
            <w:tcW w:w="9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4,021,953</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17,486,761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8,614,944</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30,123,658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(715,031)</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(378,018)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(14,289,441)</w:t>
            </w:r>
          </w:p>
        </w:tc>
        <w:tc>
          <w:tcPr>
            <w:tcW w:w="1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(15,382,490)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Class B Units</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040" w:type="dxa"/>
            <w:vAlign w:val="bottom"/>
            <w:tcBorders>
              <w:bottom w:val="single" w:sz="8" w:color="CCEEFF"/>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(1,566,728)</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(1,566,728)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2"/>
                <w:szCs w:val="22"/>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(375,685)</w:t>
            </w:r>
          </w:p>
        </w:tc>
        <w:tc>
          <w:tcPr>
            <w:tcW w:w="1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(375,685)</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9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3,306,922</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17,108,743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(7,616,910)</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12,798,755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(762,924)</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(243,842)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(20,944,766)</w:t>
            </w:r>
          </w:p>
        </w:tc>
        <w:tc>
          <w:tcPr>
            <w:tcW w:w="1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(21,951,532)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Class B Units</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(406,481)</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(406,481)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38,829,993</w:t>
            </w:r>
          </w:p>
        </w:tc>
        <w:tc>
          <w:tcPr>
            <w:tcW w:w="12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38,829,993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4"/>
                <w:szCs w:val="2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80" w:type="dxa"/>
            <w:vAlign w:val="bottom"/>
            <w:tcBorders>
              <w:right w:val="single" w:sz="8" w:color="CCEEFF"/>
            </w:tcBorders>
            <w:shd w:val="clear" w:color="auto" w:fill="CCEEFF"/>
          </w:tcPr>
          <w:p>
            <w:pPr>
              <w:spacing w:after="0"/>
              <w:rPr>
                <w:sz w:val="24"/>
                <w:szCs w:val="24"/>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2,543,998</w:t>
            </w:r>
          </w:p>
        </w:tc>
        <w:tc>
          <w:tcPr>
            <w:tcW w:w="1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16,864,901</w:t>
            </w:r>
          </w:p>
        </w:tc>
        <w:tc>
          <w:tcPr>
            <w:tcW w:w="1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9,861,836</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$ 29,270,735</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right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ind w:left="760"/>
              <w:spacing w:after="0"/>
              <w:rPr>
                <w:sz w:val="20"/>
                <w:szCs w:val="20"/>
                <w:color w:val="auto"/>
              </w:rPr>
            </w:pPr>
            <w:r>
              <w:rPr>
                <w:rFonts w:ascii="Arial" w:cs="Arial" w:eastAsia="Arial" w:hAnsi="Arial"/>
                <w:sz w:val="18"/>
                <w:szCs w:val="18"/>
                <w:color w:val="auto"/>
                <w:w w:val="88"/>
              </w:rPr>
              <w:t>F-5</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5440680</wp:posOffset>
            </wp:positionH>
            <wp:positionV relativeFrom="paragraph">
              <wp:posOffset>-3693795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-3693795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-3693795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-3693795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-3693795</wp:posOffset>
            </wp:positionV>
            <wp:extent cx="342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4" w:name="page145"/>
    <w:bookmarkEnd w:id="144"/>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4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12,679,511</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(375,685)</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38,829,993</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income (loss) to net cash provided</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64"/>
        </w:trPr>
        <w:tc>
          <w:tcPr>
            <w:tcW w:w="1300" w:type="dxa"/>
            <w:vAlign w:val="bottom"/>
          </w:tcPr>
          <w:p>
            <w:pPr>
              <w:spacing w:after="0"/>
              <w:rPr>
                <w:sz w:val="22"/>
                <w:szCs w:val="22"/>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by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2,148,628</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5,162,595</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3,977,805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debt discounts</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(432,095)</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(2,572,107)</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(5,498,845)</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871,245</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(610,758)</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(3,036,185)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65,948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(3,344,195)</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678,854</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1,651,975</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7,373,723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(960,299)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496,065</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3,693,064</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721,378</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165,488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935,738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and liabilities held for sale</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(82,507)</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17,689,431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6,295,126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38,620,125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8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7"/>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(2,124,408)</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5"/>
              </w:rPr>
              <w:t>(5,129,470)</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(1,311,152)</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8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(2,124,408)</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(5,129,470)</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(1,311,152)</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(repayments) from secured line of credit</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1,748,038</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(5,019,814)</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Sale of Class A Units</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17,553,601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22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to members</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(11,424,660)</w:t>
            </w:r>
          </w:p>
        </w:tc>
        <w:tc>
          <w:tcPr>
            <w:tcW w:w="2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(15,382,490)</w:t>
            </w:r>
          </w:p>
        </w:tc>
        <w:tc>
          <w:tcPr>
            <w:tcW w:w="2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(21,951,532)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Repurchase of Class B Units</w:t>
            </w:r>
          </w:p>
        </w:tc>
        <w:tc>
          <w:tcPr>
            <w:tcW w:w="10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(1,694,407)</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5"/>
              </w:rPr>
              <w:t>(1,566,728)</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(406,481)</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on notes payable to members</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(2,243,611)</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(695,000)</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2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r>
      <w:tr>
        <w:trPr>
          <w:trHeight w:val="61"/>
        </w:trPr>
        <w:tc>
          <w:tcPr>
            <w:tcW w:w="1300" w:type="dxa"/>
            <w:vAlign w:val="bottom"/>
          </w:tcPr>
          <w:p>
            <w:pPr>
              <w:spacing w:after="0"/>
              <w:rPr>
                <w:sz w:val="5"/>
                <w:szCs w:val="5"/>
                <w:color w:val="auto"/>
              </w:rPr>
            </w:pPr>
          </w:p>
        </w:tc>
        <w:tc>
          <w:tcPr>
            <w:tcW w:w="48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3,243,961</w:t>
            </w:r>
          </w:p>
        </w:tc>
        <w:tc>
          <w:tcPr>
            <w:tcW w:w="24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(21,969,032)</w:t>
            </w:r>
          </w:p>
        </w:tc>
        <w:tc>
          <w:tcPr>
            <w:tcW w:w="24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(22,358,013)</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Net increase (decrease) in cash</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18,808,984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w w:val="97"/>
              </w:rPr>
              <w:t>(20,803,376)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14,950,960</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 beginning of year</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6,962,346</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25,771,330</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4,967,954</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CASH –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25,771,330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4,967,954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19,918,914</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92"/>
        </w:trPr>
        <w:tc>
          <w:tcPr>
            <w:tcW w:w="1300" w:type="dxa"/>
            <w:vAlign w:val="bottom"/>
          </w:tcPr>
          <w:p>
            <w:pPr>
              <w:spacing w:after="0"/>
              <w:rPr>
                <w:sz w:val="24"/>
                <w:szCs w:val="24"/>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68"/>
        </w:trPr>
        <w:tc>
          <w:tcPr>
            <w:tcW w:w="1300" w:type="dxa"/>
            <w:vAlign w:val="bottom"/>
          </w:tcPr>
          <w:p>
            <w:pPr>
              <w:spacing w:after="0"/>
              <w:rPr>
                <w:sz w:val="23"/>
                <w:szCs w:val="23"/>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INFORMATION</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56"/>
        </w:trPr>
        <w:tc>
          <w:tcPr>
            <w:tcW w:w="1300" w:type="dxa"/>
            <w:vAlign w:val="bottom"/>
          </w:tcPr>
          <w:p>
            <w:pPr>
              <w:spacing w:after="0"/>
              <w:rPr>
                <w:sz w:val="22"/>
                <w:szCs w:val="22"/>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579,793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157,407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45"/>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117,848</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1,335,998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Deemed distribution on divestiture of controlled entities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428,417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r>
      <w:tr>
        <w:trPr>
          <w:trHeight w:val="479"/>
        </w:trPr>
        <w:tc>
          <w:tcPr>
            <w:tcW w:w="1300" w:type="dxa"/>
            <w:vAlign w:val="bottom"/>
          </w:tcPr>
          <w:p>
            <w:pPr>
              <w:spacing w:after="0"/>
              <w:rPr>
                <w:sz w:val="24"/>
                <w:szCs w:val="24"/>
                <w:color w:val="auto"/>
              </w:rPr>
            </w:pPr>
          </w:p>
        </w:tc>
        <w:tc>
          <w:tcPr>
            <w:tcW w:w="4860" w:type="dxa"/>
            <w:vAlign w:val="bottom"/>
          </w:tcPr>
          <w:p>
            <w:pPr>
              <w:ind w:left="4080"/>
              <w:spacing w:after="0"/>
              <w:rPr>
                <w:sz w:val="20"/>
                <w:szCs w:val="20"/>
                <w:color w:val="auto"/>
              </w:rPr>
            </w:pPr>
            <w:r>
              <w:rPr>
                <w:rFonts w:ascii="Arial" w:cs="Arial" w:eastAsia="Arial" w:hAnsi="Arial"/>
                <w:sz w:val="18"/>
                <w:szCs w:val="18"/>
                <w:color w:val="auto"/>
              </w:rPr>
              <w:t>F-6</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-7499985</wp:posOffset>
            </wp:positionV>
            <wp:extent cx="15430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-7499985</wp:posOffset>
            </wp:positionV>
            <wp:extent cx="15430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-7499985</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organization</w:t>
      </w:r>
    </w:p>
    <w:p>
      <w:pPr>
        <w:spacing w:after="0" w:line="14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WM Holding Company, LLC, a Delaware limited liability company, and its subsidiaries (the “Company”), is a technology and software infrastructure provider to retailers and brands in the U.S. state-legal and Canadian cannabis markets. The Company also provides information on the cannabis plant and the industry and advocates for legalization. The Weedmaps listings marketplace provides consumers with information regarding cannabis retailers and brands, as well as the strain, pricing, and other information regarding locally available cannabis products, through the Company’s website and mobile apps, permitting product discovery and reservation of products for pickup by consumers or delivery to consumers by participating retailers. The Company sells its offerings in the United States and Canada, and the Company has a limited number of non-monetized listings in several international countries including Austria, Germany, the Netherlands, Spain, and Switzerland. Through December 31, 2020, the Company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we imposed regardless of whether the proposed order was canceled or completed. As of January 1, 2021, the Company migrated all standard listing subscription clients to our new WM Business subscription package. Under this new subscription package, all retailers continue to receive access to a standard listing page and SaaS solutions. In addition, the Company began including access to WM Dashboard and eliminated the technology services fee on delivery orders as part of the transition to the new WM Business subscription package. The Company operates in the United States, Canada, and other foreign jurisdictions where medical and/or adult use cannabis is legal under state or applicable national law. The Company is headquartered in Irvine, California.</w:t>
      </w:r>
    </w:p>
    <w:p>
      <w:pPr>
        <w:spacing w:after="0" w:line="303" w:lineRule="exact"/>
        <w:rPr>
          <w:sz w:val="20"/>
          <w:szCs w:val="20"/>
          <w:color w:val="auto"/>
        </w:rPr>
      </w:pPr>
    </w:p>
    <w:p>
      <w:pPr>
        <w:ind w:left="640" w:hanging="348"/>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5"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accounting principles generally accepted in the United States of America (“GAAP”) in all material respects, and have been consistently applied in preparing the accompanying consolidated financial statements.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consolidated financial statements include the accounts of WM Holding Company, LLC and its subsidiaries, GMG Holdco, Inc., Weedmaps Media, LLC (“Weedmaps”), Ghost Management Group, LLC, WM Canada Holdings, Inc., WM Enterprise, LLC, WM Marketplace, LLC, Weedmaps Spain, S.L.U., WM Retail, LLC, Grow One Software (Canada), Inc., Discovery Opco, LLC, Weedmaps Germany GmbH, WM Teal, LLC, WM Museum, LLC, Weedmaps Artist Management, LLC, Ghost Gaming Holdings, LLC, WMBP Investment, LLC, and WMG Pharma GmbH. All significant intercompany balance and transactions have been eliminated upon consolidation.</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4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Effective April 30, 2018, the Company sold 100% of the equity interests in WMG Pharma GmbH to an entity owned by its founders for $13,490 and on May 31, 2018, the Company divested its equity interests in Ghost Gaming Holdings, LLC, Weedmaps Artist Management, LLC, and WMBP Investment, LLC (collectively, “Divested Entities”) to certain of its members. The fair value based on a valuation report for the Divested Entities was $1,495,000. No gain or loss was recorded due to the related party nature of the divestiture; instead the divestiture was recorded as a deemed distribution in member’s equity. The activities of the Divested Entities were included in the consolidated financial statements through the date of the divestiture.</w:t>
      </w:r>
    </w:p>
    <w:p>
      <w:pPr>
        <w:spacing w:after="0" w:line="69"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As a result of the Company’s decision to divest its interest in Divested Entities, the Company has reclassified and presented all related historical financial information as it relates to the Divested Entities as “discontinued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operations” in the accompanying consolidated statements of operations as of and for the year ended December 31, 2018. In addition, all related activities have been excluded from footnote disclosures unless specifically referenced. These reclassifications have no effect on previously reported net income.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2020, 2019 and 2018.</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Significant estimates made by management include, among others, the valuation of accounts receivable, the useful lives of long-lived assets, income taxes, website and internal-use software development costs, valuation of goodwill and other intangible assets, revenue recognition, stock-based compensation, and the recognition and disclosure of contingent liabilities.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to be cash equivalents. At December 31, 2020, 2019 and 2018, the Company did not have any cash equivalents.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Accounts receivable is recorded at the invoiced amount and does not bear interest. The allowance for doubtful accounts is the Company’s best estimate of the amount of probable credit losses in existing accounts receivable. The allowance for doubtful accounts is reviewed monthly and past due balances are reviewed individually for collectability. Account balances are written off against the allowance when it is determined that it is probable that the receivable will not be recovered. As of December 31, 2020, and 2019, the Company recorded an allowance for bad debt of $857,382 and $913,715, respectively.</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Property and equipment are stated at historical cost less accumulated depreciation. Depreciation is computed using the straight-line method over the estimated useful lives of the assets, which range from three to ten years. Leasehold improvements are amortized over the lesser of the related lease term or their estimated useful life. Expenditures for major renewals and betterments are capitalized, while minor replacements, maintenance and repairs, which do not extend the asset lives, are charged to operations as incurred. Costs related to website and internal-use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software are primarily related to the Company’s website. The Company capitalizes its costs to develop software when preliminary development efforts are successfully completed, management has authorized and committed project funding and it is probable that the project will be completed, and the software will be used as intended. Such costs are amortized on a straight-line basis over the estimated useful life of the related asset.</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Costs incurred prior to meeting these criteria, together with costs incurred for training and maintenance, are expensed as incurred. Costs incurred for enhancements that are expected to result in additional material functionality are capitalized and amortized over the estimated useful life of the upgrades. Upon sale or disposition, the cost and related accumulated depreciation and amortization are removed from the accounts, and any gain or loss is included in the Company’s results from operations.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w:t>
      </w:r>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Goodwill is the excess of the cost of an acquired entity over the net of the amounts assigned to assets acquired and liabilities assumed.</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For impairment purposes, the Company assesses qualitative factors to determine if it is necessary to perform the two-step quantitative goodwill impairment test. The Company assesses qualitative factors to determine if its sole reporting unit’s fair value is more likely than not to exceed its carrying value, including goodwill. In the event the Company determines that it is more likely than not that its reporting unit’s fair value is less than its carrying amount, quantitative testing is performed comparing recorded values to estimated fair values. Quantitative testing compares the fair value of the reporting unit to its book value, including goodwill. If the book value exceeds the fair value, then the Company would calculate the potential impairment loss by comparing the implied fair value of goodwill with the book value. If the implied fair value of goodwill is less than the book value, then an impairment charge would be recorded. For the years ended December 31, 2020 and 2019, there were no impairment of goodwill. The Company has elected not to amortize goodwill.</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4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Company’s intangible assets consist of trade and domain names, and software technology which are amortized using the straight-line method over 5 to 15 years.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44"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an asset may not be recoverable.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estimated fair value. For the years ended December 31, 2020 and 2019, there were no such impairments.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Company’s revenues are derived primarily from monthly subscriptions and additional offerings for access to the Company’s Weedmaps platform and our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6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2020, 2019 and 2018</w:t>
      </w:r>
    </w:p>
    <w:p>
      <w:pPr>
        <w:spacing w:after="0" w:line="207" w:lineRule="exact"/>
        <w:rPr>
          <w:sz w:val="20"/>
          <w:szCs w:val="20"/>
          <w:color w:val="auto"/>
        </w:rPr>
      </w:pPr>
    </w:p>
    <w:p>
      <w:pPr>
        <w:ind w:left="1640" w:hanging="348"/>
        <w:spacing w:after="0"/>
        <w:tabs>
          <w:tab w:leader="none" w:pos="1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1300" w:right="1300"/>
        <w:spacing w:after="0" w:line="296" w:lineRule="auto"/>
        <w:rPr>
          <w:sz w:val="20"/>
          <w:szCs w:val="20"/>
          <w:color w:val="auto"/>
        </w:rPr>
      </w:pPr>
      <w:r>
        <w:rPr>
          <w:rFonts w:ascii="Arial" w:cs="Arial" w:eastAsia="Arial" w:hAnsi="Arial"/>
          <w:sz w:val="16"/>
          <w:szCs w:val="16"/>
          <w:color w:val="auto"/>
        </w:rPr>
        <w:t>subscription period as the products are provided. The Company may also provide services to its customers, including access to the Company’s orders functionality, which are recognized at a point in time, typically when an order for delivery or pickup is submitted.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67" w:lineRule="exact"/>
        <w:rPr>
          <w:sz w:val="20"/>
          <w:szCs w:val="20"/>
          <w:color w:val="auto"/>
        </w:rPr>
      </w:pPr>
    </w:p>
    <w:p>
      <w:pPr>
        <w:jc w:val="both"/>
        <w:ind w:left="1300" w:right="1300" w:firstLine="360"/>
        <w:spacing w:after="0" w:line="272" w:lineRule="auto"/>
        <w:rPr>
          <w:sz w:val="20"/>
          <w:szCs w:val="20"/>
          <w:color w:val="auto"/>
        </w:rPr>
      </w:pPr>
      <w:r>
        <w:rPr>
          <w:rFonts w:ascii="Arial" w:cs="Arial" w:eastAsia="Arial" w:hAnsi="Arial"/>
          <w:sz w:val="17"/>
          <w:szCs w:val="17"/>
          <w:color w:val="auto"/>
        </w:rPr>
        <w:t>Deferred revenue primarily consists of billings or payments received in advance of revenue recognition from subscription offerings, as described above, and is recognized as the revenue recognition criteria are met. The prior year deferred revenue balance of $4.3 million was fully recognized in fiscal year 2020, and the current year deferred revenue balance of $5.3 million is expected to be recognized in 2021, which is expected to be within the next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6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following table summarizes the Company’s disaggregated net revenue information for the years ended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December 31, 2020, 2019 and 2018:</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0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11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040" w:type="dxa"/>
            <w:vAlign w:val="bottom"/>
          </w:tcPr>
          <w:p>
            <w:pPr>
              <w:jc w:val="right"/>
              <w:ind w:right="295"/>
              <w:spacing w:after="0"/>
              <w:rPr>
                <w:sz w:val="20"/>
                <w:szCs w:val="20"/>
                <w:color w:val="auto"/>
              </w:rPr>
            </w:pPr>
            <w:r>
              <w:rPr>
                <w:rFonts w:ascii="Arial" w:cs="Arial" w:eastAsia="Arial" w:hAnsi="Arial"/>
                <w:sz w:val="14"/>
                <w:szCs w:val="14"/>
                <w:b w:val="1"/>
                <w:bCs w:val="1"/>
                <w:color w:val="auto"/>
              </w:rPr>
              <w:t>2020</w:t>
            </w:r>
          </w:p>
        </w:tc>
      </w:tr>
      <w:tr>
        <w:trPr>
          <w:trHeight w:val="53"/>
        </w:trPr>
        <w:tc>
          <w:tcPr>
            <w:tcW w:w="404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331"/>
        </w:trPr>
        <w:tc>
          <w:tcPr>
            <w:tcW w:w="404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Revenues recognized over time</w:t>
            </w:r>
            <w:r>
              <w:rPr>
                <w:rFonts w:ascii="Arial" w:cs="Arial" w:eastAsia="Arial" w:hAnsi="Arial"/>
                <w:sz w:val="29"/>
                <w:szCs w:val="29"/>
                <w:color w:val="auto"/>
                <w:vertAlign w:val="superscript"/>
              </w:rPr>
              <w:t>(1)</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$101,402,007</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$143,489,929</w:t>
            </w:r>
          </w:p>
        </w:tc>
        <w:tc>
          <w:tcPr>
            <w:tcW w:w="120" w:type="dxa"/>
            <w:vAlign w:val="bottom"/>
            <w:shd w:val="clear" w:color="auto" w:fill="CCEEFF"/>
          </w:tcPr>
          <w:p>
            <w:pPr>
              <w:spacing w:after="0"/>
              <w:rPr>
                <w:sz w:val="24"/>
                <w:szCs w:val="2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$155,362,875</w:t>
            </w:r>
          </w:p>
        </w:tc>
      </w:tr>
      <w:tr>
        <w:trPr>
          <w:trHeight w:val="270"/>
        </w:trPr>
        <w:tc>
          <w:tcPr>
            <w:tcW w:w="4040" w:type="dxa"/>
            <w:vAlign w:val="bottom"/>
          </w:tcPr>
          <w:p>
            <w:pPr>
              <w:spacing w:after="0" w:line="270" w:lineRule="exact"/>
              <w:rPr>
                <w:sz w:val="20"/>
                <w:szCs w:val="20"/>
                <w:color w:val="auto"/>
              </w:rPr>
            </w:pPr>
            <w:r>
              <w:rPr>
                <w:rFonts w:ascii="Arial" w:cs="Arial" w:eastAsia="Arial" w:hAnsi="Arial"/>
                <w:sz w:val="18"/>
                <w:szCs w:val="18"/>
                <w:color w:val="auto"/>
              </w:rPr>
              <w:t>Revenues recognized at a point in time</w:t>
            </w:r>
            <w:r>
              <w:rPr>
                <w:rFonts w:ascii="Arial" w:cs="Arial" w:eastAsia="Arial" w:hAnsi="Arial"/>
                <w:sz w:val="29"/>
                <w:szCs w:val="29"/>
                <w:color w:val="auto"/>
                <w:vertAlign w:val="superscript"/>
              </w:rPr>
              <w:t>(2)</w:t>
            </w:r>
          </w:p>
        </w:tc>
        <w:tc>
          <w:tcPr>
            <w:tcW w:w="10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741,550</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6,427,887</w:t>
            </w:r>
          </w:p>
        </w:tc>
      </w:tr>
      <w:tr>
        <w:trPr>
          <w:trHeight w:val="48"/>
        </w:trPr>
        <w:tc>
          <w:tcPr>
            <w:tcW w:w="4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r>
      <w:tr>
        <w:trPr>
          <w:trHeight w:val="29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101,402,007</w:t>
            </w:r>
          </w:p>
        </w:tc>
        <w:tc>
          <w:tcPr>
            <w:tcW w:w="140" w:type="dxa"/>
            <w:vAlign w:val="bottom"/>
            <w:shd w:val="clear" w:color="auto" w:fill="CCEEFF"/>
          </w:tcPr>
          <w:p>
            <w:pPr>
              <w:spacing w:after="0"/>
              <w:rPr>
                <w:sz w:val="24"/>
                <w:szCs w:val="24"/>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144,231,479</w:t>
            </w:r>
          </w:p>
        </w:tc>
        <w:tc>
          <w:tcPr>
            <w:tcW w:w="120" w:type="dxa"/>
            <w:vAlign w:val="bottom"/>
            <w:shd w:val="clear" w:color="auto" w:fill="CCEEFF"/>
          </w:tcPr>
          <w:p>
            <w:pPr>
              <w:spacing w:after="0"/>
              <w:rPr>
                <w:sz w:val="24"/>
                <w:szCs w:val="2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161,790,762</w:t>
            </w:r>
          </w:p>
        </w:tc>
      </w:tr>
      <w:tr>
        <w:trPr>
          <w:trHeight w:val="27"/>
        </w:trPr>
        <w:tc>
          <w:tcPr>
            <w:tcW w:w="40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auto"/>
              <w:right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-650875</wp:posOffset>
            </wp:positionV>
            <wp:extent cx="857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-650875</wp:posOffset>
            </wp:positionV>
            <wp:extent cx="857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-650875</wp:posOffset>
            </wp:positionV>
            <wp:extent cx="431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 w:lineRule="exact"/>
        <w:rPr>
          <w:sz w:val="20"/>
          <w:szCs w:val="20"/>
          <w:color w:val="auto"/>
        </w:rPr>
      </w:pPr>
    </w:p>
    <w:p>
      <w:pPr>
        <w:ind w:left="1640" w:hanging="348"/>
        <w:spacing w:after="0"/>
        <w:tabs>
          <w:tab w:leader="none" w:pos="16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spacing w:after="0" w:line="41" w:lineRule="exact"/>
        <w:rPr>
          <w:rFonts w:ascii="Arial" w:cs="Arial" w:eastAsia="Arial" w:hAnsi="Arial"/>
          <w:sz w:val="14"/>
          <w:szCs w:val="14"/>
          <w:color w:val="auto"/>
        </w:rPr>
      </w:pPr>
    </w:p>
    <w:p>
      <w:pPr>
        <w:ind w:left="1640" w:hanging="348"/>
        <w:spacing w:after="0"/>
        <w:tabs>
          <w:tab w:leader="none" w:pos="16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100" w:lineRule="exact"/>
        <w:rPr>
          <w:sz w:val="20"/>
          <w:szCs w:val="20"/>
          <w:color w:val="auto"/>
        </w:rPr>
      </w:pPr>
    </w:p>
    <w:p>
      <w:pPr>
        <w:jc w:val="both"/>
        <w:ind w:left="1300" w:right="1300" w:firstLine="360"/>
        <w:spacing w:after="0" w:line="277" w:lineRule="auto"/>
        <w:rPr>
          <w:sz w:val="20"/>
          <w:szCs w:val="20"/>
          <w:color w:val="auto"/>
        </w:rPr>
      </w:pPr>
      <w:r>
        <w:rPr>
          <w:rFonts w:ascii="Arial" w:cs="Arial" w:eastAsia="Arial" w:hAnsi="Arial"/>
          <w:sz w:val="18"/>
          <w:szCs w:val="18"/>
          <w:color w:val="auto"/>
        </w:rPr>
        <w:t>The following table summarizes the Company’s U.S. and foreign revenues for the years ended December 31, 2020, 2019 and 2018:</w:t>
      </w:r>
    </w:p>
    <w:p>
      <w:pPr>
        <w:spacing w:after="0" w:line="135"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r>
      <w:tr>
        <w:trPr>
          <w:trHeight w:val="53"/>
        </w:trPr>
        <w:tc>
          <w:tcPr>
            <w:tcW w:w="444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11"/>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revenues</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$100,670,847</w:t>
            </w:r>
          </w:p>
        </w:tc>
        <w:tc>
          <w:tcPr>
            <w:tcW w:w="1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$132,076,823</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$130,373,022</w:t>
            </w:r>
          </w:p>
        </w:tc>
      </w:tr>
      <w:tr>
        <w:trPr>
          <w:trHeight w:val="256"/>
        </w:trPr>
        <w:tc>
          <w:tcPr>
            <w:tcW w:w="4440" w:type="dxa"/>
            <w:vAlign w:val="bottom"/>
          </w:tcPr>
          <w:p>
            <w:pPr>
              <w:spacing w:after="0"/>
              <w:rPr>
                <w:sz w:val="20"/>
                <w:szCs w:val="20"/>
                <w:color w:val="auto"/>
              </w:rPr>
            </w:pPr>
            <w:r>
              <w:rPr>
                <w:rFonts w:ascii="Arial" w:cs="Arial" w:eastAsia="Arial" w:hAnsi="Arial"/>
                <w:sz w:val="18"/>
                <w:szCs w:val="18"/>
                <w:color w:val="auto"/>
              </w:rPr>
              <w:t>Foreign revenues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731,160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12,154,656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31,417,740</w:t>
            </w:r>
          </w:p>
        </w:tc>
        <w:tc>
          <w:tcPr>
            <w:tcW w:w="40" w:type="dxa"/>
            <w:vAlign w:val="bottom"/>
          </w:tcPr>
          <w:p>
            <w:pPr>
              <w:spacing w:after="0"/>
              <w:rPr>
                <w:sz w:val="22"/>
                <w:szCs w:val="22"/>
                <w:color w:val="auto"/>
              </w:rPr>
            </w:pPr>
          </w:p>
        </w:tc>
      </w:tr>
      <w:tr>
        <w:trPr>
          <w:trHeight w:val="61"/>
        </w:trPr>
        <w:tc>
          <w:tcPr>
            <w:tcW w:w="4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318"/>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101,402,007</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144,231,479</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161,790,762</w:t>
            </w:r>
          </w:p>
        </w:tc>
      </w:tr>
      <w:tr>
        <w:trPr>
          <w:trHeight w:val="351"/>
        </w:trPr>
        <w:tc>
          <w:tcPr>
            <w:tcW w:w="444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All foreign revenues were generated in Canada.</w:t>
            </w:r>
          </w:p>
        </w:tc>
        <w:tc>
          <w:tcPr>
            <w:tcW w:w="66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-873760</wp:posOffset>
            </wp:positionV>
            <wp:extent cx="857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-873760</wp:posOffset>
            </wp:positionV>
            <wp:extent cx="857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-873760</wp:posOffset>
            </wp:positionV>
            <wp:extent cx="431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7"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300" w:right="1300" w:firstLine="360"/>
        <w:spacing w:after="0" w:line="254" w:lineRule="auto"/>
        <w:rPr>
          <w:sz w:val="20"/>
          <w:szCs w:val="20"/>
          <w:color w:val="auto"/>
        </w:rPr>
      </w:pPr>
      <w:r>
        <w:rPr>
          <w:rFonts w:ascii="Arial" w:cs="Arial" w:eastAsia="Arial" w:hAnsi="Arial"/>
          <w:sz w:val="18"/>
          <w:szCs w:val="18"/>
          <w:color w:val="auto"/>
        </w:rPr>
        <w:t>Other than for the Company’s foreign subsidiaries that are subject to their jurisdictions’ income tax laws, the remaining subsidiaries, as well as the holding entity, are not subject to income tax, with the members of the Company including their respective share of the Company’s profits and losses in their individual income tax returns. For the year ended December 31, 2019, the Company recorded a provision for income taxes of approximately $1.3 million, related to estimated taxable income from operations of WM Canada Holdings, Inc., in the accompanying statement of operations. No provision for income taxes was recorded for the year ended December 31, 2020 and 2018.</w:t>
      </w:r>
    </w:p>
    <w:p>
      <w:pPr>
        <w:spacing w:after="0" w:line="87" w:lineRule="exact"/>
        <w:rPr>
          <w:sz w:val="20"/>
          <w:szCs w:val="20"/>
          <w:color w:val="auto"/>
        </w:rPr>
      </w:pPr>
    </w:p>
    <w:p>
      <w:pPr>
        <w:jc w:val="both"/>
        <w:ind w:left="1300" w:right="1300" w:firstLine="360"/>
        <w:spacing w:after="0" w:line="277" w:lineRule="auto"/>
        <w:rPr>
          <w:sz w:val="20"/>
          <w:szCs w:val="20"/>
          <w:color w:val="auto"/>
        </w:rPr>
      </w:pPr>
      <w:r>
        <w:rPr>
          <w:rFonts w:ascii="Arial" w:cs="Arial" w:eastAsia="Arial" w:hAnsi="Arial"/>
          <w:sz w:val="18"/>
          <w:szCs w:val="18"/>
          <w:color w:val="auto"/>
        </w:rPr>
        <w:t>The components of income (loss) before income taxes for the years ended December 31, 2020, 2019 and 2018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$12,010,276</w:t>
            </w:r>
          </w:p>
        </w:tc>
        <w:tc>
          <w:tcPr>
            <w:tcW w:w="11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w w:val="90"/>
              </w:rPr>
              <w:t>$(4,152,308)</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$38,877,652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Foreign</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669,235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5,097,668</w:t>
            </w:r>
          </w:p>
        </w:tc>
        <w:tc>
          <w:tcPr>
            <w:tcW w:w="18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(47,659)</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income (loss) before provision for income taxes</w:t>
            </w:r>
          </w:p>
        </w:tc>
        <w:tc>
          <w:tcPr>
            <w:tcW w:w="13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12,679,511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945,360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38,829,993</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88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F-10</w:t>
            </w: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-1053465</wp:posOffset>
            </wp:positionV>
            <wp:extent cx="1200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-1053465</wp:posOffset>
            </wp:positionV>
            <wp:extent cx="1200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-1053465</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While electing Limited Liability Company status, the Company does not believe it has any uncertain income tax positions that are more likely that not to materially affect its consolidated financial statements. The Company’s federal and state income tax returns remain open to agency examination for the standard statutory length of time after filing.</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December 31, 2020 and 2019, the Company did not have any assets or liabilities measured at fair value on a recurring or nonrecurring basis.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Company’s cost of revenue primarily consists of web hosting, internet service costs, and credit card processing costs.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expenses the cost of all advertising in the period incurred. Advertising expense totaled $10.6 million, $20.6 million, and $6.6 million, for the years ended December 31, 2020, 2019 and 2018, respectively, and are included in sales and marketing expense in the accompanying consolidated statements of operations.</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company records interest expense, financing fees, political contributions, legal settlements, gain (loss) on currency exchange, and other tax related expenses in other expenses in the accompanying statement of operations. Total political contributions for the year ended December 31, 2020, 2019 and 2018 was $773,370, $915,250, and $795,275, respectively. The Company expenses the cost of all political contributions in the period incurred. Financing fees totaled $807,474, $3,540,636, and $286,228 for the years ended December 31, 2020, 2019 and 2018, respectively. The large increase in financing fees in 2019 related to legal and other consulting fees the Company incurred while working on multiple financing projects. The Company also incurred $610,539 in sales tax paid by one of the Company’s Canadian subsidiaries in 2019 due to certain sales taxes not collected from customers in the foreign jurisdiction and ultimately paid by the Company. No such cost was incurred in 2020 and 2018. The Company also recorded a gain (loss) from currency exchange of ($729,505), ($34,705) and $7,455 for fiscal years ended December 31, 2020, 2019 and 2018 related to revenue generated in Canada.</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measures all employee stock-based compensation awards on the date of grant using the Black-Scholes-Merton valuation model and allocates the related expense over the requisite service period. When awards include a performance condition that impacts the vesting for exercisability of the award, the Company records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Earnings Per Unit</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Earnings per unit amounts are computed independently for earnings per unit from continuing operations, loss per unit from discontinued operations and net earnings per unit. As a result, the sum of per unit amounts from continuing operations and discontinued operations may not equal the total per unit amounts for net earnings.</w:t>
      </w:r>
    </w:p>
    <w:p>
      <w:pPr>
        <w:spacing w:after="0" w:line="4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All Class A Units, including Class A-1, Class A-2, and Class A-3 Units, have been included in the calculations for earnings per unit as of December 31, 2020, 2019 and 2018 primarily due to their voting and distribution rights. Since Class B Units had no voting, distribution, or dividend rights and were subject to exercise limitations, such units have been excluded from the calculations for earnings per unit as of December 31, 2020, 2019 and 2018. No other dilutive instruments were outstanding as of December 31, 2020, 2019, and 2018. See Note 8 for further discussion.</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new guidance is effective for private companies for annual periods beginning after December 15, 2020, with early adoption permitted. A modified retrospective transition approach is required for lessees for capital and operating leases existing at, or entered into after, the beginning of the earliest comparative period presented in the consolidated financial statements, with certain practical expedients available. The Company has multiple long-term operating leases and is currently in the process of evaluating the impact of the new accounting guidance on its consolidated balance sheets, consolidated statement of income and cash flows.</w:t>
      </w:r>
    </w:p>
    <w:p>
      <w:pPr>
        <w:spacing w:after="0" w:line="7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GAAP when it becomes effective and permits the use of either a full retrospective or retrospective with cumulative effect transition method. The Company used the modified retrospective method of adoption, which would require the cumulative effect of initially applying the new revenue standard as an adjustment to the opening balance of retained earnings on January 1, 2019. Comparative prior year periods would not be adjusted. The new accounting standard was applied to all contracts at the date of initial application. There was no cumulative effect of applying the new revenue standard to contracts executed in prior periods. As such, the adoption of the new accounting standard had no impact on the balance sheet and statement of operations in the current or prior periods.</w:t>
      </w:r>
    </w:p>
    <w:p>
      <w:pPr>
        <w:spacing w:after="0" w:line="6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ASU simplifies the measurement of goodwill impairment by eliminating the requirement that an entity compute the implied fair value of goodwill based on the fair values of its assets and liabilities to measure impairment. Instead, goodwill impairment will be measured as the difference between the fair value of the reporting unit and the carrying value of the reporting unit. The ASU also clarifies the treatment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income tax effect of tax deductible goodwill when measuring goodwill impairment loss. The guidance is effective for reporting periods beginning after December 15, 2021. The Company is currently evaluating the impact of the adoption of this guidance on its consolidated financial statements.</w:t>
      </w:r>
    </w:p>
    <w:p>
      <w:pPr>
        <w:spacing w:after="0" w:line="180" w:lineRule="exact"/>
        <w:rPr>
          <w:sz w:val="20"/>
          <w:szCs w:val="20"/>
          <w:color w:val="auto"/>
        </w:rPr>
      </w:pPr>
    </w:p>
    <w:p>
      <w:pPr>
        <w:ind w:left="640" w:hanging="348"/>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3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 as of December 31, 2020 and 2019:</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53"/>
        </w:trPr>
        <w:tc>
          <w:tcPr>
            <w:tcW w:w="62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$ 6,585,289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7,117,299</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Capitalized software</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5,122,650</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5,122,650</w:t>
            </w:r>
          </w:p>
        </w:tc>
      </w:tr>
      <w:tr>
        <w:trPr>
          <w:trHeight w:val="54"/>
        </w:trPr>
        <w:tc>
          <w:tcPr>
            <w:tcW w:w="6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1,213,132</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1,285,880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1,892,172</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2,598,566</w:t>
            </w:r>
          </w:p>
        </w:tc>
      </w:tr>
      <w:tr>
        <w:trPr>
          <w:trHeight w:val="48"/>
        </w:trPr>
        <w:tc>
          <w:tcPr>
            <w:tcW w:w="62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7"/>
        </w:trPr>
        <w:tc>
          <w:tcPr>
            <w:tcW w:w="6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14,813,243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16,124,395</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(5,657,718)</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(8,736,975)</w:t>
            </w:r>
          </w:p>
        </w:tc>
      </w:tr>
      <w:tr>
        <w:trPr>
          <w:trHeight w:val="48"/>
        </w:trPr>
        <w:tc>
          <w:tcPr>
            <w:tcW w:w="62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6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$ 9,155,525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7,387,420</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-1490980</wp:posOffset>
            </wp:positionV>
            <wp:extent cx="17145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-1490980</wp:posOffset>
            </wp:positionV>
            <wp:extent cx="857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Depreciation and amortization expense for the years ended December 31, 2020, 2019 and 2018 amounted to $3,079,257, $1,776,983, and $1,266,508, respectively.</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December 31, 2020 and 2019, the Company held $78,921, and $174,361 of property and equipment, net at its foreign locations, respectively.</w:t>
      </w:r>
    </w:p>
    <w:p>
      <w:pPr>
        <w:spacing w:after="0" w:line="166" w:lineRule="exact"/>
        <w:rPr>
          <w:sz w:val="20"/>
          <w:szCs w:val="20"/>
          <w:color w:val="auto"/>
        </w:rPr>
      </w:pPr>
    </w:p>
    <w:p>
      <w:pPr>
        <w:ind w:left="640" w:hanging="348"/>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 the following as of December 31, 2020 and 2019:</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62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880" w:type="dxa"/>
            <w:vAlign w:val="bottom"/>
            <w:tcBorders>
              <w:bottom w:val="single" w:sz="8" w:color="CCEEFF"/>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$ 7,255,381</w:t>
            </w:r>
          </w:p>
        </w:tc>
        <w:tc>
          <w:tcPr>
            <w:tcW w:w="48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4"/>
              </w:rPr>
              <w:t>$ 7,255,381</w:t>
            </w:r>
          </w:p>
        </w:tc>
      </w:tr>
      <w:tr>
        <w:trPr>
          <w:trHeight w:val="256"/>
        </w:trPr>
        <w:tc>
          <w:tcPr>
            <w:tcW w:w="6260" w:type="dxa"/>
            <w:vAlign w:val="bottom"/>
          </w:tcPr>
          <w:p>
            <w:pPr>
              <w:spacing w:after="0"/>
              <w:rPr>
                <w:sz w:val="20"/>
                <w:szCs w:val="20"/>
                <w:color w:val="auto"/>
              </w:rPr>
            </w:pPr>
            <w:r>
              <w:rPr>
                <w:rFonts w:ascii="Arial" w:cs="Arial" w:eastAsia="Arial" w:hAnsi="Arial"/>
                <w:sz w:val="18"/>
                <w:szCs w:val="18"/>
                <w:color w:val="auto"/>
              </w:rPr>
              <w:t>Software technology</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3,468,534</w:t>
            </w:r>
          </w:p>
        </w:tc>
        <w:tc>
          <w:tcPr>
            <w:tcW w:w="4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3,468,534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6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7"/>
        </w:trPr>
        <w:tc>
          <w:tcPr>
            <w:tcW w:w="6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10,723,915</w:t>
            </w:r>
          </w:p>
        </w:tc>
        <w:tc>
          <w:tcPr>
            <w:tcW w:w="48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4"/>
              </w:rPr>
              <w:t>10,723,915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(5,320,959)</w:t>
            </w:r>
          </w:p>
        </w:tc>
        <w:tc>
          <w:tcPr>
            <w:tcW w:w="480" w:type="dxa"/>
            <w:vAlign w:val="bottom"/>
          </w:tcPr>
          <w:p>
            <w:pPr>
              <w:spacing w:after="0"/>
              <w:rPr>
                <w:sz w:val="22"/>
                <w:szCs w:val="22"/>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8"/>
                <w:szCs w:val="18"/>
                <w:color w:val="auto"/>
                <w:w w:val="84"/>
              </w:rPr>
              <w:t>(6,219,507)</w:t>
            </w:r>
          </w:p>
        </w:tc>
      </w:tr>
      <w:tr>
        <w:trPr>
          <w:trHeight w:val="61"/>
        </w:trPr>
        <w:tc>
          <w:tcPr>
            <w:tcW w:w="62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91"/>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88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$ 5,402,956</w:t>
            </w:r>
          </w:p>
        </w:tc>
        <w:tc>
          <w:tcPr>
            <w:tcW w:w="480" w:type="dxa"/>
            <w:vAlign w:val="bottom"/>
            <w:tcBorders>
              <w:right w:val="single" w:sz="8" w:color="CCEEFF"/>
            </w:tcBorders>
            <w:shd w:val="clear" w:color="auto" w:fill="CCEEFF"/>
          </w:tcPr>
          <w:p>
            <w:pPr>
              <w:spacing w:after="0"/>
              <w:rPr>
                <w:sz w:val="24"/>
                <w:szCs w:val="24"/>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$ 4,504,408</w:t>
            </w:r>
          </w:p>
        </w:tc>
      </w:tr>
      <w:tr>
        <w:trPr>
          <w:trHeight w:val="27"/>
        </w:trPr>
        <w:tc>
          <w:tcPr>
            <w:tcW w:w="6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right w:val="single" w:sz="8" w:color="auto"/>
            </w:tcBorders>
            <w:shd w:val="clear" w:color="auto" w:fill="000000"/>
          </w:tcPr>
          <w:p>
            <w:pPr>
              <w:spacing w:after="0"/>
              <w:rPr>
                <w:sz w:val="2"/>
                <w:szCs w:val="2"/>
                <w:color w:val="auto"/>
              </w:rPr>
            </w:pPr>
          </w:p>
        </w:tc>
        <w:tc>
          <w:tcPr>
            <w:tcW w:w="480" w:type="dxa"/>
            <w:vAlign w:val="bottom"/>
            <w:tcBorders>
              <w:top w:val="single" w:sz="8" w:color="CCEEFF"/>
              <w:right w:val="single" w:sz="8" w:color="auto"/>
            </w:tcBorders>
            <w:shd w:val="clear" w:color="auto" w:fill="CCEEFF"/>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-1079500</wp:posOffset>
            </wp:positionV>
            <wp:extent cx="26543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-1079500</wp:posOffset>
            </wp:positionV>
            <wp:extent cx="1371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Amortization expense for the years ended December 31, 2020, 2019 and 2018 amounted to $898,548, $3,385,613, and $882,120, respectively. Included in amortization in 2019, is accelerated amortization of $2,479,029 related to intangible assets that the Company initially determined had a useful life of three years. All these intangible assets related to a marketing project that the Company determined will not continue past the end of the fiscal year 2019 and therefore all amortization related to these assets were accelerated and all cost and accumulated amortization written off.</w:t>
      </w:r>
    </w:p>
    <w:p>
      <w:pPr>
        <w:spacing w:after="0" w:line="188" w:lineRule="exact"/>
        <w:rPr>
          <w:sz w:val="20"/>
          <w:szCs w:val="20"/>
          <w:color w:val="auto"/>
        </w:rPr>
      </w:pPr>
    </w:p>
    <w:p>
      <w:pPr>
        <w:ind w:left="640" w:hanging="348"/>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As a result of the Company’s decision to divest its interest in Divested Entities, the results of operations relating to the Divested Entities have been reclassified to discontinued operations in the consolidated statements of operations for all periods presented.</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Revenue and net loss related to discontinued operations for the years ended December 31, 2020, 2019 and 2018 are as follows: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52"/>
        </w:trPr>
        <w:tc>
          <w:tcPr>
            <w:tcW w:w="59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0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85,907</w:t>
            </w: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r>
      <w:tr>
        <w:trPr>
          <w:trHeight w:val="48"/>
        </w:trPr>
        <w:tc>
          <w:tcPr>
            <w:tcW w:w="59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97"/>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(1,674,738)</w:t>
            </w:r>
          </w:p>
        </w:tc>
        <w:tc>
          <w:tcPr>
            <w:tcW w:w="3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-471170</wp:posOffset>
            </wp:positionV>
            <wp:extent cx="24003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-471170</wp:posOffset>
            </wp:positionV>
            <wp:extent cx="24003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-471170</wp:posOffset>
            </wp:positionV>
            <wp:extent cx="12001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2" w:name="page153"/>
    <w:bookmarkEnd w:id="15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flow from discontinued operations for the year ended December 31, 2020, 2019 and 2018 are as follows:</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1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2019</w:t>
            </w:r>
          </w:p>
        </w:tc>
        <w:tc>
          <w:tcPr>
            <w:tcW w:w="4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76"/>
              </w:rPr>
              <w:t>2020</w:t>
            </w:r>
          </w:p>
        </w:tc>
      </w:tr>
      <w:tr>
        <w:trPr>
          <w:trHeight w:val="53"/>
        </w:trPr>
        <w:tc>
          <w:tcPr>
            <w:tcW w:w="482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04"/>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(1,670,873)</w:t>
            </w:r>
          </w:p>
        </w:tc>
        <w:tc>
          <w:tcPr>
            <w:tcW w:w="440" w:type="dxa"/>
            <w:vAlign w:val="bottom"/>
            <w:tcBorders>
              <w:right w:val="single" w:sz="8" w:color="CCEEFF"/>
            </w:tcBorders>
            <w:shd w:val="clear" w:color="auto" w:fill="CCEEFF"/>
          </w:tcPr>
          <w:p>
            <w:pPr>
              <w:spacing w:after="0"/>
              <w:rPr>
                <w:sz w:val="24"/>
                <w:szCs w:val="24"/>
                <w:color w:val="auto"/>
              </w:rPr>
            </w:pPr>
          </w:p>
        </w:tc>
        <w:tc>
          <w:tcPr>
            <w:tcW w:w="7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5"/>
              </w:rPr>
              <w:t>$—</w:t>
            </w:r>
          </w:p>
        </w:tc>
      </w:tr>
      <w:tr>
        <w:trPr>
          <w:trHeight w:val="34"/>
        </w:trPr>
        <w:tc>
          <w:tcPr>
            <w:tcW w:w="48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auto"/>
              <w:right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auto"/>
              <w:right w:val="single" w:sz="8" w:color="CCEEFF"/>
            </w:tcBorders>
            <w:shd w:val="clear" w:color="auto" w:fill="CCEEFF"/>
          </w:tcPr>
          <w:p>
            <w:pPr>
              <w:spacing w:after="0"/>
              <w:rPr>
                <w:sz w:val="2"/>
                <w:szCs w:val="2"/>
                <w:color w:val="auto"/>
              </w:rPr>
            </w:pPr>
          </w:p>
        </w:tc>
      </w:tr>
      <w:tr>
        <w:trPr>
          <w:trHeight w:val="283"/>
        </w:trPr>
        <w:tc>
          <w:tcPr>
            <w:tcW w:w="48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355,536</w:t>
            </w:r>
          </w:p>
        </w:tc>
        <w:tc>
          <w:tcPr>
            <w:tcW w:w="44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w w:val="99"/>
              </w:rPr>
              <w:t>—</w:t>
            </w:r>
          </w:p>
        </w:tc>
      </w:tr>
      <w:tr>
        <w:trPr>
          <w:trHeight w:val="20"/>
        </w:trPr>
        <w:tc>
          <w:tcPr>
            <w:tcW w:w="4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r>
        <w:trPr>
          <w:trHeight w:val="34"/>
        </w:trPr>
        <w:tc>
          <w:tcPr>
            <w:tcW w:w="4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304"/>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$ 1,268,121</w:t>
            </w:r>
          </w:p>
        </w:tc>
        <w:tc>
          <w:tcPr>
            <w:tcW w:w="440" w:type="dxa"/>
            <w:vAlign w:val="bottom"/>
            <w:tcBorders>
              <w:right w:val="single" w:sz="8" w:color="CCEEFF"/>
            </w:tcBorders>
            <w:shd w:val="clear" w:color="auto" w:fill="CCEEFF"/>
          </w:tcPr>
          <w:p>
            <w:pPr>
              <w:spacing w:after="0"/>
              <w:rPr>
                <w:sz w:val="24"/>
                <w:szCs w:val="24"/>
                <w:color w:val="auto"/>
              </w:rPr>
            </w:pPr>
          </w:p>
        </w:tc>
        <w:tc>
          <w:tcPr>
            <w:tcW w:w="7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5"/>
              </w:rPr>
              <w:t>$—</w:t>
            </w:r>
          </w:p>
        </w:tc>
      </w:tr>
      <w:tr>
        <w:trPr>
          <w:trHeight w:val="27"/>
        </w:trPr>
        <w:tc>
          <w:tcPr>
            <w:tcW w:w="48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auto"/>
              <w:right w:val="single" w:sz="8" w:color="CCEEFF"/>
            </w:tcBorders>
            <w:shd w:val="clear" w:color="auto" w:fill="000000"/>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auto"/>
              <w:right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-702310</wp:posOffset>
            </wp:positionV>
            <wp:extent cx="7372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-702310</wp:posOffset>
            </wp:positionV>
            <wp:extent cx="1371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640" w:hanging="348"/>
        <w:spacing w:after="0"/>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members</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Company assumed four notes payable to the two majority members in connection with the purchase of Weedmaps in 2012. Of the four notes assumed with the purchase, three notes were paid off in full in prior periods. As of December 31, 2020 and 2019, the principal balance of the remaining note totaled $205,324, which bears no interest, and is due in June 2021.</w:t>
      </w:r>
    </w:p>
    <w:p>
      <w:pPr>
        <w:spacing w:after="0" w:line="291" w:lineRule="exact"/>
        <w:rPr>
          <w:sz w:val="20"/>
          <w:szCs w:val="20"/>
          <w:color w:val="auto"/>
        </w:rPr>
      </w:pPr>
    </w:p>
    <w:p>
      <w:pPr>
        <w:ind w:left="640" w:hanging="348"/>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has authorized the following number of Units which have been designated as follows:</w:t>
      </w:r>
    </w:p>
    <w:p>
      <w:pPr>
        <w:spacing w:after="0" w:line="117" w:lineRule="exact"/>
        <w:rPr>
          <w:rFonts w:ascii="Arial" w:cs="Arial" w:eastAsia="Arial" w:hAnsi="Arial"/>
          <w:sz w:val="18"/>
          <w:szCs w:val="18"/>
          <w:b w:val="1"/>
          <w:bCs w:val="1"/>
          <w:color w:val="auto"/>
        </w:rPr>
      </w:pPr>
    </w:p>
    <w:p>
      <w:pPr>
        <w:ind w:left="1000" w:hanging="348"/>
        <w:spacing w:after="0"/>
        <w:tabs>
          <w:tab w:leader="none" w:pos="100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Class A-1 Units - 821,769 authorized, issued and outstanding at December 31, 2020, 2019 and 2018;</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Class A-2 Units - 34,264 authorized; 24,058 Class A-2 Units issued and outstanding as of December 31, 2020, 2019, and 2018;</w:t>
      </w:r>
    </w:p>
    <w:p>
      <w:pPr>
        <w:spacing w:after="0" w:line="62" w:lineRule="exact"/>
        <w:rPr>
          <w:rFonts w:ascii="Arial" w:cs="Arial" w:eastAsia="Arial" w:hAnsi="Arial"/>
          <w:sz w:val="18"/>
          <w:szCs w:val="18"/>
          <w:color w:val="auto"/>
        </w:rPr>
      </w:pPr>
    </w:p>
    <w:p>
      <w:pPr>
        <w:jc w:val="both"/>
        <w:ind w:left="1000" w:right="299" w:hanging="348"/>
        <w:spacing w:after="0" w:line="255" w:lineRule="auto"/>
        <w:tabs>
          <w:tab w:leader="none" w:pos="10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Class A-3 Units / Class B Units - Class B Units or Class A-3 Units can be issued interchangeably, as determined by the Company’s Board of Managers. 274,822 Units authorized; 53,333 Class A-3 Units and 221,483 Class B Units issued and outstanding as of December 31, 2020. 274,667 Units authorized; 53,333 Class A-3 Units and 210,744 Class B Units issued and outstanding as of December 31, 2019. 274,667 Units authorized; 53,333 Class A-3 Units and 192,038 Class B Units issued and outstanding as of December 31, 2018.</w:t>
      </w:r>
    </w:p>
    <w:p>
      <w:pPr>
        <w:spacing w:after="0" w:line="84"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As of December 31, 2018, 821,769 Class A-1 Units were authorized, issued and outstanding. On August 15, 2018, the Company’s operating agreement was amended to authorize the subclasses of Class A Units above, and the existing Class A Units prior to such date were designated as Class A-1 Units.</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2014, the Company adopted the 2014 WM Holding Company Equity Incentive Plan (the “Original Equity Plan”) to allow for the issuance of Class B Units to employees, consultants, and other service providers. The Original Equity Plan was amended and restated in October 2015 and May 2018 to, among other things, increase the number of Units available for issuance under the Original Equity Plan, as amended. On August 15, 2018, the Company entered into the Third Amended and Restated Equity Incentive Plan, which allows the Company to grant profits interest in the form of both Class B Units and Class A-3 Units and further increases the Units available for issuance under the Original Equity Plan, as amended. The Third Amended and Restated Equity Incentive Plan was further revised in 2020 to increase the number of Units available for issuance.</w:t>
      </w:r>
    </w:p>
    <w:p>
      <w:pPr>
        <w:spacing w:after="0" w:line="7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Class A Units are voting and all profits, losses and distributions are allocated in accordance with the terms set forth in the operating agreement of WM Holding Company, LLC.</w:t>
      </w:r>
    </w:p>
    <w:p>
      <w:pPr>
        <w:spacing w:after="0" w:line="62"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On various dates throughout 2018, starting on August 15, 2018, the Company issued and sold 24,058 newly designated Class A-2 Units to a group of third-party investors for a total consideration of $17.6 million.</w:t>
      </w:r>
    </w:p>
    <w:p>
      <w:pPr>
        <w:spacing w:after="0" w:line="3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Class B Units are nonvoting, do not receive an income allocation or distributions, but will share in the sale proceeds in the event of a change of control transaction or be converted to common stock in the event of an initial public offering (a “Triggering Event”). Once vested, the Class A-3 and Class B Units do not expire and holders are not required to be employed by the Company at the time of a Triggering Event to share in the proceeds of a transaction.</w:t>
      </w:r>
    </w:p>
    <w:p>
      <w:pPr>
        <w:spacing w:after="0" w:line="80"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Such Class A-3 and Class B Units are treated as profits interests under the Internal Revenue Code and are therefore subject to distribution hurdles before they participate in distributions from Triggering Events.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(continued)</w:t>
      </w:r>
    </w:p>
    <w:p>
      <w:pPr>
        <w:spacing w:after="0" w:line="148"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presents issuances of Class A-3 and Class B Units during the years ended December 31, 2020, 2019 and 2018:</w:t>
      </w:r>
    </w:p>
    <w:p>
      <w:pPr>
        <w:spacing w:after="0" w:line="36" w:lineRule="exact"/>
        <w:rPr>
          <w:sz w:val="20"/>
          <w:szCs w:val="20"/>
          <w:color w:val="auto"/>
        </w:rPr>
      </w:pPr>
    </w:p>
    <w:tbl>
      <w:tblPr>
        <w:tblLayout w:type="fixed"/>
        <w:tblInd w:w="300" w:type="dxa"/>
        <w:tblCellMar>
          <w:top w:w="0" w:type="dxa"/>
          <w:left w:w="0" w:type="dxa"/>
          <w:bottom w:w="0" w:type="dxa"/>
          <w:right w:w="0" w:type="dxa"/>
        </w:tblCellMar>
      </w:tblPr>
      <w:tr>
        <w:trPr>
          <w:trHeight w:val="310"/>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252,241</w:t>
            </w: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7760" w:type="dxa"/>
            <w:vAlign w:val="bottom"/>
          </w:tcPr>
          <w:p>
            <w:pPr>
              <w:ind w:left="18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44,125</w:t>
            </w:r>
          </w:p>
        </w:tc>
        <w:tc>
          <w:tcPr>
            <w:tcW w:w="80" w:type="dxa"/>
            <w:vAlign w:val="bottom"/>
          </w:tcPr>
          <w:p>
            <w:pPr>
              <w:spacing w:after="0"/>
              <w:rPr>
                <w:sz w:val="24"/>
                <w:szCs w:val="24"/>
                <w:color w:val="auto"/>
              </w:rPr>
            </w:pPr>
          </w:p>
        </w:tc>
      </w:tr>
      <w:tr>
        <w:trPr>
          <w:trHeight w:val="54"/>
        </w:trPr>
        <w:tc>
          <w:tcPr>
            <w:tcW w:w="7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(12,391)</w:t>
            </w:r>
          </w:p>
        </w:tc>
      </w:tr>
      <w:tr>
        <w:trPr>
          <w:trHeight w:val="257"/>
        </w:trPr>
        <w:tc>
          <w:tcPr>
            <w:tcW w:w="7760" w:type="dxa"/>
            <w:vAlign w:val="bottom"/>
          </w:tcPr>
          <w:p>
            <w:pPr>
              <w:ind w:left="180"/>
              <w:spacing w:after="0"/>
              <w:rPr>
                <w:sz w:val="20"/>
                <w:szCs w:val="20"/>
                <w:color w:val="auto"/>
              </w:rPr>
            </w:pPr>
            <w:r>
              <w:rPr>
                <w:rFonts w:ascii="Arial" w:cs="Arial" w:eastAsia="Arial" w:hAnsi="Arial"/>
                <w:sz w:val="18"/>
                <w:szCs w:val="18"/>
                <w:color w:val="auto"/>
              </w:rPr>
              <w:t>Cancellations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(38,604)</w:t>
            </w:r>
          </w:p>
        </w:tc>
      </w:tr>
      <w:tr>
        <w:trPr>
          <w:trHeight w:val="61"/>
        </w:trPr>
        <w:tc>
          <w:tcPr>
            <w:tcW w:w="77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2018</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245,371</w:t>
            </w: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25,990</w:t>
            </w:r>
          </w:p>
        </w:tc>
        <w:tc>
          <w:tcPr>
            <w:tcW w:w="8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(7,284)</w:t>
            </w: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8"/>
                <w:szCs w:val="18"/>
                <w:b w:val="1"/>
                <w:bCs w:val="1"/>
                <w:color w:val="auto"/>
              </w:rPr>
              <w:t>Outstanding at December 31, 2019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264,077</w:t>
            </w:r>
          </w:p>
        </w:tc>
      </w:tr>
      <w:tr>
        <w:trPr>
          <w:trHeight w:val="61"/>
        </w:trPr>
        <w:tc>
          <w:tcPr>
            <w:tcW w:w="77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Repurchase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r>
      <w:tr>
        <w:trPr>
          <w:trHeight w:val="54"/>
        </w:trPr>
        <w:tc>
          <w:tcPr>
            <w:tcW w:w="7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(1,611)</w:t>
            </w: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8"/>
                <w:szCs w:val="18"/>
                <w:b w:val="1"/>
                <w:bCs w:val="1"/>
                <w:color w:val="auto"/>
              </w:rPr>
              <w:t>Outstanding at December 31, 2020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274,816</w:t>
            </w:r>
          </w:p>
        </w:tc>
      </w:tr>
      <w:tr>
        <w:trPr>
          <w:trHeight w:val="20"/>
        </w:trPr>
        <w:tc>
          <w:tcPr>
            <w:tcW w:w="7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7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85"/>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as of December 31, 2019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207,398</w:t>
            </w:r>
          </w:p>
        </w:tc>
      </w:tr>
      <w:tr>
        <w:trPr>
          <w:trHeight w:val="297"/>
        </w:trPr>
        <w:tc>
          <w:tcPr>
            <w:tcW w:w="77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Vested as of December 31, 2020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234,114</w:t>
            </w:r>
          </w:p>
        </w:tc>
        <w:tc>
          <w:tcPr>
            <w:tcW w:w="80" w:type="dxa"/>
            <w:vAlign w:val="bottom"/>
            <w:tcBorders>
              <w:top w:val="single" w:sz="8" w:color="CCEEFF"/>
            </w:tcBorders>
          </w:tcPr>
          <w:p>
            <w:pPr>
              <w:spacing w:after="0"/>
              <w:rPr>
                <w:sz w:val="24"/>
                <w:szCs w:val="24"/>
                <w:color w:val="auto"/>
              </w:rPr>
            </w:pPr>
          </w:p>
        </w:tc>
      </w:tr>
      <w:tr>
        <w:trPr>
          <w:trHeight w:val="20"/>
        </w:trPr>
        <w:tc>
          <w:tcPr>
            <w:tcW w:w="7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a summary of unvested Class A-3 and Class B Units during the years ended</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December 31, 2020, 2019 and 2018:</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6"/>
          </w:tcPr>
          <w:p>
            <w:pPr>
              <w:ind w:left="240"/>
              <w:spacing w:after="0"/>
              <w:rPr>
                <w:sz w:val="20"/>
                <w:szCs w:val="20"/>
                <w:color w:val="auto"/>
              </w:rPr>
            </w:pPr>
            <w:r>
              <w:rPr>
                <w:rFonts w:ascii="Arial" w:cs="Arial" w:eastAsia="Arial" w:hAnsi="Arial"/>
                <w:sz w:val="14"/>
                <w:szCs w:val="14"/>
                <w:b w:val="1"/>
                <w:bCs w:val="1"/>
                <w:color w:val="auto"/>
              </w:rPr>
              <w:t>Weighted - Average</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4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Units</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1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Remaining</w:t>
            </w: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Years to Vest</w:t>
            </w: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Unrecognized</w:t>
            </w:r>
          </w:p>
        </w:tc>
        <w:tc>
          <w:tcPr>
            <w:tcW w:w="0" w:type="dxa"/>
            <w:vAlign w:val="bottom"/>
          </w:tcPr>
          <w:p>
            <w:pPr>
              <w:spacing w:after="0"/>
              <w:rPr>
                <w:sz w:val="1"/>
                <w:szCs w:val="1"/>
                <w:color w:val="auto"/>
              </w:rPr>
            </w:pPr>
          </w:p>
        </w:tc>
      </w:tr>
      <w:tr>
        <w:trPr>
          <w:trHeight w:val="53"/>
        </w:trPr>
        <w:tc>
          <w:tcPr>
            <w:tcW w:w="43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December 31, 2018</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62,024</w:t>
            </w:r>
          </w:p>
        </w:tc>
        <w:tc>
          <w:tcPr>
            <w:tcW w:w="400" w:type="dxa"/>
            <w:vAlign w:val="bottom"/>
            <w:tcBorders>
              <w:right w:val="single" w:sz="8" w:color="CCEEFF"/>
            </w:tcBorders>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236.37</w:t>
            </w:r>
          </w:p>
        </w:tc>
        <w:tc>
          <w:tcPr>
            <w:tcW w:w="3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12,215,953</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Granted</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25,990</w:t>
            </w:r>
          </w:p>
        </w:tc>
        <w:tc>
          <w:tcPr>
            <w:tcW w:w="4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531.80</w:t>
            </w:r>
          </w:p>
        </w:tc>
        <w:tc>
          <w:tcPr>
            <w:tcW w:w="3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(24,051)</w:t>
            </w: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231.74</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620" w:type="dxa"/>
            <w:vAlign w:val="bottom"/>
          </w:tcPr>
          <w:p>
            <w:pPr>
              <w:jc w:val="right"/>
              <w:spacing w:after="0"/>
              <w:rPr>
                <w:sz w:val="20"/>
                <w:szCs w:val="20"/>
                <w:color w:val="auto"/>
              </w:rPr>
            </w:pPr>
            <w:r>
              <w:rPr>
                <w:rFonts w:ascii="Arial" w:cs="Arial" w:eastAsia="Arial" w:hAnsi="Arial"/>
                <w:sz w:val="18"/>
                <w:szCs w:val="18"/>
                <w:color w:val="auto"/>
              </w:rPr>
              <w:t>(7,284)</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238.87</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3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December 31, 2019</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56,679</w:t>
            </w:r>
          </w:p>
        </w:tc>
        <w:tc>
          <w:tcPr>
            <w:tcW w:w="400" w:type="dxa"/>
            <w:vAlign w:val="bottom"/>
            <w:tcBorders>
              <w:right w:val="single" w:sz="8" w:color="CCEEFF"/>
            </w:tcBorders>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373.47</w:t>
            </w:r>
          </w:p>
        </w:tc>
        <w:tc>
          <w:tcPr>
            <w:tcW w:w="3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18,682,331</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Granted</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14,250</w:t>
            </w:r>
          </w:p>
        </w:tc>
        <w:tc>
          <w:tcPr>
            <w:tcW w:w="4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724.28</w:t>
            </w:r>
          </w:p>
        </w:tc>
        <w:tc>
          <w:tcPr>
            <w:tcW w:w="3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(28,616)</w:t>
            </w: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359.45</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620" w:type="dxa"/>
            <w:vAlign w:val="bottom"/>
          </w:tcPr>
          <w:p>
            <w:pPr>
              <w:jc w:val="right"/>
              <w:spacing w:after="0"/>
              <w:rPr>
                <w:sz w:val="20"/>
                <w:szCs w:val="20"/>
                <w:color w:val="auto"/>
              </w:rPr>
            </w:pPr>
            <w:r>
              <w:rPr>
                <w:rFonts w:ascii="Arial" w:cs="Arial" w:eastAsia="Arial" w:hAnsi="Arial"/>
                <w:sz w:val="18"/>
                <w:szCs w:val="18"/>
                <w:color w:val="auto"/>
              </w:rPr>
              <w:t>(1,611)</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450.83</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3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2020</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40,702</w:t>
            </w:r>
          </w:p>
        </w:tc>
        <w:tc>
          <w:tcPr>
            <w:tcW w:w="400" w:type="dxa"/>
            <w:vAlign w:val="bottom"/>
            <w:tcBorders>
              <w:right w:val="single" w:sz="8" w:color="CCEEFF"/>
            </w:tcBorders>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518.13</w:t>
            </w:r>
          </w:p>
        </w:tc>
        <w:tc>
          <w:tcPr>
            <w:tcW w:w="3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7"/>
              </w:rPr>
              <w:t>$ 22,474,033</w:t>
            </w:r>
          </w:p>
        </w:tc>
        <w:tc>
          <w:tcPr>
            <w:tcW w:w="0" w:type="dxa"/>
            <w:vAlign w:val="bottom"/>
          </w:tcPr>
          <w:p>
            <w:pPr>
              <w:spacing w:after="0"/>
              <w:rPr>
                <w:sz w:val="1"/>
                <w:szCs w:val="1"/>
                <w:color w:val="auto"/>
              </w:rPr>
            </w:pPr>
          </w:p>
        </w:tc>
      </w:tr>
      <w:tr>
        <w:trPr>
          <w:trHeight w:val="27"/>
        </w:trPr>
        <w:tc>
          <w:tcPr>
            <w:tcW w:w="43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right w:val="single" w:sz="8" w:color="auto"/>
            </w:tcBorders>
            <w:shd w:val="clear" w:color="auto" w:fill="000000"/>
          </w:tcPr>
          <w:p>
            <w:pPr>
              <w:spacing w:after="0"/>
              <w:rPr>
                <w:sz w:val="2"/>
                <w:szCs w:val="2"/>
                <w:color w:val="auto"/>
              </w:rPr>
            </w:pPr>
          </w:p>
        </w:tc>
        <w:tc>
          <w:tcPr>
            <w:tcW w:w="40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tcBorders>
              <w:top w:val="single" w:sz="8" w:color="auto"/>
              <w:right w:val="single" w:sz="8" w:color="auto"/>
            </w:tcBorders>
            <w:shd w:val="clear" w:color="auto" w:fill="000000"/>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-2005330</wp:posOffset>
            </wp:positionV>
            <wp:extent cx="20574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-2005330</wp:posOffset>
            </wp:positionV>
            <wp:extent cx="20574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-2005330</wp:posOffset>
            </wp:positionV>
            <wp:extent cx="20574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-2005330</wp:posOffset>
            </wp:positionV>
            <wp:extent cx="1028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Company has accounted for the issuance of Class A-3 and Class B Units in accordance with ASC 718, Stock Based Compensation. The Company considers the limitation on the exercisability of the Class A-3 and Class B Units to be a performance condition and, therefore, records compensation cost when it becomes probable that the performance condition will be met. As of December 31, 2020, and 2019, no compensation cost has been recorded in connection with the issuance of the Class A-3 and Class B Units as management did not believe that achievement of the performance condition was probable.</w:t>
      </w:r>
    </w:p>
    <w:p>
      <w:pPr>
        <w:spacing w:after="0" w:line="70"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measures all employee stock-based compensation awards on the date of grant using the Black-Scholes-Merton valuation model and allocates the related expense over the requisite service period (generally the vesting period of the equity award) which is typically four years. When awards include a performance condition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(continued)</w:t>
      </w:r>
    </w:p>
    <w:p>
      <w:pPr>
        <w:spacing w:after="0" w:line="14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that impacts the vesting 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fair value of Class A-3 and B-Units granted were estimated on their respective grant dates using the Black-Scholes-Merton option pricing model and the following assumptions for the years ended December 31, 2020, 2019 and 2018:</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53"/>
        </w:trPr>
        <w:tc>
          <w:tcPr>
            <w:tcW w:w="48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311"/>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70%</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- 70%</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Risk - free interest rate</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2.65% - 2.90%</w:t>
            </w:r>
          </w:p>
        </w:tc>
        <w:tc>
          <w:tcPr>
            <w:tcW w:w="12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w w:val="92"/>
              </w:rPr>
              <w:t>1.68% - 2.49%  0.21%</w:t>
            </w:r>
          </w:p>
        </w:tc>
        <w:tc>
          <w:tcPr>
            <w:tcW w:w="600" w:type="dxa"/>
            <w:vAlign w:val="bottom"/>
          </w:tcPr>
          <w:p>
            <w:pPr>
              <w:ind w:left="20"/>
              <w:spacing w:after="0"/>
              <w:rPr>
                <w:sz w:val="20"/>
                <w:szCs w:val="20"/>
                <w:color w:val="auto"/>
              </w:rPr>
            </w:pPr>
            <w:r>
              <w:rPr>
                <w:rFonts w:ascii="Arial" w:cs="Arial" w:eastAsia="Arial" w:hAnsi="Arial"/>
                <w:sz w:val="18"/>
                <w:szCs w:val="18"/>
                <w:color w:val="auto"/>
                <w:w w:val="90"/>
              </w:rPr>
              <w:t>- 0.29%</w:t>
            </w:r>
          </w:p>
        </w:tc>
      </w:tr>
      <w:tr>
        <w:trPr>
          <w:trHeight w:val="54"/>
        </w:trPr>
        <w:tc>
          <w:tcPr>
            <w:tcW w:w="4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0.00%</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4 years</w:t>
            </w: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4 years</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4 years</w:t>
            </w:r>
          </w:p>
        </w:tc>
      </w:tr>
      <w:tr>
        <w:trPr>
          <w:trHeight w:val="54"/>
        </w:trPr>
        <w:tc>
          <w:tcPr>
            <w:tcW w:w="4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r>
      <w:tr>
        <w:trPr>
          <w:trHeight w:val="27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Weighted - average fair value of common stock</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$305.35</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$531.80</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$724.28</w:t>
            </w:r>
          </w:p>
        </w:tc>
      </w:tr>
      <w:tr>
        <w:trPr>
          <w:trHeight w:val="54"/>
        </w:trPr>
        <w:tc>
          <w:tcPr>
            <w:tcW w:w="48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-1045210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-1045210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-1045210</wp:posOffset>
            </wp:positionV>
            <wp:extent cx="431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total cumulative amount of compensation cost that would have been recognized had all performance conditions been met is $12.0 million as of December 31, 2020. As a limited liability company, each member’s liability is limited to the capital invested. Should the Company consummate the business combination with Silver Spike Acquisition Corp. and become a publicly traded entity, the limitations on the exercisability of the Class A-3 an B units will be removed and all performance obligations would have been met, resulting in the recognition of all cumulative compensation cost. The Company has an unlimited life subject to consents to dissolve the Company by a majority of the Company’s members.</w:t>
      </w:r>
    </w:p>
    <w:p>
      <w:pPr>
        <w:spacing w:after="0" w:line="173" w:lineRule="exact"/>
        <w:rPr>
          <w:sz w:val="20"/>
          <w:szCs w:val="20"/>
          <w:color w:val="auto"/>
        </w:rPr>
      </w:pPr>
    </w:p>
    <w:p>
      <w:pPr>
        <w:ind w:left="640" w:hanging="348"/>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leases space in Irvine, California; Los Angeles, California; Denver, Colorado; New York, New York; Ontario, Canada; and Barcelona, Spain. Minimum lease obligations under noncancelable operating leases, which expire at various dates through the year ended 2031,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2400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Years ending December 31,</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2021</w:t>
            </w:r>
          </w:p>
        </w:tc>
        <w:tc>
          <w:tcPr>
            <w:tcW w:w="4040" w:type="dxa"/>
            <w:vAlign w:val="bottom"/>
            <w:gridSpan w:val="3"/>
          </w:tcPr>
          <w:p>
            <w:pPr>
              <w:jc w:val="right"/>
              <w:ind w:right="20"/>
              <w:spacing w:after="0"/>
              <w:rPr>
                <w:sz w:val="20"/>
                <w:szCs w:val="20"/>
                <w:color w:val="auto"/>
              </w:rPr>
            </w:pPr>
            <w:r>
              <w:rPr>
                <w:rFonts w:ascii="Arial" w:cs="Arial" w:eastAsia="Arial" w:hAnsi="Arial"/>
                <w:sz w:val="18"/>
                <w:szCs w:val="18"/>
                <w:color w:val="auto"/>
              </w:rPr>
              <w:t>8,225,436</w:t>
            </w:r>
          </w:p>
        </w:tc>
      </w:tr>
      <w:tr>
        <w:trPr>
          <w:trHeight w:val="54"/>
        </w:trPr>
        <w:tc>
          <w:tcPr>
            <w:tcW w:w="43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4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9,605,487</w:t>
            </w:r>
          </w:p>
        </w:tc>
      </w:tr>
      <w:tr>
        <w:trPr>
          <w:trHeight w:val="270"/>
        </w:trPr>
        <w:tc>
          <w:tcPr>
            <w:tcW w:w="4380" w:type="dxa"/>
            <w:vAlign w:val="bottom"/>
          </w:tcPr>
          <w:p>
            <w:pPr>
              <w:spacing w:after="0"/>
              <w:rPr>
                <w:sz w:val="20"/>
                <w:szCs w:val="20"/>
                <w:color w:val="auto"/>
              </w:rPr>
            </w:pPr>
            <w:r>
              <w:rPr>
                <w:rFonts w:ascii="Arial" w:cs="Arial" w:eastAsia="Arial" w:hAnsi="Arial"/>
                <w:sz w:val="18"/>
                <w:szCs w:val="18"/>
                <w:color w:val="auto"/>
              </w:rPr>
              <w:t>2023</w:t>
            </w:r>
          </w:p>
        </w:tc>
        <w:tc>
          <w:tcPr>
            <w:tcW w:w="4040" w:type="dxa"/>
            <w:vAlign w:val="bottom"/>
            <w:gridSpan w:val="3"/>
          </w:tcPr>
          <w:p>
            <w:pPr>
              <w:jc w:val="right"/>
              <w:ind w:right="20"/>
              <w:spacing w:after="0"/>
              <w:rPr>
                <w:sz w:val="20"/>
                <w:szCs w:val="20"/>
                <w:color w:val="auto"/>
              </w:rPr>
            </w:pPr>
            <w:r>
              <w:rPr>
                <w:rFonts w:ascii="Arial" w:cs="Arial" w:eastAsia="Arial" w:hAnsi="Arial"/>
                <w:sz w:val="18"/>
                <w:szCs w:val="18"/>
                <w:color w:val="auto"/>
              </w:rPr>
              <w:t>9,897,648</w:t>
            </w:r>
          </w:p>
        </w:tc>
      </w:tr>
      <w:tr>
        <w:trPr>
          <w:trHeight w:val="54"/>
        </w:trPr>
        <w:tc>
          <w:tcPr>
            <w:tcW w:w="43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4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9,405,482</w:t>
            </w:r>
          </w:p>
        </w:tc>
      </w:tr>
      <w:tr>
        <w:trPr>
          <w:trHeight w:val="256"/>
        </w:trPr>
        <w:tc>
          <w:tcPr>
            <w:tcW w:w="4380" w:type="dxa"/>
            <w:vAlign w:val="bottom"/>
          </w:tcPr>
          <w:p>
            <w:pPr>
              <w:spacing w:after="0"/>
              <w:rPr>
                <w:sz w:val="20"/>
                <w:szCs w:val="20"/>
                <w:color w:val="auto"/>
              </w:rPr>
            </w:pPr>
            <w:r>
              <w:rPr>
                <w:rFonts w:ascii="Arial" w:cs="Arial" w:eastAsia="Arial" w:hAnsi="Arial"/>
                <w:sz w:val="18"/>
                <w:szCs w:val="18"/>
                <w:color w:val="auto"/>
              </w:rPr>
              <w:t>2025 and beyond</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35,561,951</w:t>
            </w:r>
          </w:p>
        </w:tc>
        <w:tc>
          <w:tcPr>
            <w:tcW w:w="20" w:type="dxa"/>
            <w:vAlign w:val="bottom"/>
          </w:tcPr>
          <w:p>
            <w:pPr>
              <w:spacing w:after="0"/>
              <w:rPr>
                <w:sz w:val="22"/>
                <w:szCs w:val="22"/>
                <w:color w:val="auto"/>
              </w:rPr>
            </w:pPr>
          </w:p>
        </w:tc>
      </w:tr>
      <w:tr>
        <w:trPr>
          <w:trHeight w:val="61"/>
        </w:trPr>
        <w:tc>
          <w:tcPr>
            <w:tcW w:w="43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91"/>
        </w:trPr>
        <w:tc>
          <w:tcPr>
            <w:tcW w:w="4380" w:type="dxa"/>
            <w:vAlign w:val="bottom"/>
            <w:shd w:val="clear" w:color="auto" w:fill="CCEEFF"/>
          </w:tcPr>
          <w:p>
            <w:pPr>
              <w:spacing w:after="0"/>
              <w:rPr>
                <w:sz w:val="24"/>
                <w:szCs w:val="24"/>
                <w:color w:val="auto"/>
              </w:rPr>
            </w:pPr>
          </w:p>
        </w:tc>
        <w:tc>
          <w:tcPr>
            <w:tcW w:w="40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72,696,004</w:t>
            </w:r>
          </w:p>
        </w:tc>
      </w:tr>
      <w:tr>
        <w:trPr>
          <w:trHeight w:val="27"/>
        </w:trPr>
        <w:tc>
          <w:tcPr>
            <w:tcW w:w="4380" w:type="dxa"/>
            <w:vAlign w:val="bottom"/>
            <w:tcBorders>
              <w:top w:val="single" w:sz="8" w:color="CCEEFF"/>
            </w:tcBorders>
            <w:shd w:val="clear" w:color="auto" w:fill="CCEEFF"/>
          </w:tcPr>
          <w:p>
            <w:pPr>
              <w:spacing w:after="0"/>
              <w:rPr>
                <w:sz w:val="2"/>
                <w:szCs w:val="2"/>
                <w:color w:val="auto"/>
              </w:rPr>
            </w:pPr>
          </w:p>
        </w:tc>
        <w:tc>
          <w:tcPr>
            <w:tcW w:w="3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r>
    </w:tbl>
    <w:p>
      <w:pPr>
        <w:spacing w:after="0" w:line="9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Rent expense for the years ended December 31, 2020, 2019 and 2018 amounted to $11.1 million, $5.6 million, and $4.1 million, respectively, and is included in general and administrative expense in the accompanying consolidated statements of operations.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September 2019, the Company received a grand jury subpoena prepared by the United States Attorney’s Office for the Eastern District of California. The subpoena demanded certain categories of information from the Company, some of which the Company has already provided. Management believes that the outcome of such inquiry will not have a material adverse impact of the Company’s financial position, results of operations, or cash flow.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57"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 w:lineRule="exact"/>
        <w:rPr>
          <w:sz w:val="20"/>
          <w:szCs w:val="20"/>
          <w:color w:val="auto"/>
        </w:rPr>
      </w:pPr>
    </w:p>
    <w:p>
      <w:pPr>
        <w:ind w:left="640" w:hanging="348"/>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evaluated events subsequent to December 31, 2020 for their potential impact on the consolidated financial statements and disclosures through March 9, 2021, the date the consolidated financial statements were available to be issued.</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With respect to the ongoing and evolving coronavirus (COVID-19) outbreak, which was designated as a pandemic by the World Health Organization on March 11, 2020, the outbreak has caused substantial disruption in international and U.S. economies and markets. The outbreak has potential to have an adverse impact on the manufacturing, distribution, logistics, and technology industries and, if repercussions of the outbreak are prolonged, could have a significant adverse impact on the cannabis industry and the Company, which could be material. The Company’s management cannot at this point estimate the impact of the outbreak on its business and no provision for this outbreak are reflected in the accompanying financial statements.</w:t>
      </w:r>
    </w:p>
    <w:p>
      <w:pPr>
        <w:spacing w:after="0" w:line="6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December 10, 2020, the Company announced an agreement for a business combination with Silver Spike Acquisition Corp., a publicly traded special purpose acquisition company, that would result in the Company becoming a publicly traded entity following the close of the transaction. The estimated gross proceeds of the transaction are $575 million made up of $250 million of cash held-in-trust by Silver Spike Acquisition Corp. and an additional $325 million of fully committed common stock from a private investment in public equity. The transaction is estimated to close in the second quarter of fiscal year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299"/>
        <w:spacing w:after="0" w:line="266" w:lineRule="auto"/>
        <w:rPr>
          <w:sz w:val="20"/>
          <w:szCs w:val="20"/>
          <w:color w:val="auto"/>
        </w:rPr>
      </w:pPr>
      <w:r>
        <w:rPr>
          <w:rFonts w:ascii="Arial" w:cs="Arial" w:eastAsia="Arial" w:hAnsi="Arial"/>
          <w:sz w:val="18"/>
          <w:szCs w:val="18"/>
          <w:b w:val="1"/>
          <w:bCs w:val="1"/>
          <w:color w:val="auto"/>
        </w:rPr>
        <w:t xml:space="preserve">WM HOLDING COMPANY, LLC AND SUBSIDIARIES INTERIM CONDENSED CONSOLIDATED BALANCE SHEET (Unaudited) </w:t>
      </w:r>
      <w:r>
        <w:rPr>
          <w:rFonts w:ascii="Arial" w:cs="Arial" w:eastAsia="Arial" w:hAnsi="Arial"/>
          <w:sz w:val="18"/>
          <w:szCs w:val="18"/>
          <w:color w:val="auto"/>
        </w:rPr>
        <w:t>(In thousands, except for unit and per unit amounts)</w:t>
      </w:r>
    </w:p>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March 31, 2021</w:t>
            </w:r>
          </w:p>
        </w:tc>
      </w:tr>
      <w:tr>
        <w:trPr>
          <w:trHeight w:val="53"/>
        </w:trPr>
        <w:tc>
          <w:tcPr>
            <w:tcW w:w="74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311"/>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$19,604</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74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7,553</w:t>
            </w:r>
          </w:p>
        </w:tc>
        <w:tc>
          <w:tcPr>
            <w:tcW w:w="200" w:type="dxa"/>
            <w:vAlign w:val="bottom"/>
          </w:tcPr>
          <w:p>
            <w:pPr>
              <w:spacing w:after="0"/>
              <w:rPr>
                <w:sz w:val="23"/>
                <w:szCs w:val="23"/>
                <w:color w:val="auto"/>
              </w:rPr>
            </w:pPr>
          </w:p>
        </w:tc>
      </w:tr>
      <w:tr>
        <w:trPr>
          <w:trHeight w:val="54"/>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7"/>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200" w:type="dxa"/>
            <w:vAlign w:val="bottom"/>
            <w:shd w:val="clear" w:color="auto" w:fill="CCEEFF"/>
          </w:tcPr>
          <w:p>
            <w:pPr>
              <w:spacing w:after="0"/>
              <w:rPr>
                <w:sz w:val="22"/>
                <w:szCs w:val="22"/>
                <w:color w:val="auto"/>
              </w:rPr>
            </w:pPr>
          </w:p>
        </w:tc>
      </w:tr>
      <w:tr>
        <w:trPr>
          <w:trHeight w:val="61"/>
        </w:trPr>
        <w:tc>
          <w:tcPr>
            <w:tcW w:w="74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84"/>
        </w:trPr>
        <w:tc>
          <w:tcPr>
            <w:tcW w:w="74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34,501</w:t>
            </w:r>
          </w:p>
        </w:tc>
        <w:tc>
          <w:tcPr>
            <w:tcW w:w="200" w:type="dxa"/>
            <w:vAlign w:val="bottom"/>
          </w:tcPr>
          <w:p>
            <w:pPr>
              <w:spacing w:after="0"/>
              <w:rPr>
                <w:sz w:val="24"/>
                <w:szCs w:val="24"/>
                <w:color w:val="auto"/>
              </w:rPr>
            </w:pPr>
          </w:p>
        </w:tc>
      </w:tr>
      <w:tr>
        <w:trPr>
          <w:trHeight w:val="54"/>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3,961</w:t>
            </w:r>
          </w:p>
        </w:tc>
        <w:tc>
          <w:tcPr>
            <w:tcW w:w="200" w:type="dxa"/>
            <w:vAlign w:val="bottom"/>
          </w:tcPr>
          <w:p>
            <w:pPr>
              <w:spacing w:after="0"/>
              <w:rPr>
                <w:sz w:val="23"/>
                <w:szCs w:val="23"/>
                <w:color w:val="auto"/>
              </w:rPr>
            </w:pPr>
          </w:p>
        </w:tc>
      </w:tr>
      <w:tr>
        <w:trPr>
          <w:trHeight w:val="54"/>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Right-of-use Assets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42,113</w:t>
            </w:r>
          </w:p>
        </w:tc>
        <w:tc>
          <w:tcPr>
            <w:tcW w:w="200" w:type="dxa"/>
            <w:vAlign w:val="bottom"/>
          </w:tcPr>
          <w:p>
            <w:pPr>
              <w:spacing w:after="0"/>
              <w:rPr>
                <w:sz w:val="23"/>
                <w:szCs w:val="23"/>
                <w:color w:val="auto"/>
              </w:rPr>
            </w:pPr>
          </w:p>
        </w:tc>
      </w:tr>
      <w:tr>
        <w:trPr>
          <w:trHeight w:val="54"/>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200" w:type="dxa"/>
            <w:vAlign w:val="bottom"/>
            <w:shd w:val="clear" w:color="auto" w:fill="CCEEFF"/>
          </w:tcPr>
          <w:p>
            <w:pPr>
              <w:spacing w:after="0"/>
              <w:rPr>
                <w:sz w:val="22"/>
                <w:szCs w:val="22"/>
                <w:color w:val="auto"/>
              </w:rPr>
            </w:pPr>
          </w:p>
        </w:tc>
      </w:tr>
      <w:tr>
        <w:trPr>
          <w:trHeight w:val="61"/>
        </w:trPr>
        <w:tc>
          <w:tcPr>
            <w:tcW w:w="74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70"/>
        </w:trPr>
        <w:tc>
          <w:tcPr>
            <w:tcW w:w="74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95,621</w:t>
            </w:r>
          </w:p>
        </w:tc>
        <w:tc>
          <w:tcPr>
            <w:tcW w:w="200" w:type="dxa"/>
            <w:vAlign w:val="bottom"/>
          </w:tcPr>
          <w:p>
            <w:pPr>
              <w:spacing w:after="0"/>
              <w:rPr>
                <w:sz w:val="23"/>
                <w:szCs w:val="23"/>
                <w:color w:val="auto"/>
              </w:rPr>
            </w:pPr>
          </w:p>
        </w:tc>
      </w:tr>
      <w:tr>
        <w:trPr>
          <w:trHeight w:val="21"/>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8"/>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44"/>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$13,496</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74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6,189</w:t>
            </w:r>
          </w:p>
        </w:tc>
        <w:tc>
          <w:tcPr>
            <w:tcW w:w="200" w:type="dxa"/>
            <w:vAlign w:val="bottom"/>
          </w:tcPr>
          <w:p>
            <w:pPr>
              <w:spacing w:after="0"/>
              <w:rPr>
                <w:sz w:val="23"/>
                <w:szCs w:val="23"/>
                <w:color w:val="auto"/>
              </w:rPr>
            </w:pPr>
          </w:p>
        </w:tc>
      </w:tr>
      <w:tr>
        <w:trPr>
          <w:trHeight w:val="54"/>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 portion</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56"/>
        </w:trPr>
        <w:tc>
          <w:tcPr>
            <w:tcW w:w="7440" w:type="dxa"/>
            <w:vAlign w:val="bottom"/>
          </w:tcPr>
          <w:p>
            <w:pPr>
              <w:ind w:left="180"/>
              <w:spacing w:after="0"/>
              <w:rPr>
                <w:sz w:val="20"/>
                <w:szCs w:val="20"/>
                <w:color w:val="auto"/>
              </w:rPr>
            </w:pPr>
            <w:r>
              <w:rPr>
                <w:rFonts w:ascii="Arial" w:cs="Arial" w:eastAsia="Arial" w:hAnsi="Arial"/>
                <w:sz w:val="18"/>
                <w:szCs w:val="18"/>
                <w:color w:val="auto"/>
              </w:rPr>
              <w:t>Notes payable to members, current portion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2"/>
                <w:szCs w:val="22"/>
                <w:color w:val="auto"/>
              </w:rPr>
            </w:pPr>
          </w:p>
        </w:tc>
      </w:tr>
      <w:tr>
        <w:trPr>
          <w:trHeight w:val="61"/>
        </w:trPr>
        <w:tc>
          <w:tcPr>
            <w:tcW w:w="7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r>
      <w:tr>
        <w:trPr>
          <w:trHeight w:val="318"/>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24,774</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5349240" cy="2057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349240" cy="205740"/>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-4199890</wp:posOffset>
            </wp:positionV>
            <wp:extent cx="342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Operating lease liabilities, non-current portion</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5349240" cy="2146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liabilities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Commitments and contingencies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Members’ equity</w:t>
      </w:r>
    </w:p>
    <w:p>
      <w:pPr>
        <w:spacing w:after="0" w:line="117" w:lineRule="exact"/>
        <w:rPr>
          <w:sz w:val="20"/>
          <w:szCs w:val="20"/>
          <w:color w:val="auto"/>
        </w:rPr>
      </w:pPr>
    </w:p>
    <w:p>
      <w:pPr>
        <w:ind w:left="660" w:right="160" w:hanging="179"/>
        <w:spacing w:after="0" w:line="277" w:lineRule="auto"/>
        <w:rPr>
          <w:sz w:val="20"/>
          <w:szCs w:val="20"/>
          <w:color w:val="auto"/>
        </w:rPr>
      </w:pPr>
      <w:r>
        <w:rPr>
          <w:rFonts w:ascii="Arial" w:cs="Arial" w:eastAsia="Arial" w:hAnsi="Arial"/>
          <w:sz w:val="18"/>
          <w:szCs w:val="18"/>
          <w:color w:val="auto"/>
        </w:rPr>
        <w:t>Class A-1 Units - no par value; 821,769 units authorized, issued and oustanding at December 31, 2020 and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3429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42" w:lineRule="exact"/>
        <w:rPr>
          <w:sz w:val="20"/>
          <w:szCs w:val="20"/>
          <w:color w:val="auto"/>
        </w:rPr>
      </w:pPr>
    </w:p>
    <w:p>
      <w:pPr>
        <w:ind w:left="660" w:right="720" w:hanging="179"/>
        <w:spacing w:after="0" w:line="277" w:lineRule="auto"/>
        <w:rPr>
          <w:sz w:val="20"/>
          <w:szCs w:val="20"/>
          <w:color w:val="auto"/>
        </w:rPr>
      </w:pPr>
      <w:r>
        <w:rPr>
          <w:rFonts w:ascii="Arial" w:cs="Arial" w:eastAsia="Arial" w:hAnsi="Arial"/>
          <w:sz w:val="18"/>
          <w:szCs w:val="18"/>
          <w:color w:val="auto"/>
        </w:rPr>
        <w:t>Class A-2 Units - no par value; 34,264 units authorized, 24,058 issued and outstanding at December 31, 2020 and March 31, 2021</w:t>
      </w:r>
    </w:p>
    <w:p>
      <w:pPr>
        <w:spacing w:after="0" w:line="62" w:lineRule="exact"/>
        <w:rPr>
          <w:sz w:val="20"/>
          <w:szCs w:val="20"/>
          <w:color w:val="auto"/>
        </w:rPr>
      </w:pPr>
    </w:p>
    <w:p>
      <w:pPr>
        <w:ind w:left="660" w:hanging="179"/>
        <w:spacing w:after="0" w:line="311" w:lineRule="auto"/>
        <w:rPr>
          <w:sz w:val="20"/>
          <w:szCs w:val="20"/>
          <w:color w:val="auto"/>
        </w:rPr>
      </w:pPr>
      <w:r>
        <w:rPr>
          <w:rFonts w:ascii="Arial" w:cs="Arial" w:eastAsia="Arial" w:hAnsi="Arial"/>
          <w:sz w:val="16"/>
          <w:szCs w:val="16"/>
          <w:color w:val="auto"/>
        </w:rPr>
        <w:t>Class A-3 Units/Class B Units - no par value; 274,822 units authorized, 53,333 Class A-3 units and 221,483 Class B units issued and outstanding at December 31, 2020; 274,822 units authorized, 53,333 Class A-3 units and 221,447 Class B units issued and outstanding 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wp:posOffset>
            </wp:positionV>
            <wp:extent cx="5349240" cy="2057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Retained earnings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5349240" cy="2139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349240" cy="213995"/>
                    </a:xfrm>
                    <a:prstGeom prst="rect">
                      <a:avLst/>
                    </a:prstGeom>
                    <a:noFill/>
                  </pic:spPr>
                </pic:pic>
              </a:graphicData>
            </a:graphic>
          </wp:anchor>
        </w:drawing>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liabilities and members’ equity</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right"/>
        <w:ind w:right="499"/>
        <w:spacing w:after="0"/>
        <w:rPr>
          <w:sz w:val="20"/>
          <w:szCs w:val="20"/>
          <w:color w:val="auto"/>
        </w:rPr>
      </w:pPr>
      <w:r>
        <w:rPr>
          <w:rFonts w:ascii="Arial" w:cs="Arial" w:eastAsia="Arial" w:hAnsi="Arial"/>
          <w:sz w:val="18"/>
          <w:szCs w:val="18"/>
          <w:color w:val="auto"/>
        </w:rPr>
        <w:t>43,558</w:t>
      </w:r>
    </w:p>
    <w:p>
      <w:pPr>
        <w:spacing w:after="0" w:line="117" w:lineRule="exact"/>
        <w:rPr>
          <w:sz w:val="20"/>
          <w:szCs w:val="20"/>
          <w:color w:val="auto"/>
        </w:rPr>
      </w:pPr>
    </w:p>
    <w:p>
      <w:pPr>
        <w:jc w:val="right"/>
        <w:ind w:right="499"/>
        <w:spacing w:after="0"/>
        <w:rPr>
          <w:sz w:val="20"/>
          <w:szCs w:val="20"/>
          <w:color w:val="auto"/>
        </w:rPr>
      </w:pPr>
      <w:r>
        <w:rPr>
          <w:rFonts w:ascii="Arial" w:cs="Arial" w:eastAsia="Arial" w:hAnsi="Arial"/>
          <w:sz w:val="18"/>
          <w:szCs w:val="18"/>
          <w:color w:val="auto"/>
        </w:rPr>
        <w:t>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3683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6"/>
          <w:szCs w:val="16"/>
          <w:color w:val="auto"/>
        </w:rPr>
        <w:t>69,238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2,212</w:t>
      </w:r>
    </w:p>
    <w:p>
      <w:pPr>
        <w:spacing w:after="0" w:line="368" w:lineRule="exact"/>
        <w:rPr>
          <w:sz w:val="20"/>
          <w:szCs w:val="20"/>
          <w:color w:val="auto"/>
        </w:rPr>
      </w:pPr>
    </w:p>
    <w:p>
      <w:pPr>
        <w:ind w:left="80"/>
        <w:spacing w:after="0"/>
        <w:rPr>
          <w:sz w:val="20"/>
          <w:szCs w:val="20"/>
          <w:color w:val="auto"/>
        </w:rPr>
      </w:pPr>
      <w:r>
        <w:rPr>
          <w:rFonts w:ascii="Arial" w:cs="Arial" w:eastAsia="Arial" w:hAnsi="Arial"/>
          <w:sz w:val="16"/>
          <w:szCs w:val="16"/>
          <w:color w:val="auto"/>
        </w:rPr>
        <w:t>16,597</w:t>
      </w:r>
    </w:p>
    <w:p>
      <w:pPr>
        <w:spacing w:after="0" w:line="200" w:lineRule="exact"/>
        <w:rPr>
          <w:sz w:val="20"/>
          <w:szCs w:val="20"/>
          <w:color w:val="auto"/>
        </w:rPr>
      </w:pPr>
    </w:p>
    <w:p>
      <w:pPr>
        <w:spacing w:after="0" w:line="372" w:lineRule="exact"/>
        <w:rPr>
          <w:sz w:val="20"/>
          <w:szCs w:val="20"/>
          <w:color w:val="auto"/>
        </w:rPr>
      </w:pPr>
    </w:p>
    <w:p>
      <w:pPr>
        <w:jc w:val="right"/>
        <w:ind w:right="49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jc w:val="right"/>
        <w:ind w:right="499"/>
        <w:spacing w:after="0"/>
        <w:rPr>
          <w:sz w:val="20"/>
          <w:szCs w:val="20"/>
          <w:color w:val="auto"/>
        </w:rPr>
      </w:pPr>
      <w:r>
        <w:rPr>
          <w:rFonts w:ascii="Arial" w:cs="Arial" w:eastAsia="Arial" w:hAnsi="Arial"/>
          <w:sz w:val="18"/>
          <w:szCs w:val="18"/>
          <w:color w:val="auto"/>
        </w:rPr>
        <w:t>7,574</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26,383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36004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$95,621</w:t>
      </w:r>
    </w:p>
    <w:p>
      <w:pPr>
        <w:spacing w:after="0" w:line="222" w:lineRule="exact"/>
        <w:rPr>
          <w:sz w:val="20"/>
          <w:szCs w:val="20"/>
          <w:color w:val="auto"/>
        </w:rPr>
      </w:pPr>
    </w:p>
    <w:p>
      <w:pPr>
        <w:sectPr>
          <w:pgSz w:w="11900" w:h="16838" w:orient="portrait"/>
          <w:cols w:equalWidth="0" w:num="2">
            <w:col w:w="7600" w:space="340"/>
            <w:col w:w="1079"/>
          </w:cols>
          <w:pgMar w:left="1440" w:top="265" w:right="1440"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7" w:name="page158"/>
    <w:bookmarkEnd w:id="157"/>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 xml:space="preserve">WM HOLDING COMPANY, LLC AND SUBSIDIARIES INTERIM CONDENSED CONSOLIDATED STATEMENTS OF INCOME (Unaudited) </w:t>
      </w:r>
      <w:r>
        <w:rPr>
          <w:rFonts w:ascii="Arial" w:cs="Arial" w:eastAsia="Arial" w:hAnsi="Arial"/>
          <w:sz w:val="18"/>
          <w:szCs w:val="18"/>
          <w:color w:val="auto"/>
        </w:rPr>
        <w:t>(In thousands, except for unit and per unit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3300" w:type="dxa"/>
            <w:vAlign w:val="bottom"/>
            <w:gridSpan w:val="11"/>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53"/>
        </w:trPr>
        <w:tc>
          <w:tcPr>
            <w:tcW w:w="130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64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64"/>
        </w:trPr>
        <w:tc>
          <w:tcPr>
            <w:tcW w:w="1300" w:type="dxa"/>
            <w:vAlign w:val="bottom"/>
          </w:tcPr>
          <w:p>
            <w:pPr>
              <w:spacing w:after="0"/>
              <w:rPr>
                <w:sz w:val="22"/>
                <w:szCs w:val="22"/>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32,210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41,154</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4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9,117</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7,868</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11,999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13,366</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27,944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33,210</w:t>
            </w:r>
          </w:p>
        </w:tc>
        <w:tc>
          <w:tcPr>
            <w:tcW w:w="12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4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7,944</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4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IINCOME BEFORE PROVISION FOR INCOME TAXES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7,972</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4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7,731</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45"/>
        </w:trPr>
        <w:tc>
          <w:tcPr>
            <w:tcW w:w="1300" w:type="dxa"/>
            <w:vAlign w:val="bottom"/>
          </w:tcPr>
          <w:p>
            <w:pPr>
              <w:spacing w:after="0"/>
              <w:rPr>
                <w:sz w:val="24"/>
                <w:szCs w:val="24"/>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 PER UNIT</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Basic and diluted earnings per Class A-1, A-2 and A-3 units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
        </w:trPr>
        <w:tc>
          <w:tcPr>
            <w:tcW w:w="13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44"/>
        </w:trPr>
        <w:tc>
          <w:tcPr>
            <w:tcW w:w="1300" w:type="dxa"/>
            <w:vAlign w:val="bottom"/>
          </w:tcPr>
          <w:p>
            <w:pPr>
              <w:spacing w:after="0"/>
              <w:rPr>
                <w:sz w:val="24"/>
                <w:szCs w:val="24"/>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weighted-average number of units outstanding</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899,160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899,160</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420" w:type="dxa"/>
            <w:vAlign w:val="bottom"/>
            <w:tcBorders>
              <w:top w:val="single" w:sz="8" w:color="CCEEFF"/>
            </w:tcBorders>
          </w:tcPr>
          <w:p>
            <w:pPr>
              <w:ind w:left="4040"/>
              <w:spacing w:after="0"/>
              <w:rPr>
                <w:sz w:val="20"/>
                <w:szCs w:val="20"/>
                <w:color w:val="auto"/>
              </w:rPr>
            </w:pPr>
            <w:r>
              <w:rPr>
                <w:rFonts w:ascii="Arial" w:cs="Arial" w:eastAsia="Arial" w:hAnsi="Arial"/>
                <w:sz w:val="18"/>
                <w:szCs w:val="18"/>
                <w:color w:val="auto"/>
              </w:rPr>
              <w:t>F-19</w:t>
            </w: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6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-4105275</wp:posOffset>
            </wp:positionV>
            <wp:extent cx="857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-4105275</wp:posOffset>
            </wp:positionV>
            <wp:extent cx="431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8" w:name="page159"/>
    <w:bookmarkEnd w:id="158"/>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WM HOLDING COMPANY, LLC AND SUBSIDIARIES INTERIM CONDENSED CONSOLIDATED STATEMENTS OF MEMBERS’ EQUITY (Unaudited) </w:t>
      </w:r>
      <w:r>
        <w:rPr>
          <w:rFonts w:ascii="Arial" w:cs="Arial" w:eastAsia="Arial" w:hAnsi="Arial"/>
          <w:sz w:val="18"/>
          <w:szCs w:val="18"/>
          <w:color w:val="auto"/>
        </w:rPr>
        <w:t>(In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0"/>
              </w:rPr>
              <w:t>Class A-1</w:t>
            </w:r>
          </w:p>
        </w:tc>
        <w:tc>
          <w:tcPr>
            <w:tcW w:w="8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Class A-2</w:t>
            </w:r>
          </w:p>
        </w:tc>
        <w:tc>
          <w:tcPr>
            <w:tcW w:w="7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9"/>
              </w:rPr>
              <w:t>Class A-3/B</w:t>
            </w:r>
          </w:p>
        </w:tc>
        <w:tc>
          <w:tcPr>
            <w:tcW w:w="140" w:type="dxa"/>
            <w:vAlign w:val="bottom"/>
          </w:tcPr>
          <w:p>
            <w:pPr>
              <w:spacing w:after="0"/>
              <w:rPr>
                <w:sz w:val="14"/>
                <w:szCs w:val="14"/>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4"/>
                <w:szCs w:val="14"/>
                <w:color w:val="auto"/>
              </w:rPr>
            </w:pPr>
          </w:p>
        </w:tc>
        <w:tc>
          <w:tcPr>
            <w:tcW w:w="20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Units</w:t>
            </w: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Units</w:t>
            </w:r>
          </w:p>
        </w:tc>
        <w:tc>
          <w:tcPr>
            <w:tcW w:w="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Units</w:t>
            </w:r>
          </w:p>
        </w:tc>
        <w:tc>
          <w:tcPr>
            <w:tcW w:w="14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5"/>
              </w:rPr>
              <w:t>earnings</w:t>
            </w:r>
          </w:p>
        </w:tc>
        <w:tc>
          <w:tcPr>
            <w:tcW w:w="140" w:type="dxa"/>
            <w:vAlign w:val="bottom"/>
          </w:tcPr>
          <w:p>
            <w:pPr>
              <w:spacing w:after="0"/>
              <w:rPr>
                <w:sz w:val="16"/>
                <w:szCs w:val="16"/>
                <w:color w:val="auto"/>
              </w:rPr>
            </w:pPr>
          </w:p>
        </w:tc>
        <w:tc>
          <w:tcPr>
            <w:tcW w:w="20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26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1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16,865</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9,862</w:t>
            </w:r>
          </w:p>
        </w:tc>
        <w:tc>
          <w:tcPr>
            <w:tcW w:w="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29,271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(9,913)</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(10,513)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Class B Units</w:t>
            </w:r>
          </w:p>
        </w:tc>
        <w:tc>
          <w:tcPr>
            <w:tcW w:w="13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7,731</w:t>
            </w:r>
          </w:p>
        </w:tc>
        <w:tc>
          <w:tcPr>
            <w:tcW w:w="6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7,731</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March 31, 2021</w:t>
            </w:r>
          </w:p>
        </w:tc>
        <w:tc>
          <w:tcPr>
            <w:tcW w:w="1340" w:type="dxa"/>
            <w:vAlign w:val="bottom"/>
            <w:tcBorders>
              <w:bottom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2,212</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16,597</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$ 7,574</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$ 26,383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40" w:type="dxa"/>
            <w:vAlign w:val="bottom"/>
            <w:gridSpan w:val="5"/>
          </w:tcPr>
          <w:p>
            <w:pPr>
              <w:ind w:left="780"/>
              <w:spacing w:after="0"/>
              <w:rPr>
                <w:sz w:val="20"/>
                <w:szCs w:val="20"/>
                <w:color w:val="auto"/>
              </w:rPr>
            </w:pPr>
            <w:r>
              <w:rPr>
                <w:rFonts w:ascii="Arial" w:cs="Arial" w:eastAsia="Arial" w:hAnsi="Arial"/>
                <w:sz w:val="18"/>
                <w:szCs w:val="18"/>
                <w:color w:val="auto"/>
              </w:rPr>
              <w:t>F-20</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5629275</wp:posOffset>
            </wp:positionH>
            <wp:positionV relativeFrom="paragraph">
              <wp:posOffset>-1464945</wp:posOffset>
            </wp:positionV>
            <wp:extent cx="857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5149215</wp:posOffset>
            </wp:positionH>
            <wp:positionV relativeFrom="paragraph">
              <wp:posOffset>-1464945</wp:posOffset>
            </wp:positionV>
            <wp:extent cx="857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-1464945</wp:posOffset>
            </wp:positionV>
            <wp:extent cx="857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-1464945</wp:posOffset>
            </wp:positionV>
            <wp:extent cx="857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-1464945</wp:posOffset>
            </wp:positionV>
            <wp:extent cx="431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9" w:name="page160"/>
    <w:bookmarkEnd w:id="159"/>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line="275" w:lineRule="auto"/>
        <w:rPr>
          <w:sz w:val="20"/>
          <w:szCs w:val="20"/>
          <w:color w:val="auto"/>
        </w:rPr>
      </w:pPr>
      <w:r>
        <w:rPr>
          <w:rFonts w:ascii="Arial" w:cs="Arial" w:eastAsia="Arial" w:hAnsi="Arial"/>
          <w:sz w:val="18"/>
          <w:szCs w:val="18"/>
          <w:b w:val="1"/>
          <w:bCs w:val="1"/>
          <w:color w:val="auto"/>
        </w:rPr>
        <w:t xml:space="preserve">WM HOLDING COMPANY, LLC AND SUBSIDIARIES INTERIM CONDENSED CONSOLIDATED STATEMENTS OF CASH FLOWS (Unaudited) </w:t>
      </w:r>
      <w:r>
        <w:rPr>
          <w:rFonts w:ascii="Arial" w:cs="Arial" w:eastAsia="Arial" w:hAnsi="Arial"/>
          <w:sz w:val="18"/>
          <w:szCs w:val="18"/>
          <w:color w:val="auto"/>
        </w:rPr>
        <w:t>(In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80" w:type="dxa"/>
            <w:vAlign w:val="bottom"/>
            <w:gridSpan w:val="10"/>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7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64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$ 3,809</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7,731</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999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1,002</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1,875</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gridSpan w:val="4"/>
          </w:tcPr>
          <w:p>
            <w:pPr>
              <w:jc w:val="right"/>
              <w:ind w:righ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1,578</w:t>
            </w: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578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4,896</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10,587</w:t>
            </w:r>
          </w:p>
        </w:tc>
        <w:tc>
          <w:tcPr>
            <w:tcW w:w="16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3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(283)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3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Distributions to members</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(3,123)</w:t>
            </w:r>
          </w:p>
        </w:tc>
        <w:tc>
          <w:tcPr>
            <w:tcW w:w="140" w:type="dxa"/>
            <w:vAlign w:val="bottom"/>
          </w:tcPr>
          <w:p>
            <w:pPr>
              <w:spacing w:after="0"/>
              <w:rPr>
                <w:sz w:val="23"/>
                <w:szCs w:val="23"/>
                <w:color w:val="auto"/>
              </w:rPr>
            </w:pPr>
          </w:p>
        </w:tc>
        <w:tc>
          <w:tcPr>
            <w:tcW w:w="980" w:type="dxa"/>
            <w:vAlign w:val="bottom"/>
            <w:gridSpan w:val="5"/>
          </w:tcPr>
          <w:p>
            <w:pPr>
              <w:jc w:val="right"/>
              <w:ind w:right="120"/>
              <w:spacing w:after="0"/>
              <w:rPr>
                <w:sz w:val="20"/>
                <w:szCs w:val="20"/>
                <w:color w:val="auto"/>
              </w:rPr>
            </w:pPr>
            <w:r>
              <w:rPr>
                <w:rFonts w:ascii="Arial" w:cs="Arial" w:eastAsia="Arial" w:hAnsi="Arial"/>
                <w:sz w:val="18"/>
                <w:szCs w:val="18"/>
                <w:color w:val="auto"/>
              </w:rPr>
              <w:t>(10,513)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Class B Units</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(3,213)</w:t>
            </w:r>
          </w:p>
        </w:tc>
        <w:tc>
          <w:tcPr>
            <w:tcW w:w="140" w:type="dxa"/>
            <w:vAlign w:val="bottom"/>
          </w:tcPr>
          <w:p>
            <w:pPr>
              <w:spacing w:after="0"/>
              <w:rPr>
                <w:sz w:val="23"/>
                <w:szCs w:val="23"/>
                <w:color w:val="auto"/>
              </w:rPr>
            </w:pPr>
          </w:p>
        </w:tc>
        <w:tc>
          <w:tcPr>
            <w:tcW w:w="980" w:type="dxa"/>
            <w:vAlign w:val="bottom"/>
            <w:gridSpan w:val="5"/>
          </w:tcPr>
          <w:p>
            <w:pPr>
              <w:jc w:val="right"/>
              <w:ind w:right="120"/>
              <w:spacing w:after="0"/>
              <w:rPr>
                <w:sz w:val="20"/>
                <w:szCs w:val="20"/>
                <w:color w:val="auto"/>
              </w:rPr>
            </w:pPr>
            <w:r>
              <w:rPr>
                <w:rFonts w:ascii="Arial" w:cs="Arial" w:eastAsia="Arial" w:hAnsi="Arial"/>
                <w:sz w:val="18"/>
                <w:szCs w:val="18"/>
                <w:color w:val="auto"/>
              </w:rPr>
              <w:t>(10,619)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300" w:type="dxa"/>
            <w:vAlign w:val="bottom"/>
          </w:tcPr>
          <w:p>
            <w:pPr>
              <w:spacing w:after="0"/>
              <w:rPr>
                <w:sz w:val="24"/>
                <w:szCs w:val="24"/>
                <w:color w:val="auto"/>
              </w:rPr>
            </w:pPr>
          </w:p>
        </w:tc>
        <w:tc>
          <w:tcPr>
            <w:tcW w:w="6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increase in cash</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1,482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(315)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4,968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19,919</w:t>
            </w:r>
          </w:p>
        </w:tc>
        <w:tc>
          <w:tcPr>
            <w:tcW w:w="16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CASH – end of period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$ 6,450</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19,604</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40" w:type="dxa"/>
            <w:vAlign w:val="bottom"/>
            <w:vMerge w:val="restart"/>
          </w:tcPr>
          <w:p>
            <w:pPr>
              <w:ind w:left="4040"/>
              <w:spacing w:after="0"/>
              <w:rPr>
                <w:sz w:val="20"/>
                <w:szCs w:val="20"/>
                <w:color w:val="auto"/>
              </w:rPr>
            </w:pPr>
            <w:r>
              <w:rPr>
                <w:rFonts w:ascii="Arial" w:cs="Arial" w:eastAsia="Arial" w:hAnsi="Arial"/>
                <w:sz w:val="18"/>
                <w:szCs w:val="18"/>
                <w:color w:val="auto"/>
              </w:rPr>
              <w:t>F-21</w:t>
            </w: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5466715</wp:posOffset>
            </wp:positionH>
            <wp:positionV relativeFrom="paragraph">
              <wp:posOffset>-5476875</wp:posOffset>
            </wp:positionV>
            <wp:extent cx="857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-5476875</wp:posOffset>
            </wp:positionV>
            <wp:extent cx="431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0" w:name="page161"/>
    <w:bookmarkEnd w:id="16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left="600" w:hanging="308"/>
        <w:spacing w:after="0"/>
        <w:tabs>
          <w:tab w:leader="none" w:pos="6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Organization</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WM Holding Company, LLC, a Delaware limited liability company, and its subsidiaries (the “Company”), is a technology and software infrastructure provider to retailers and brands in the U.S. state-legal and Canadian cannabis markets. The Company also provides information on the cannabis plant and the industry and advocates for legalization. The Weedmaps listings marketplace provides consumers with information regarding cannabis retailers and brands, as well as the strain, pricing, and other information regarding locally available cannabis products, through the Company’s website and mobile apps, permitting product discovery and reservation of products for pickup by consumers or delivery to consumers by participating retailers. The Company sells its offerings in the United States and Canada, and the Company has a limited number of non-monetized listings in several international countries including Austria, Germany, the Netherlands, Spain, and Switzerland. Through December 31, 2020, the Company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we imposed regardless of whether the proposed order was canceled or completed. As of January 1, 2021, the Company migrated all standard listing subscription clients to our new WM Business subscription package. Under this new subscription package, all retailers continue to receive access to a standard listing page and SaaS solutions. In addition, the Company began including access to WM Dashboard and eliminated the technology services fee on delivery orders as part of the transition to the new WM Business subscription package. The Company operates in the United States, Canada, and other foreign jurisdictions where medical and/or adult use cannabis is legal under state or applicable national law. The Company is headquartered in Irvine, California.</w:t>
      </w:r>
    </w:p>
    <w:p>
      <w:pPr>
        <w:spacing w:after="0" w:line="235" w:lineRule="exact"/>
        <w:rPr>
          <w:sz w:val="20"/>
          <w:szCs w:val="20"/>
          <w:color w:val="auto"/>
        </w:rPr>
      </w:pPr>
    </w:p>
    <w:p>
      <w:pPr>
        <w:ind w:left="640" w:hanging="348"/>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accounting principles generally accepted in the United States of America (“GAAP”) in all material respects, and have been consistently applied in preparing the accompanying consolidated financial statements.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accounting principles generally accepted in the United States of America (“GAAP”) for interim financial information. Accordingly, certain information and footnotes required by U.S. GAAP in annual financial statements have been omitted or condensed and these interim financial statements should be read in conjunction with our audited financial statements elsewhere in this prospectus. The condensed interim financial statements of the Company include all adjustments of a normal recurring nature which, in the opinion of management, are necessary for a fair statement of the Company’s financial position as of March 31, 2021, and results of its operations and its cash flows for the interim periods presented. The results of operations for the three months ended March 31, 2021 are not necessarily indicative of the results to be expected for the entire year. There have been no significant changes in our accounting policies from those described in our audited consolidated financial statements and the related notes to those statements, other than the adoption of the lease accounting guidance.</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interim condensed consolidated financial statements include the accounts of WM Holding Company, LLC and its subsidiaries, GMG Holdco, Inc., Weedmaps Media, LLC (“Weedmaps”), Ghost Management Group, LLC, WM Canada Holdings, Inc., WM Enterprise, LLC, WM Marketplace, LLC, Weedmaps Spain, S.LU., WM Retail, LLC, Grow One Software (Canada), Inc., Discovery Opco, LLC, WM Museum, LLC, WM Teal, LLC and Weedmaps Germany GmbH. All significant intercompany balance and transactions have been eliminated upon consolidation.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months ended March 31, 2020 and 2021.</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preparation of interim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8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revenue recognition, stock-based compensation, and the recognition and disclosure of contingent liabilities.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Accounts receivable is recorded at the invoiced amount and does not bear interest. The allowance for doubtful accounts is the Company’s best estimate of the amount of probable credit losses in existing accounts receivable. The allowance for doubtful accounts is reviewed on a monthly basis and we reserve for all balance in outstanding in excess of ninety days. Account balances are written off against the allowance when it is determined that it is probable that the receivable will not be recovered. The Company recorded a total allowance of bad debt of $675,000 as of the three months ended March 31, 2021.</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Company’s revenues are derived primarily from monthly subscriptions and additional offerings for access to the Company’s Weedmaps platform and our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6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The Company may also provide services to its customers, including access to the Company’s orders functionality, which are recognized at a point in time, typically when an order for delivery or pickup is submitted. The Company rarely needs to allocate the transaction price to separate performance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1300" w:right="1300"/>
        <w:spacing w:after="0" w:line="311" w:lineRule="auto"/>
        <w:rPr>
          <w:sz w:val="20"/>
          <w:szCs w:val="20"/>
          <w:color w:val="auto"/>
        </w:rPr>
      </w:pPr>
      <w:r>
        <w:rPr>
          <w:rFonts w:ascii="Arial" w:cs="Arial" w:eastAsia="Arial" w:hAnsi="Arial"/>
          <w:sz w:val="16"/>
          <w:szCs w:val="16"/>
          <w:color w:val="auto"/>
        </w:rPr>
        <w:t>obligations. In the rare case that allocation of the transaction price is needed, the Company recognizes revenue in proportion to the standalone selling prices of the underlying services at contract inception. Starting on January 1, 2021, the Company eliminated the technology services fee charge related to the Company’s orders functionality.</w:t>
      </w:r>
    </w:p>
    <w:p>
      <w:pPr>
        <w:spacing w:after="0" w:line="41" w:lineRule="exact"/>
        <w:rPr>
          <w:sz w:val="20"/>
          <w:szCs w:val="20"/>
          <w:color w:val="auto"/>
        </w:rPr>
      </w:pPr>
    </w:p>
    <w:p>
      <w:pPr>
        <w:jc w:val="both"/>
        <w:ind w:left="1300" w:right="1300" w:firstLine="360"/>
        <w:spacing w:after="0" w:line="272" w:lineRule="auto"/>
        <w:rPr>
          <w:sz w:val="20"/>
          <w:szCs w:val="20"/>
          <w:color w:val="auto"/>
        </w:rPr>
      </w:pPr>
      <w:r>
        <w:rPr>
          <w:rFonts w:ascii="Arial" w:cs="Arial" w:eastAsia="Arial" w:hAnsi="Arial"/>
          <w:sz w:val="17"/>
          <w:szCs w:val="17"/>
          <w:color w:val="auto"/>
        </w:rPr>
        <w:t>Deferred revenue primarily consists of billings or payments received in advance of revenue recognition from subscription offerings, as described above, and is recognized as the revenue recognition criteria are met. The prior year deferred revenue balance of $5.3 million was fully recognized in the first quarter of fiscal year 2021, and the current period deferred revenue balance of $6.2 million is expected to be recognized in 2021, which is expected to be within the next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69" w:lineRule="exact"/>
        <w:rPr>
          <w:sz w:val="20"/>
          <w:szCs w:val="20"/>
          <w:color w:val="auto"/>
        </w:rPr>
      </w:pPr>
    </w:p>
    <w:p>
      <w:pPr>
        <w:jc w:val="both"/>
        <w:ind w:left="1300" w:right="1320" w:firstLine="360"/>
        <w:spacing w:after="0" w:line="277" w:lineRule="auto"/>
        <w:rPr>
          <w:sz w:val="20"/>
          <w:szCs w:val="20"/>
          <w:color w:val="auto"/>
        </w:rPr>
      </w:pPr>
      <w:r>
        <w:rPr>
          <w:rFonts w:ascii="Arial" w:cs="Arial" w:eastAsia="Arial" w:hAnsi="Arial"/>
          <w:sz w:val="18"/>
          <w:szCs w:val="18"/>
          <w:color w:val="auto"/>
        </w:rPr>
        <w:t>The following table summarizes the Company’s disaggregated net revenue information for the three months ended March 31, 2021 and 2020 (in thousands):</w:t>
      </w:r>
    </w:p>
    <w:p>
      <w:pPr>
        <w:spacing w:after="0" w:line="121"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2021</w:t>
            </w:r>
          </w:p>
        </w:tc>
      </w:tr>
      <w:tr>
        <w:trPr>
          <w:trHeight w:val="53"/>
        </w:trPr>
        <w:tc>
          <w:tcPr>
            <w:tcW w:w="70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331"/>
        </w:trPr>
        <w:tc>
          <w:tcPr>
            <w:tcW w:w="706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Revenues recognized over time</w:t>
            </w:r>
            <w:r>
              <w:rPr>
                <w:rFonts w:ascii="Arial" w:cs="Arial" w:eastAsia="Arial" w:hAnsi="Arial"/>
                <w:sz w:val="29"/>
                <w:szCs w:val="29"/>
                <w:color w:val="auto"/>
                <w:vertAlign w:val="superscript"/>
              </w:rPr>
              <w:t>(1)</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$31,366</w:t>
            </w:r>
          </w:p>
        </w:tc>
        <w:tc>
          <w:tcPr>
            <w:tcW w:w="16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$41,154</w:t>
            </w:r>
          </w:p>
        </w:tc>
      </w:tr>
      <w:tr>
        <w:trPr>
          <w:trHeight w:val="257"/>
        </w:trPr>
        <w:tc>
          <w:tcPr>
            <w:tcW w:w="7060" w:type="dxa"/>
            <w:vAlign w:val="bottom"/>
          </w:tcPr>
          <w:p>
            <w:pPr>
              <w:spacing w:after="0" w:line="256" w:lineRule="exact"/>
              <w:rPr>
                <w:sz w:val="20"/>
                <w:szCs w:val="20"/>
                <w:color w:val="auto"/>
              </w:rPr>
            </w:pPr>
            <w:r>
              <w:rPr>
                <w:rFonts w:ascii="Arial" w:cs="Arial" w:eastAsia="Arial" w:hAnsi="Arial"/>
                <w:sz w:val="18"/>
                <w:szCs w:val="18"/>
                <w:color w:val="auto"/>
              </w:rPr>
              <w:t>Revenues recognized at a point in time</w:t>
            </w:r>
            <w:r>
              <w:rPr>
                <w:rFonts w:ascii="Arial" w:cs="Arial" w:eastAsia="Arial" w:hAnsi="Arial"/>
                <w:sz w:val="29"/>
                <w:szCs w:val="29"/>
                <w:color w:val="auto"/>
                <w:vertAlign w:val="superscript"/>
              </w:rPr>
              <w:t>(2)</w:t>
            </w:r>
          </w:p>
        </w:tc>
        <w:tc>
          <w:tcPr>
            <w:tcW w:w="600" w:type="dxa"/>
            <w:vAlign w:val="bottom"/>
          </w:tcPr>
          <w:p>
            <w:pPr>
              <w:jc w:val="right"/>
              <w:spacing w:after="0"/>
              <w:rPr>
                <w:sz w:val="20"/>
                <w:szCs w:val="20"/>
                <w:color w:val="auto"/>
              </w:rPr>
            </w:pPr>
            <w:r>
              <w:rPr>
                <w:rFonts w:ascii="Arial" w:cs="Arial" w:eastAsia="Arial" w:hAnsi="Arial"/>
                <w:sz w:val="18"/>
                <w:szCs w:val="18"/>
                <w:color w:val="auto"/>
              </w:rPr>
              <w:t>844</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7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18"/>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32,210</w:t>
            </w:r>
          </w:p>
        </w:tc>
        <w:tc>
          <w:tcPr>
            <w:tcW w:w="16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41,154</w:t>
            </w:r>
          </w:p>
        </w:tc>
      </w:tr>
      <w:tr>
        <w:trPr>
          <w:trHeight w:val="27"/>
        </w:trPr>
        <w:tc>
          <w:tcPr>
            <w:tcW w:w="70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right w:val="single" w:sz="8" w:color="CCEEFF"/>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5689600</wp:posOffset>
            </wp:positionH>
            <wp:positionV relativeFrom="paragraph">
              <wp:posOffset>-685165</wp:posOffset>
            </wp:positionV>
            <wp:extent cx="1028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-685165</wp:posOffset>
            </wp:positionV>
            <wp:extent cx="514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1640" w:hanging="348"/>
        <w:spacing w:after="0"/>
        <w:tabs>
          <w:tab w:leader="none" w:pos="16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spacing w:after="0" w:line="41" w:lineRule="exact"/>
        <w:rPr>
          <w:rFonts w:ascii="Arial" w:cs="Arial" w:eastAsia="Arial" w:hAnsi="Arial"/>
          <w:sz w:val="14"/>
          <w:szCs w:val="14"/>
          <w:color w:val="auto"/>
        </w:rPr>
      </w:pPr>
    </w:p>
    <w:p>
      <w:pPr>
        <w:ind w:left="1640" w:hanging="348"/>
        <w:spacing w:after="0"/>
        <w:tabs>
          <w:tab w:leader="none" w:pos="16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10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following table summarizes the Company’s U.S. and foreign revenues for the three months ended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March 31, 2021 and 2020 (in thousands):</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2021</w:t>
            </w:r>
          </w:p>
        </w:tc>
      </w:tr>
      <w:tr>
        <w:trPr>
          <w:trHeight w:val="53"/>
        </w:trPr>
        <w:tc>
          <w:tcPr>
            <w:tcW w:w="70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311"/>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revenues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$26,047</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$41,154</w:t>
            </w: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Foreign revenues</w:t>
            </w:r>
          </w:p>
        </w:tc>
        <w:tc>
          <w:tcPr>
            <w:tcW w:w="600" w:type="dxa"/>
            <w:vAlign w:val="bottom"/>
          </w:tcPr>
          <w:p>
            <w:pPr>
              <w:jc w:val="right"/>
              <w:spacing w:after="0"/>
              <w:rPr>
                <w:sz w:val="20"/>
                <w:szCs w:val="20"/>
                <w:color w:val="auto"/>
              </w:rPr>
            </w:pPr>
            <w:r>
              <w:rPr>
                <w:rFonts w:ascii="Arial" w:cs="Arial" w:eastAsia="Arial" w:hAnsi="Arial"/>
                <w:sz w:val="18"/>
                <w:szCs w:val="18"/>
                <w:color w:val="auto"/>
              </w:rPr>
              <w:t>6,163</w:t>
            </w: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7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04"/>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$32,210</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$41,154</w:t>
            </w:r>
          </w:p>
        </w:tc>
      </w:tr>
      <w:tr>
        <w:trPr>
          <w:trHeight w:val="324"/>
        </w:trPr>
        <w:tc>
          <w:tcPr>
            <w:tcW w:w="7060" w:type="dxa"/>
            <w:vAlign w:val="bottom"/>
          </w:tcPr>
          <w:p>
            <w:pPr>
              <w:ind w:left="360"/>
              <w:spacing w:after="0"/>
              <w:rPr>
                <w:sz w:val="20"/>
                <w:szCs w:val="20"/>
                <w:color w:val="auto"/>
              </w:rPr>
            </w:pPr>
            <w:r>
              <w:rPr>
                <w:rFonts w:ascii="Arial" w:cs="Arial" w:eastAsia="Arial" w:hAnsi="Arial"/>
                <w:sz w:val="18"/>
                <w:szCs w:val="18"/>
                <w:color w:val="auto"/>
              </w:rPr>
              <w:t>All foreign revenues were generated in Canada.</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5689600</wp:posOffset>
            </wp:positionH>
            <wp:positionV relativeFrom="paragraph">
              <wp:posOffset>-839470</wp:posOffset>
            </wp:positionV>
            <wp:extent cx="1028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-839470</wp:posOffset>
            </wp:positionV>
            <wp:extent cx="514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3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300" w:right="1300" w:firstLine="360"/>
        <w:spacing w:after="0" w:line="270" w:lineRule="auto"/>
        <w:rPr>
          <w:sz w:val="20"/>
          <w:szCs w:val="20"/>
          <w:color w:val="auto"/>
        </w:rPr>
      </w:pPr>
      <w:r>
        <w:rPr>
          <w:rFonts w:ascii="Arial" w:cs="Arial" w:eastAsia="Arial" w:hAnsi="Arial"/>
          <w:sz w:val="17"/>
          <w:szCs w:val="17"/>
          <w:color w:val="auto"/>
        </w:rPr>
        <w:t>Other than for the Company’s foreign subsidiaries that are subject to their jurisdictions income tax laws, the remaining subsidiaries, as well as the holding entity, are not subject to income tax, with the members of the Company including their respective share of the Company’s profits and losses in their individual income tax returns. For the three months ended March 31, 2021, the Company recorded a provision for income taxes of approximately $241,000 in the accompanying statements of operations, related to additional income taxes owed by the Company as a result of an audit performed by the Canada Revenue Agency on prior years income taxes paid by the Company’s wholly owned subsidiary, WM Canada Holdings, Inc. There were no other material income tax liabilities related to the foreign subsidiaries for the three months ended March 31, 2020 and 2021, and therefore no additional provision for income taxes was recorded.</w:t>
      </w:r>
    </w:p>
    <w:p>
      <w:pPr>
        <w:spacing w:after="0" w:line="73" w:lineRule="exact"/>
        <w:rPr>
          <w:sz w:val="20"/>
          <w:szCs w:val="20"/>
          <w:color w:val="auto"/>
        </w:rPr>
      </w:pPr>
    </w:p>
    <w:p>
      <w:pPr>
        <w:jc w:val="both"/>
        <w:ind w:left="1300" w:right="1300" w:firstLine="360"/>
        <w:spacing w:after="0" w:line="277" w:lineRule="auto"/>
        <w:rPr>
          <w:sz w:val="20"/>
          <w:szCs w:val="20"/>
          <w:color w:val="auto"/>
        </w:rPr>
      </w:pPr>
      <w:r>
        <w:rPr>
          <w:rFonts w:ascii="Arial" w:cs="Arial" w:eastAsia="Arial" w:hAnsi="Arial"/>
          <w:sz w:val="18"/>
          <w:szCs w:val="18"/>
          <w:color w:val="auto"/>
        </w:rPr>
        <w:t>The components of income (loss) before income taxes for the three months ended March 31, 2021 and 2020 were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31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$3,817</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$8,011</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Foreign</w:t>
            </w:r>
          </w:p>
        </w:tc>
        <w:tc>
          <w:tcPr>
            <w:tcW w:w="37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Net income (loss) before provision for income taxes</w:t>
            </w:r>
          </w:p>
        </w:tc>
        <w:tc>
          <w:tcPr>
            <w:tcW w:w="3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$3,809</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$7,972</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F-24</w:t>
            </w: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5655310</wp:posOffset>
            </wp:positionH>
            <wp:positionV relativeFrom="paragraph">
              <wp:posOffset>-1036320</wp:posOffset>
            </wp:positionV>
            <wp:extent cx="15430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-1036320</wp:posOffset>
            </wp:positionV>
            <wp:extent cx="774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3" w:name="page164"/>
    <w:bookmarkEnd w:id="16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While electing Limited Liability Company status, the Company does not believe it has any uncertain income tax positions that are more likely than not to materially affect its consolidated financial statements. The Company’s federal and state income tax returns remain open to agency examination for the standard statutory length of time after filing.</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Company’s cost of revenue primarily consists of web hosting, internet service costs, and credit card processing costs.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expenses the cost of all advertising in the period incurred. Advertising expense totaled $3.0 million and $1.7 million, for the three months ended March 31, 2021 and 2020, respectively, and are included in sales and marketing expense in the accompanying consolidated statements of operations.</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Political Contributions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expenses the cost of all political contributions in the period incurred. Political contributions totaled $30,000 and $155,000, for the three months ended March 31, 2021 and 2020, respectively, and are included in other expense in the accompanying consolidated statements of operations.</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Company measures all employee stock-based compensation awards on the date of grant using the Black-Scholes-Merton valuation model and allocates the related expense over the requisite service period. When awards include a performance condition that impacts the vesting for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has accounted for the issuance of Class A-3 and Class B Units in accordance with ASC 718, Stock Based Compensation. The Company considers the limitation on the exercisability of the Class A-3 and Class B Units to be a performance condition and, therefore, records compensation cost when it becomes probable that the performance condition will be met. As of March 31, 2021, no compensation cost has been recorded in connection with the issuance of the Class A-3 and Class B Units as management did not believe that achievement of the performance condition was probable.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4" w:name="page165"/>
    <w:bookmarkEnd w:id="16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of March 31, 2021, the total unrecognized compensation expense related to Class A-3 and Class B Units was $13.2 million.</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Earnings Per Unit</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All Class A Units including Class A-1, Class A-2 and Class A-3 Units have been included in the calculations for earnings per unit as of March 31, 2021 and 2020 primarily due to their voting and distribution rights. Since Class B Units had no voting, distribution, or dividend rights and were subject to exercise limitations, such units have been excluded from the calculations for earnings per unit as of March 31, 2021 and 2020. No other dilutive instruments were outstanding as of March 31, 2021 and 2020.</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Effective January 1, 2021, the Company accounts for its leases under ASC 842, </w:t>
      </w:r>
      <w:r>
        <w:rPr>
          <w:rFonts w:ascii="Arial" w:cs="Arial" w:eastAsia="Arial" w:hAnsi="Arial"/>
          <w:sz w:val="17"/>
          <w:szCs w:val="17"/>
          <w:i w:val="1"/>
          <w:iCs w:val="1"/>
          <w:color w:val="auto"/>
        </w:rPr>
        <w:t>Leases</w:t>
      </w:r>
      <w:r>
        <w:rPr>
          <w:rFonts w:ascii="Arial" w:cs="Arial" w:eastAsia="Arial" w:hAnsi="Arial"/>
          <w:sz w:val="17"/>
          <w:szCs w:val="17"/>
          <w:color w:val="auto"/>
        </w:rPr>
        <w:t>. Under this guidance, lessees classify arrangements meeting the definition of a lease as operating or financing leases, and leases are recorded on the consolidated balance sheet as both a right-of-use asset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7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Company continues to account for leases in the prior period financial statements under ASC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 right-of-use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accumulated deficit.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6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GAAP when it becomes effective and permits the use of either a full retrospective or retrospective with cumulative effect transition method. The Company used the modified retrospective method of adoption, which would require the cumulative effect of initially applying the new revenue standard as an adjustment to the opening balance of retained earnings 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5" w:name="page166"/>
    <w:bookmarkEnd w:id="165"/>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1300" w:right="1300"/>
        <w:spacing w:after="0" w:line="296" w:lineRule="auto"/>
        <w:rPr>
          <w:sz w:val="20"/>
          <w:szCs w:val="20"/>
          <w:color w:val="auto"/>
        </w:rPr>
      </w:pPr>
      <w:r>
        <w:rPr>
          <w:rFonts w:ascii="Arial" w:cs="Arial" w:eastAsia="Arial" w:hAnsi="Arial"/>
          <w:sz w:val="16"/>
          <w:szCs w:val="16"/>
          <w:color w:val="auto"/>
        </w:rPr>
        <w:t>January 1, 2020. Comparative prior year periods would not be adjusted. The new accounting standard was applied to all contracts at the date of initial application. There was no cumulative effect of applying the new revenue standard to contracts executed in prior periods. As such, the adoption of the new accounting standard had no impact on the balance sheet and statement of operations in the current or prior periods. As such, the adoption of the new accounting standard had no impact on the balance sheet and statement of operations in the current or prior periods.</w:t>
      </w:r>
    </w:p>
    <w:p>
      <w:pPr>
        <w:spacing w:after="0" w:line="306" w:lineRule="exact"/>
        <w:rPr>
          <w:sz w:val="20"/>
          <w:szCs w:val="20"/>
          <w:color w:val="auto"/>
        </w:rPr>
      </w:pPr>
    </w:p>
    <w:p>
      <w:pPr>
        <w:ind w:left="1600" w:hanging="308"/>
        <w:spacing w:after="0"/>
        <w:tabs>
          <w:tab w:leader="none" w:pos="16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300" w:right="1320" w:firstLine="360"/>
        <w:spacing w:after="0" w:line="308" w:lineRule="auto"/>
        <w:rPr>
          <w:sz w:val="20"/>
          <w:szCs w:val="20"/>
          <w:color w:val="auto"/>
        </w:rPr>
      </w:pPr>
      <w:r>
        <w:rPr>
          <w:rFonts w:ascii="Arial" w:cs="Arial" w:eastAsia="Arial" w:hAnsi="Arial"/>
          <w:sz w:val="17"/>
          <w:szCs w:val="17"/>
          <w:color w:val="auto"/>
        </w:rPr>
        <w:t>The Company leases office space primarily in the United States under lease agreements classified as operating leases. The Company does not act as a lessor or have any leases classified as financing leases.</w:t>
      </w:r>
    </w:p>
    <w:p>
      <w:pPr>
        <w:spacing w:after="0" w:line="38" w:lineRule="exact"/>
        <w:rPr>
          <w:sz w:val="20"/>
          <w:szCs w:val="20"/>
          <w:color w:val="auto"/>
        </w:rPr>
      </w:pPr>
    </w:p>
    <w:p>
      <w:pPr>
        <w:ind w:left="1300" w:right="1300" w:firstLine="360"/>
        <w:spacing w:after="0" w:line="277" w:lineRule="auto"/>
        <w:rPr>
          <w:sz w:val="20"/>
          <w:szCs w:val="20"/>
          <w:color w:val="auto"/>
        </w:rPr>
      </w:pPr>
      <w:r>
        <w:rPr>
          <w:rFonts w:ascii="Arial" w:cs="Arial" w:eastAsia="Arial" w:hAnsi="Arial"/>
          <w:sz w:val="18"/>
          <w:szCs w:val="18"/>
          <w:color w:val="auto"/>
        </w:rPr>
        <w:t>On March 31, 2021, the Company had operating lease liabilities of $48.4 million and right-of-use assets of $42.1 million, in the accompanying condensed consolidated balance sheet.</w:t>
      </w:r>
    </w:p>
    <w:p>
      <w:pPr>
        <w:spacing w:after="0" w:line="62" w:lineRule="exact"/>
        <w:rPr>
          <w:sz w:val="20"/>
          <w:szCs w:val="20"/>
          <w:color w:val="auto"/>
        </w:rPr>
      </w:pPr>
    </w:p>
    <w:p>
      <w:pPr>
        <w:ind w:left="1300" w:right="1320" w:firstLine="360"/>
        <w:spacing w:after="0" w:line="277" w:lineRule="auto"/>
        <w:rPr>
          <w:sz w:val="20"/>
          <w:szCs w:val="20"/>
          <w:color w:val="auto"/>
        </w:rPr>
      </w:pPr>
      <w:r>
        <w:rPr>
          <w:rFonts w:ascii="Arial" w:cs="Arial" w:eastAsia="Arial" w:hAnsi="Arial"/>
          <w:sz w:val="18"/>
          <w:szCs w:val="18"/>
          <w:color w:val="auto"/>
        </w:rPr>
        <w:t>The components of lease related expense for the three months ended March 31, 2021 are as follows (in thousands):</w:t>
      </w:r>
    </w:p>
    <w:p>
      <w:pPr>
        <w:spacing w:after="0" w:line="135"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53"/>
        </w:trPr>
        <w:tc>
          <w:tcPr>
            <w:tcW w:w="79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920" w:type="dxa"/>
            <w:vAlign w:val="bottom"/>
          </w:tcPr>
          <w:p>
            <w:pPr>
              <w:ind w:left="180"/>
              <w:spacing w:after="0"/>
              <w:rPr>
                <w:sz w:val="20"/>
                <w:szCs w:val="20"/>
                <w:color w:val="auto"/>
              </w:rPr>
            </w:pPr>
            <w:r>
              <w:rPr>
                <w:rFonts w:ascii="Arial" w:cs="Arial" w:eastAsia="Arial" w:hAnsi="Arial"/>
                <w:sz w:val="18"/>
                <w:szCs w:val="18"/>
                <w:color w:val="auto"/>
              </w:rPr>
              <w:t>Operating lease cost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$2,391</w:t>
            </w:r>
          </w:p>
        </w:tc>
      </w:tr>
      <w:tr>
        <w:trPr>
          <w:trHeight w:val="54"/>
        </w:trPr>
        <w:tc>
          <w:tcPr>
            <w:tcW w:w="7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Variable lease cost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r>
      <w:tr>
        <w:trPr>
          <w:trHeight w:val="61"/>
        </w:trPr>
        <w:tc>
          <w:tcPr>
            <w:tcW w:w="79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792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480" w:type="dxa"/>
            <w:vAlign w:val="bottom"/>
          </w:tcPr>
          <w:p>
            <w:pPr>
              <w:jc w:val="right"/>
              <w:spacing w:after="0"/>
              <w:rPr>
                <w:sz w:val="20"/>
                <w:szCs w:val="20"/>
                <w:color w:val="auto"/>
              </w:rPr>
            </w:pPr>
            <w:r>
              <w:rPr>
                <w:rFonts w:ascii="Arial" w:cs="Arial" w:eastAsia="Arial" w:hAnsi="Arial"/>
                <w:sz w:val="18"/>
                <w:szCs w:val="18"/>
                <w:color w:val="auto"/>
              </w:rPr>
              <w:t>2,902</w:t>
            </w:r>
          </w:p>
        </w:tc>
        <w:tc>
          <w:tcPr>
            <w:tcW w:w="20" w:type="dxa"/>
            <w:vAlign w:val="bottom"/>
          </w:tcPr>
          <w:p>
            <w:pPr>
              <w:spacing w:after="0"/>
              <w:rPr>
                <w:sz w:val="24"/>
                <w:szCs w:val="24"/>
                <w:color w:val="auto"/>
              </w:rPr>
            </w:pPr>
          </w:p>
        </w:tc>
      </w:tr>
      <w:tr>
        <w:trPr>
          <w:trHeight w:val="54"/>
        </w:trPr>
        <w:tc>
          <w:tcPr>
            <w:tcW w:w="7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rent expense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61"/>
        </w:trPr>
        <w:tc>
          <w:tcPr>
            <w:tcW w:w="79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920" w:type="dxa"/>
            <w:vAlign w:val="bottom"/>
          </w:tcPr>
          <w:p>
            <w:pPr>
              <w:spacing w:after="0"/>
              <w:rPr>
                <w:sz w:val="20"/>
                <w:szCs w:val="20"/>
                <w:color w:val="auto"/>
              </w:rPr>
            </w:pPr>
            <w:r>
              <w:rPr>
                <w:rFonts w:ascii="Arial" w:cs="Arial" w:eastAsia="Arial" w:hAnsi="Arial"/>
                <w:sz w:val="18"/>
                <w:szCs w:val="18"/>
                <w:color w:val="auto"/>
              </w:rPr>
              <w:t>Net rent expense</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2,922</w:t>
            </w:r>
          </w:p>
        </w:tc>
      </w:tr>
      <w:tr>
        <w:trPr>
          <w:trHeight w:val="21"/>
        </w:trPr>
        <w:tc>
          <w:tcPr>
            <w:tcW w:w="7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5672455</wp:posOffset>
            </wp:positionH>
            <wp:positionV relativeFrom="paragraph">
              <wp:posOffset>-1276350</wp:posOffset>
            </wp:positionV>
            <wp:extent cx="18034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87" w:lineRule="exact"/>
        <w:rPr>
          <w:sz w:val="20"/>
          <w:szCs w:val="20"/>
          <w:color w:val="auto"/>
        </w:rPr>
      </w:pPr>
    </w:p>
    <w:p>
      <w:pPr>
        <w:ind w:left="1300" w:right="1300" w:firstLine="360"/>
        <w:spacing w:after="0" w:line="277" w:lineRule="auto"/>
        <w:rPr>
          <w:sz w:val="20"/>
          <w:szCs w:val="20"/>
          <w:color w:val="auto"/>
        </w:rPr>
      </w:pPr>
      <w:r>
        <w:rPr>
          <w:rFonts w:ascii="Arial" w:cs="Arial" w:eastAsia="Arial" w:hAnsi="Arial"/>
          <w:sz w:val="18"/>
          <w:szCs w:val="18"/>
          <w:color w:val="auto"/>
        </w:rPr>
        <w:t>The components of supplemental cash flow information related to leases for the three months ended March 31, 2021 are as follows (in thousands):</w:t>
      </w:r>
    </w:p>
    <w:p>
      <w:pPr>
        <w:spacing w:after="0" w:line="121"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2021</w:t>
            </w:r>
          </w:p>
        </w:tc>
      </w:tr>
      <w:tr>
        <w:trPr>
          <w:trHeight w:val="53"/>
        </w:trPr>
        <w:tc>
          <w:tcPr>
            <w:tcW w:w="644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311"/>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cash flows - operating leases</w:t>
            </w:r>
          </w:p>
        </w:tc>
        <w:tc>
          <w:tcPr>
            <w:tcW w:w="1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1,188</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$42,113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5646420</wp:posOffset>
            </wp:positionH>
            <wp:positionV relativeFrom="paragraph">
              <wp:posOffset>-393700</wp:posOffset>
            </wp:positionV>
            <wp:extent cx="15430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28" w:lineRule="exact"/>
        <w:rPr>
          <w:sz w:val="20"/>
          <w:szCs w:val="20"/>
          <w:color w:val="auto"/>
        </w:rPr>
      </w:pPr>
    </w:p>
    <w:p>
      <w:pPr>
        <w:jc w:val="both"/>
        <w:ind w:left="1300" w:right="1320" w:firstLine="360"/>
        <w:spacing w:after="0" w:line="277" w:lineRule="auto"/>
        <w:rPr>
          <w:sz w:val="20"/>
          <w:szCs w:val="20"/>
          <w:color w:val="auto"/>
        </w:rPr>
      </w:pPr>
      <w:r>
        <w:rPr>
          <w:rFonts w:ascii="Arial" w:cs="Arial" w:eastAsia="Arial" w:hAnsi="Arial"/>
          <w:sz w:val="18"/>
          <w:szCs w:val="18"/>
          <w:color w:val="auto"/>
        </w:rPr>
        <w:t>The tables below present information regarding the Company's lease assets and liabilities as of March 31, 2021 (in thousands, except years and percentages):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78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42,113</w:t>
            </w:r>
          </w:p>
        </w:tc>
        <w:tc>
          <w:tcPr>
            <w:tcW w:w="130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7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45"/>
        </w:trPr>
        <w:tc>
          <w:tcPr>
            <w:tcW w:w="1300" w:type="dxa"/>
            <w:vAlign w:val="bottom"/>
          </w:tcPr>
          <w:p>
            <w:pPr>
              <w:spacing w:after="0"/>
              <w:rPr>
                <w:sz w:val="24"/>
                <w:szCs w:val="24"/>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7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60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4,884</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7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3"/>
        </w:trPr>
        <w:tc>
          <w:tcPr>
            <w:tcW w:w="1300" w:type="dxa"/>
            <w:vAlign w:val="bottom"/>
          </w:tcPr>
          <w:p>
            <w:pPr>
              <w:spacing w:after="0"/>
              <w:rPr>
                <w:sz w:val="24"/>
                <w:szCs w:val="24"/>
                <w:color w:val="auto"/>
              </w:rPr>
            </w:pPr>
          </w:p>
        </w:tc>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60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43,558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82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48,442</w:t>
            </w: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60"/>
        </w:trPr>
        <w:tc>
          <w:tcPr>
            <w:tcW w:w="130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spacing w:after="0"/>
              <w:rPr>
                <w:sz w:val="24"/>
                <w:szCs w:val="24"/>
                <w:color w:val="auto"/>
              </w:rPr>
            </w:pPr>
          </w:p>
        </w:tc>
      </w:tr>
      <w:tr>
        <w:trPr>
          <w:trHeight w:val="53"/>
        </w:trPr>
        <w:tc>
          <w:tcPr>
            <w:tcW w:w="1300" w:type="dxa"/>
            <w:vAlign w:val="bottom"/>
          </w:tcPr>
          <w:p>
            <w:pPr>
              <w:spacing w:after="0"/>
              <w:rPr>
                <w:sz w:val="4"/>
                <w:szCs w:val="4"/>
                <w:color w:val="auto"/>
              </w:rPr>
            </w:pPr>
          </w:p>
        </w:tc>
        <w:tc>
          <w:tcPr>
            <w:tcW w:w="78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 operating leases (in years)</w:t>
            </w:r>
          </w:p>
        </w:tc>
        <w:tc>
          <w:tcPr>
            <w:tcW w:w="60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1300" w:type="dxa"/>
            <w:vAlign w:val="bottom"/>
          </w:tcPr>
          <w:p>
            <w:pPr>
              <w:spacing w:after="0"/>
              <w:rPr>
                <w:sz w:val="23"/>
                <w:szCs w:val="23"/>
                <w:color w:val="auto"/>
              </w:rPr>
            </w:pPr>
          </w:p>
        </w:tc>
      </w:tr>
      <w:tr>
        <w:trPr>
          <w:trHeight w:val="486"/>
        </w:trPr>
        <w:tc>
          <w:tcPr>
            <w:tcW w:w="1300" w:type="dxa"/>
            <w:vAlign w:val="bottom"/>
          </w:tcPr>
          <w:p>
            <w:pPr>
              <w:spacing w:after="0"/>
              <w:rPr>
                <w:sz w:val="24"/>
                <w:szCs w:val="24"/>
                <w:color w:val="auto"/>
              </w:rPr>
            </w:pPr>
          </w:p>
        </w:tc>
        <w:tc>
          <w:tcPr>
            <w:tcW w:w="7820" w:type="dxa"/>
            <w:vAlign w:val="bottom"/>
          </w:tcPr>
          <w:p>
            <w:pPr>
              <w:ind w:left="4040"/>
              <w:spacing w:after="0"/>
              <w:rPr>
                <w:sz w:val="20"/>
                <w:szCs w:val="20"/>
                <w:color w:val="auto"/>
              </w:rPr>
            </w:pPr>
            <w:r>
              <w:rPr>
                <w:rFonts w:ascii="Arial" w:cs="Arial" w:eastAsia="Arial" w:hAnsi="Arial"/>
                <w:sz w:val="18"/>
                <w:szCs w:val="18"/>
                <w:color w:val="auto"/>
              </w:rPr>
              <w:t>F-27</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7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5638165</wp:posOffset>
            </wp:positionH>
            <wp:positionV relativeFrom="paragraph">
              <wp:posOffset>-2819400</wp:posOffset>
            </wp:positionV>
            <wp:extent cx="15430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-830580</wp:posOffset>
            </wp:positionV>
            <wp:extent cx="24828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4828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6" w:name="page167"/>
    <w:bookmarkEnd w:id="16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As of March 31, 2021, future minimum payments during the next five years and thereafter are as follows (in thousands):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6"/>
              </w:rPr>
              <w:t>Operating</w:t>
            </w:r>
          </w:p>
        </w:tc>
      </w:tr>
      <w:tr>
        <w:trPr>
          <w:trHeight w:val="186"/>
        </w:trPr>
        <w:tc>
          <w:tcPr>
            <w:tcW w:w="5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Leases</w:t>
            </w:r>
          </w:p>
        </w:tc>
      </w:tr>
      <w:tr>
        <w:trPr>
          <w:trHeight w:val="53"/>
        </w:trPr>
        <w:tc>
          <w:tcPr>
            <w:tcW w:w="548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Period Ended December 31, 2021</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2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9,597</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2023</w:t>
            </w:r>
          </w:p>
        </w:tc>
        <w:tc>
          <w:tcPr>
            <w:tcW w:w="2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Year Ended December 31, 2024</w:t>
            </w:r>
          </w:p>
        </w:tc>
        <w:tc>
          <w:tcPr>
            <w:tcW w:w="2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9,405</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2025</w:t>
            </w:r>
          </w:p>
        </w:tc>
        <w:tc>
          <w:tcPr>
            <w:tcW w:w="2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Thereafter</w:t>
            </w:r>
          </w:p>
        </w:tc>
        <w:tc>
          <w:tcPr>
            <w:tcW w:w="2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29,732</w:t>
            </w:r>
          </w:p>
        </w:tc>
        <w:tc>
          <w:tcPr>
            <w:tcW w:w="80" w:type="dxa"/>
            <w:vAlign w:val="bottom"/>
          </w:tcPr>
          <w:p>
            <w:pPr>
              <w:spacing w:after="0"/>
              <w:rPr>
                <w:sz w:val="23"/>
                <w:szCs w:val="23"/>
                <w:color w:val="auto"/>
              </w:rPr>
            </w:pPr>
          </w:p>
        </w:tc>
      </w:tr>
      <w:tr>
        <w:trPr>
          <w:trHeight w:val="48"/>
        </w:trPr>
        <w:tc>
          <w:tcPr>
            <w:tcW w:w="54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71,491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2940" w:type="dxa"/>
            <w:vAlign w:val="bottom"/>
            <w:gridSpan w:val="4"/>
          </w:tcPr>
          <w:p>
            <w:pPr>
              <w:jc w:val="right"/>
              <w:ind w:right="20"/>
              <w:spacing w:after="0"/>
              <w:rPr>
                <w:sz w:val="20"/>
                <w:szCs w:val="20"/>
                <w:color w:val="auto"/>
              </w:rPr>
            </w:pPr>
            <w:r>
              <w:rPr>
                <w:rFonts w:ascii="Arial" w:cs="Arial" w:eastAsia="Arial" w:hAnsi="Arial"/>
                <w:sz w:val="18"/>
                <w:szCs w:val="18"/>
                <w:color w:val="auto"/>
              </w:rPr>
              <w:t>(23,049)</w:t>
            </w:r>
          </w:p>
        </w:tc>
      </w:tr>
      <w:tr>
        <w:trPr>
          <w:trHeight w:val="48"/>
        </w:trPr>
        <w:tc>
          <w:tcPr>
            <w:tcW w:w="54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48,442</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-1902460</wp:posOffset>
            </wp:positionV>
            <wp:extent cx="1371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Company’s lease agreements do not provide an implicit rate, so the Company used an estimated incremental borrowing rate, which was derived from third-party information available at the time the Company adopted ASC 842, in determining the present value of lease payments. The rate used is for a secured borrowing of a similar term as the leases.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Rent expense for the three months ended March 31, 2021 and 2020 was $2.9 million and $2.0 million, respectively.</w:t>
      </w:r>
    </w:p>
    <w:p>
      <w:pPr>
        <w:spacing w:after="0" w:line="274" w:lineRule="exact"/>
        <w:rPr>
          <w:sz w:val="20"/>
          <w:szCs w:val="20"/>
          <w:color w:val="auto"/>
        </w:rPr>
      </w:pPr>
    </w:p>
    <w:p>
      <w:pPr>
        <w:ind w:left="600" w:hanging="308"/>
        <w:spacing w:after="0"/>
        <w:tabs>
          <w:tab w:leader="none" w:pos="6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Members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assumed four notes payable to the two majority members in connection with the purchase of Weedmaps in 2012. Of the four notes assumed with the purchase, three notes were paid off in full in prior periods; while the remaining balance relates to one note outstanding that bears no interest. One of these notes was paid off in full in 2018, the other paid partially, with the remaining balance due in June 2021. As of March 31, 2021, the principal balance of the note totaled $205,000.</w:t>
      </w:r>
    </w:p>
    <w:p>
      <w:pPr>
        <w:spacing w:after="0" w:line="278" w:lineRule="exact"/>
        <w:rPr>
          <w:sz w:val="20"/>
          <w:szCs w:val="20"/>
          <w:color w:val="auto"/>
        </w:rPr>
      </w:pPr>
    </w:p>
    <w:p>
      <w:pPr>
        <w:ind w:left="600" w:hanging="308"/>
        <w:spacing w:after="0"/>
        <w:tabs>
          <w:tab w:leader="none" w:pos="6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September 2019, the Company received a grand jury subpoena prepared by the United States Attorney’s Office for the Eastern District of California. The subpoena demanded certain categories of information from the Company, some of which the Company has already provided. Management believes that the outcome of such inquiry will not have a material adverse impact of the Company’s financial position, results of operations, or cash flow.</w:t>
      </w:r>
    </w:p>
    <w:p>
      <w:pPr>
        <w:spacing w:after="0" w:line="292" w:lineRule="exact"/>
        <w:rPr>
          <w:sz w:val="20"/>
          <w:szCs w:val="20"/>
          <w:color w:val="auto"/>
        </w:rPr>
      </w:pPr>
    </w:p>
    <w:p>
      <w:pPr>
        <w:ind w:left="600" w:hanging="308"/>
        <w:spacing w:after="0"/>
        <w:tabs>
          <w:tab w:leader="none" w:pos="6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evaluated events subsequent to March 31, 2021 for their potential impact on the consolidated financial statements and disclosures through May 14, 2021, the date the consolidated financial statements were available to be issued.</w:t>
      </w:r>
    </w:p>
    <w:p>
      <w:pPr>
        <w:spacing w:after="0" w:line="76"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With respect to the ongoing and evolving coronavirus (COVID-19) outbreak, which was designated as a pandemic by the World Health Organization on March 11, 2020, the outbreak has caused substantial disruption in international and U.S. economies and markets. The outbreak has potential to have an adverse impact on the manufacturing, distribution, logistics, and technology industries and, if repercussions of the outbreak are prolonged,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7" w:name="page168"/>
    <w:bookmarkEnd w:id="16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could have a significant adverse impact on the cannabis industry and the Company, which could be material. The Company’s management cannot at this point estimate the impact of the outbreak on its business and no provision for this outbreak are reflected in the accompanying financial statements.</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December 10, 2020, the Company announced an agreement for a business combination with Silver Spike Acquisition Corp., a publicly traded special purpose acquisition company, that would result in the Company becoming a publicly traded entity following the close of the transaction. The estimated gross proceeds of the transaction are $575 million made up of $250 million of cash held-in-trust by Silver Spike Acquisition Corp. and an additional $325 million of fully committed common stock from a private investment in public equity. The transaction is estimated to close in the second quarter of fiscal year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Silver Spike Acquisition Corp.</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have audited the accompanying consolidated balance sheets of Silver Spike Acquisition Corp. (the “Company”) as of December 31, 2020 and 2019, the related consolidated statements of operations, changes in shareholders’ equity and cash flows for year ended December 31, 2020 and for the period from June 7, 2019 (inception) through December 31,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 ended December 31, 2020 and for the period from June 7, 2019 (inception) through December 31, 2019, in conformity with accounting principles generally accepted in the United States of America.</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financial statements, the Company’s business plan is dependent on the completion of a business combination and the Company’s cash and working capital as of December 31, 2020 are not sufficient to complete its planned activities.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As discussed in Note 2 , the accompanying financial statements as of December 31, 2020 and 2019 and for the year ended December 31, 2020 and for the period June 7, 2019 (inception) through December 31, 2019, have been restated to correct an error.</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261429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Marcum LLP</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jc w:val="both"/>
        <w:ind w:left="300" w:right="319"/>
        <w:spacing w:after="0" w:line="260" w:lineRule="auto"/>
        <w:rPr>
          <w:sz w:val="20"/>
          <w:szCs w:val="20"/>
          <w:color w:val="auto"/>
        </w:rPr>
      </w:pPr>
      <w:r>
        <w:rPr>
          <w:rFonts w:ascii="Arial" w:cs="Arial" w:eastAsia="Arial" w:hAnsi="Arial"/>
          <w:sz w:val="18"/>
          <w:szCs w:val="18"/>
          <w:color w:val="auto"/>
        </w:rPr>
        <w:t>March 8, 2021, except for the effects of the restatement disclosed in Note 2 to the financial statements, as to which the date is May 12,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9" w:name="page170"/>
    <w:bookmarkEnd w:id="16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Restated)</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5"/>
          </w:tcPr>
          <w:p>
            <w:pPr>
              <w:jc w:val="right"/>
              <w:ind w:right="651"/>
              <w:spacing w:after="0"/>
              <w:rPr>
                <w:sz w:val="20"/>
                <w:szCs w:val="20"/>
                <w:color w:val="auto"/>
              </w:rPr>
            </w:pPr>
            <w:r>
              <w:rPr>
                <w:rFonts w:ascii="Arial" w:cs="Arial" w:eastAsia="Arial" w:hAnsi="Arial"/>
                <w:sz w:val="14"/>
                <w:szCs w:val="14"/>
                <w:b w:val="1"/>
                <w:bCs w:val="1"/>
                <w:color w:val="auto"/>
              </w:rPr>
              <w:t>December 31,</w:t>
            </w:r>
          </w:p>
        </w:tc>
      </w:tr>
      <w:tr>
        <w:trPr>
          <w:trHeight w:val="53"/>
        </w:trPr>
        <w:tc>
          <w:tcPr>
            <w:tcW w:w="6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24"/>
        </w:trPr>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b w:val="1"/>
                <w:bCs w:val="1"/>
                <w:color w:val="auto"/>
              </w:rPr>
              <w:t>2019</w:t>
            </w:r>
          </w:p>
        </w:tc>
      </w:tr>
      <w:tr>
        <w:trPr>
          <w:trHeight w:val="53"/>
        </w:trPr>
        <w:tc>
          <w:tcPr>
            <w:tcW w:w="6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311"/>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312,707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894,589</w:t>
            </w:r>
          </w:p>
        </w:tc>
      </w:tr>
      <w:tr>
        <w:trPr>
          <w:trHeight w:val="257"/>
        </w:trPr>
        <w:tc>
          <w:tcPr>
            <w:tcW w:w="61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257,110</w:t>
            </w:r>
          </w:p>
        </w:tc>
      </w:tr>
      <w:tr>
        <w:trPr>
          <w:trHeight w:val="61"/>
        </w:trPr>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318"/>
        </w:trPr>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343,540</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1,151,699</w:t>
            </w:r>
          </w:p>
        </w:tc>
      </w:tr>
      <w:tr>
        <w:trPr>
          <w:trHeight w:val="324"/>
        </w:trPr>
        <w:tc>
          <w:tcPr>
            <w:tcW w:w="612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r>
      <w:tr>
        <w:trPr>
          <w:trHeight w:val="257"/>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254,187,706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251,924,993</w:t>
            </w:r>
          </w:p>
        </w:tc>
      </w:tr>
      <w:tr>
        <w:trPr>
          <w:trHeight w:val="61"/>
        </w:trPr>
        <w:tc>
          <w:tcPr>
            <w:tcW w:w="6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tcBorders>
              <w:right w:val="single" w:sz="8" w:color="CCEEFF"/>
            </w:tcBorders>
            <w:shd w:val="clear" w:color="auto" w:fill="CCEEFF"/>
          </w:tcPr>
          <w:p>
            <w:pPr>
              <w:spacing w:after="0"/>
              <w:rPr>
                <w:sz w:val="5"/>
                <w:szCs w:val="5"/>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254,531,246</w:t>
            </w:r>
          </w:p>
        </w:tc>
        <w:tc>
          <w:tcPr>
            <w:tcW w:w="24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253,076,692</w:t>
            </w:r>
          </w:p>
        </w:tc>
      </w:tr>
      <w:tr>
        <w:trPr>
          <w:trHeight w:val="21"/>
        </w:trPr>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64"/>
        </w:trPr>
        <w:tc>
          <w:tcPr>
            <w:tcW w:w="6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 - accounts payable and accrued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3,152,970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96,895</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63,680,000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13,260,000</w:t>
            </w:r>
          </w:p>
        </w:tc>
      </w:tr>
      <w:tr>
        <w:trPr>
          <w:trHeight w:val="54"/>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8,750,000</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8,750,000</w:t>
            </w:r>
          </w:p>
        </w:tc>
      </w:tr>
      <w:tr>
        <w:trPr>
          <w:trHeight w:val="61"/>
        </w:trPr>
        <w:tc>
          <w:tcPr>
            <w:tcW w:w="6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80" w:type="dxa"/>
            <w:vAlign w:val="bottom"/>
            <w:tcBorders>
              <w:top w:val="single" w:sz="8" w:color="auto"/>
              <w:right w:val="single" w:sz="8" w:color="CCEEFF"/>
            </w:tcBorders>
            <w:shd w:val="clear" w:color="auto" w:fill="CCEEFF"/>
          </w:tcPr>
          <w:p>
            <w:pPr>
              <w:spacing w:after="0"/>
              <w:rPr>
                <w:sz w:val="5"/>
                <w:szCs w:val="5"/>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75,582,970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22,106,895</w:t>
            </w:r>
          </w:p>
        </w:tc>
      </w:tr>
      <w:tr>
        <w:trPr>
          <w:trHeight w:val="61"/>
        </w:trPr>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338"/>
        </w:trPr>
        <w:tc>
          <w:tcPr>
            <w:tcW w:w="6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24"/>
        </w:trPr>
        <w:tc>
          <w:tcPr>
            <w:tcW w:w="6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8"/>
                <w:szCs w:val="18"/>
                <w:color w:val="auto"/>
              </w:rPr>
              <w:t>Class A ordinary shares subject to possible redemption, 17,108,250 and</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22,424,313 shares at redemption value at December 31, 2020 and 2019,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61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173,948,273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225,969,796</w:t>
            </w:r>
          </w:p>
        </w:tc>
      </w:tr>
      <w:tr>
        <w:trPr>
          <w:trHeight w:val="61"/>
        </w:trPr>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338"/>
        </w:trPr>
        <w:tc>
          <w:tcPr>
            <w:tcW w:w="6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4"/>
              </w:rPr>
              <w:t>Preference shares, $0.0001 par value; 1,000,000 shares authorized; none issued</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spacing w:after="0"/>
              <w:rPr>
                <w:sz w:val="22"/>
                <w:szCs w:val="22"/>
                <w:color w:val="auto"/>
              </w:rPr>
            </w:pPr>
          </w:p>
        </w:tc>
      </w:tr>
      <w:tr>
        <w:trPr>
          <w:trHeight w:val="264"/>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outstanding</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120" w:type="dxa"/>
            <w:vAlign w:val="bottom"/>
          </w:tcPr>
          <w:p>
            <w:pPr>
              <w:spacing w:after="0"/>
              <w:rPr>
                <w:sz w:val="20"/>
                <w:szCs w:val="20"/>
                <w:color w:val="auto"/>
              </w:rPr>
            </w:pPr>
            <w:r>
              <w:rPr>
                <w:rFonts w:ascii="Arial" w:cs="Arial" w:eastAsia="Arial" w:hAnsi="Arial"/>
                <w:sz w:val="18"/>
                <w:szCs w:val="18"/>
                <w:color w:val="auto"/>
              </w:rPr>
              <w:t>Class A ordinary shares, $0.0001 par value; 200,000,000 shares authorized;</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w w:val="93"/>
              </w:rPr>
              <w:t>7,891,750 and 2,575,687 shares issued and outstanding (excluding 17,108,250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w w:val="95"/>
              </w:rPr>
              <w:t>and 22,424,313 shares subject to possible redemption) at December 31, 2020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and 2019, respectively</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54"/>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 $0.0001 par value; 20,000,000 shares authorized;</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spacing w:after="0"/>
              <w:rPr>
                <w:sz w:val="22"/>
                <w:szCs w:val="22"/>
                <w:color w:val="auto"/>
              </w:rPr>
            </w:pPr>
          </w:p>
        </w:tc>
      </w:tr>
      <w:tr>
        <w:trPr>
          <w:trHeight w:val="264"/>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6,250,000 shares issued and outstanding at December 31, 2020 and 2019</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52,020,992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(47,022,403)</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4,999,118</w:t>
            </w:r>
          </w:p>
        </w:tc>
      </w:tr>
      <w:tr>
        <w:trPr>
          <w:trHeight w:val="61"/>
        </w:trPr>
        <w:tc>
          <w:tcPr>
            <w:tcW w:w="6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80" w:type="dxa"/>
            <w:vAlign w:val="bottom"/>
            <w:tcBorders>
              <w:top w:val="single" w:sz="8" w:color="auto"/>
              <w:right w:val="single" w:sz="8" w:color="CCEEFF"/>
            </w:tcBorders>
            <w:shd w:val="clear" w:color="auto" w:fill="CCEEFF"/>
          </w:tcPr>
          <w:p>
            <w:pPr>
              <w:spacing w:after="0"/>
              <w:rPr>
                <w:sz w:val="5"/>
                <w:szCs w:val="5"/>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5,000,003</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5,000,001</w:t>
            </w:r>
          </w:p>
        </w:tc>
      </w:tr>
      <w:tr>
        <w:trPr>
          <w:trHeight w:val="61"/>
        </w:trPr>
        <w:tc>
          <w:tcPr>
            <w:tcW w:w="6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r>
      <w:tr>
        <w:trPr>
          <w:trHeight w:val="29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254,531,246</w:t>
            </w:r>
          </w:p>
        </w:tc>
        <w:tc>
          <w:tcPr>
            <w:tcW w:w="240" w:type="dxa"/>
            <w:vAlign w:val="bottom"/>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253,076,692</w:t>
            </w:r>
          </w:p>
        </w:tc>
      </w:tr>
      <w:tr>
        <w:trPr>
          <w:trHeight w:val="27"/>
        </w:trPr>
        <w:tc>
          <w:tcPr>
            <w:tcW w:w="6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-6703060</wp:posOffset>
            </wp:positionV>
            <wp:extent cx="1543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-6703060</wp:posOffset>
            </wp:positionV>
            <wp:extent cx="774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0" w:name="page171"/>
    <w:bookmarkEnd w:id="17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(As Restated)</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June 7, 2019</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9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3,864,234</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306,834</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Compensation Expense</w:t>
            </w:r>
          </w:p>
        </w:tc>
        <w:tc>
          <w:tcPr>
            <w:tcW w:w="120" w:type="dxa"/>
            <w:vAlign w:val="bottom"/>
          </w:tcPr>
          <w:p>
            <w:pPr>
              <w:spacing w:after="0"/>
              <w:rPr>
                <w:sz w:val="22"/>
                <w:szCs w:val="22"/>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61"/>
        </w:trPr>
        <w:tc>
          <w:tcPr>
            <w:tcW w:w="6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(3,864,234)</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(586,834)</w:t>
            </w:r>
          </w:p>
        </w:tc>
        <w:tc>
          <w:tcPr>
            <w:tcW w:w="0" w:type="dxa"/>
            <w:vAlign w:val="bottom"/>
          </w:tcPr>
          <w:p>
            <w:pPr>
              <w:spacing w:after="0"/>
              <w:rPr>
                <w:sz w:val="1"/>
                <w:szCs w:val="1"/>
                <w:color w:val="auto"/>
              </w:rPr>
            </w:pPr>
          </w:p>
        </w:tc>
      </w:tr>
      <w:tr>
        <w:trPr>
          <w:trHeight w:val="324"/>
        </w:trPr>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2,257,985</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1,812,577</w:t>
            </w:r>
          </w:p>
        </w:tc>
        <w:tc>
          <w:tcPr>
            <w:tcW w:w="0" w:type="dxa"/>
            <w:vAlign w:val="bottom"/>
          </w:tcPr>
          <w:p>
            <w:pPr>
              <w:spacing w:after="0"/>
              <w:rPr>
                <w:sz w:val="1"/>
                <w:szCs w:val="1"/>
                <w:color w:val="auto"/>
              </w:rPr>
            </w:pPr>
          </w:p>
        </w:tc>
      </w:tr>
      <w:tr>
        <w:trPr>
          <w:trHeight w:val="54"/>
        </w:trPr>
        <w:tc>
          <w:tcPr>
            <w:tcW w:w="618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5"/>
              </w:rPr>
              <w:t>(50,420,000)</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4,645,000</w:t>
            </w:r>
          </w:p>
        </w:tc>
        <w:tc>
          <w:tcPr>
            <w:tcW w:w="0" w:type="dxa"/>
            <w:vAlign w:val="bottom"/>
          </w:tcPr>
          <w:p>
            <w:pPr>
              <w:spacing w:after="0"/>
              <w:rPr>
                <w:sz w:val="1"/>
                <w:szCs w:val="1"/>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23"/>
                <w:szCs w:val="23"/>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(630,591)</w:t>
            </w:r>
          </w:p>
        </w:tc>
        <w:tc>
          <w:tcPr>
            <w:tcW w:w="0" w:type="dxa"/>
            <w:vAlign w:val="bottom"/>
          </w:tcPr>
          <w:p>
            <w:pPr>
              <w:spacing w:after="0"/>
              <w:rPr>
                <w:sz w:val="1"/>
                <w:szCs w:val="1"/>
                <w:color w:val="auto"/>
              </w:rPr>
            </w:pP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112,416</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(48,157,287)</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5,939,402</w:t>
            </w:r>
          </w:p>
        </w:tc>
        <w:tc>
          <w:tcPr>
            <w:tcW w:w="0" w:type="dxa"/>
            <w:vAlign w:val="bottom"/>
          </w:tcPr>
          <w:p>
            <w:pPr>
              <w:spacing w:after="0"/>
              <w:rPr>
                <w:sz w:val="1"/>
                <w:szCs w:val="1"/>
                <w:color w:val="auto"/>
              </w:rPr>
            </w:pPr>
          </w:p>
        </w:tc>
      </w:tr>
      <w:tr>
        <w:trPr>
          <w:trHeight w:val="61"/>
        </w:trPr>
        <w:tc>
          <w:tcPr>
            <w:tcW w:w="6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6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Net (loss) income</w:t>
            </w: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(52,021,521)</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5,352,568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80" w:type="dxa"/>
            <w:vAlign w:val="bottom"/>
          </w:tcPr>
          <w:p>
            <w:pPr>
              <w:spacing w:after="0"/>
              <w:rPr>
                <w:sz w:val="20"/>
                <w:szCs w:val="20"/>
                <w:color w:val="auto"/>
              </w:rPr>
            </w:pPr>
            <w:r>
              <w:rPr>
                <w:rFonts w:ascii="Arial" w:cs="Arial" w:eastAsia="Arial" w:hAnsi="Arial"/>
                <w:sz w:val="18"/>
                <w:szCs w:val="18"/>
                <w:color w:val="auto"/>
                <w:w w:val="93"/>
              </w:rPr>
              <w:t>Basic and diluted weighted average shares outstanding, Ordinary shares subject to</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618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22,226,328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21,936,952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Ordinary shares subject to</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redemption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Ordinary shares</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9,023,672</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8,367,106</w:t>
            </w:r>
          </w:p>
        </w:tc>
        <w:tc>
          <w:tcPr>
            <w:tcW w:w="0" w:type="dxa"/>
            <w:vAlign w:val="bottom"/>
          </w:tcPr>
          <w:p>
            <w:pPr>
              <w:spacing w:after="0"/>
              <w:rPr>
                <w:sz w:val="1"/>
                <w:szCs w:val="1"/>
                <w:color w:val="auto"/>
              </w:rPr>
            </w:pPr>
          </w:p>
        </w:tc>
      </w:tr>
      <w:tr>
        <w:trPr>
          <w:trHeight w:val="48"/>
        </w:trPr>
        <w:tc>
          <w:tcPr>
            <w:tcW w:w="6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18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 Ordinary shares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(5.94)</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0.42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-4242435</wp:posOffset>
            </wp:positionV>
            <wp:extent cx="15430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-4242435</wp:posOffset>
            </wp:positionV>
            <wp:extent cx="774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1" w:name="page172"/>
    <w:bookmarkEnd w:id="17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(As Restated)</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Class A Ordinary Shares</w:t>
            </w:r>
          </w:p>
        </w:tc>
        <w:tc>
          <w:tcPr>
            <w:tcW w:w="16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2"/>
              </w:rPr>
              <w:t>Class B Ordinary Shares</w:t>
            </w:r>
          </w:p>
        </w:tc>
        <w:tc>
          <w:tcPr>
            <w:tcW w:w="120" w:type="dxa"/>
            <w:vAlign w:val="bottom"/>
          </w:tcPr>
          <w:p>
            <w:pPr>
              <w:spacing w:after="0"/>
              <w:rPr>
                <w:sz w:val="14"/>
                <w:szCs w:val="14"/>
                <w:color w:val="auto"/>
              </w:rPr>
            </w:pPr>
          </w:p>
        </w:tc>
        <w:tc>
          <w:tcPr>
            <w:tcW w:w="1060" w:type="dxa"/>
            <w:vAlign w:val="bottom"/>
          </w:tcPr>
          <w:p>
            <w:pPr>
              <w:jc w:val="right"/>
              <w:ind w:right="215"/>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0"/>
        </w:trPr>
        <w:tc>
          <w:tcPr>
            <w:tcW w:w="178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restart"/>
          </w:tcPr>
          <w:p>
            <w:pPr>
              <w:jc w:val="right"/>
              <w:ind w:right="315"/>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7"/>
                <w:szCs w:val="7"/>
                <w:color w:val="auto"/>
              </w:rPr>
            </w:pPr>
          </w:p>
        </w:tc>
        <w:tc>
          <w:tcPr>
            <w:tcW w:w="102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rPr>
              <w:t>Retained</w:t>
            </w:r>
          </w:p>
        </w:tc>
        <w:tc>
          <w:tcPr>
            <w:tcW w:w="10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38"/>
        </w:trPr>
        <w:tc>
          <w:tcPr>
            <w:tcW w:w="1780" w:type="dxa"/>
            <w:vAlign w:val="bottom"/>
          </w:tcPr>
          <w:p>
            <w:pPr>
              <w:spacing w:after="0"/>
              <w:rPr>
                <w:sz w:val="3"/>
                <w:szCs w:val="3"/>
                <w:color w:val="auto"/>
              </w:rPr>
            </w:pPr>
          </w:p>
        </w:tc>
        <w:tc>
          <w:tcPr>
            <w:tcW w:w="10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3"/>
                <w:szCs w:val="3"/>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7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6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15"/>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Earnings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17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7,</w:t>
            </w:r>
          </w:p>
        </w:tc>
        <w:tc>
          <w:tcPr>
            <w:tcW w:w="10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7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2019 (inception)</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0"/>
                <w:szCs w:val="20"/>
                <w:color w:val="auto"/>
              </w:rPr>
            </w:pPr>
            <w:r>
              <w:rPr>
                <w:rFonts w:ascii="Arial" w:cs="Arial" w:eastAsia="Arial" w:hAnsi="Arial"/>
                <w:sz w:val="18"/>
                <w:szCs w:val="18"/>
                <w:color w:val="auto"/>
              </w:rPr>
              <w:t>Issuance of Class B</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ordinary shares to</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Sponsor</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ind w:right="33"/>
              <w:spacing w:after="0"/>
              <w:rPr>
                <w:sz w:val="20"/>
                <w:szCs w:val="20"/>
                <w:color w:val="auto"/>
              </w:rPr>
            </w:pPr>
            <w:r>
              <w:rPr>
                <w:rFonts w:ascii="Arial" w:cs="Arial" w:eastAsia="Arial" w:hAnsi="Arial"/>
                <w:sz w:val="18"/>
                <w:szCs w:val="18"/>
                <w:color w:val="auto"/>
                <w:w w:val="97"/>
              </w:rPr>
              <w:t>7,187,500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24,281</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25,000,000</w:t>
            </w:r>
          </w:p>
        </w:tc>
        <w:tc>
          <w:tcPr>
            <w:tcW w:w="10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 net of</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underwriting</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discounts and</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expenses</w:t>
            </w:r>
          </w:p>
        </w:tc>
        <w:tc>
          <w:tcPr>
            <w:tcW w:w="100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3"/>
              </w:rPr>
              <w:t>25,000,000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2,500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89"/>
              </w:rPr>
              <w:t>225,589,729</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225,592,229</w:t>
            </w:r>
          </w:p>
        </w:tc>
        <w:tc>
          <w:tcPr>
            <w:tcW w:w="0" w:type="dxa"/>
            <w:vAlign w:val="bottom"/>
          </w:tcPr>
          <w:p>
            <w:pPr>
              <w:spacing w:after="0"/>
              <w:rPr>
                <w:sz w:val="1"/>
                <w:szCs w:val="1"/>
                <w:color w:val="auto"/>
              </w:rPr>
            </w:pPr>
          </w:p>
        </w:tc>
      </w:tr>
      <w:tr>
        <w:trPr>
          <w:trHeight w:val="324"/>
        </w:trPr>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Forfeiture of 937,500</w:t>
            </w:r>
          </w:p>
        </w:tc>
        <w:tc>
          <w:tcPr>
            <w:tcW w:w="10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 ordinary</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00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680" w:type="dxa"/>
            <w:vAlign w:val="bottom"/>
            <w:tcBorders>
              <w:bottom w:val="single" w:sz="8" w:color="CCEEFF"/>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0"/>
                <w:szCs w:val="20"/>
                <w:color w:val="auto"/>
              </w:rPr>
            </w:pPr>
            <w:r>
              <w:rPr>
                <w:rFonts w:ascii="Arial" w:cs="Arial" w:eastAsia="Arial" w:hAnsi="Arial"/>
                <w:sz w:val="18"/>
                <w:szCs w:val="18"/>
                <w:color w:val="auto"/>
                <w:w w:val="91"/>
              </w:rPr>
              <w:t>Class A ordinary shares</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subject to possible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(22,424,313)</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(2,242)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6"/>
              </w:rPr>
              <w:t>(225,614,104)</w:t>
            </w:r>
          </w:p>
        </w:tc>
        <w:tc>
          <w:tcPr>
            <w:tcW w:w="160" w:type="dxa"/>
            <w:vAlign w:val="bottom"/>
          </w:tcPr>
          <w:p>
            <w:pPr>
              <w:spacing w:after="0"/>
              <w:rPr>
                <w:sz w:val="20"/>
                <w:szCs w:val="20"/>
                <w:color w:val="auto"/>
              </w:rPr>
            </w:pPr>
          </w:p>
        </w:tc>
        <w:tc>
          <w:tcPr>
            <w:tcW w:w="2040" w:type="dxa"/>
            <w:vAlign w:val="bottom"/>
            <w:gridSpan w:val="4"/>
          </w:tcPr>
          <w:p>
            <w:pPr>
              <w:jc w:val="right"/>
              <w:ind w:right="20"/>
              <w:spacing w:after="0"/>
              <w:rPr>
                <w:sz w:val="20"/>
                <w:szCs w:val="20"/>
                <w:color w:val="auto"/>
              </w:rPr>
            </w:pPr>
            <w:r>
              <w:rPr>
                <w:rFonts w:ascii="Arial" w:cs="Arial" w:eastAsia="Arial" w:hAnsi="Arial"/>
                <w:sz w:val="18"/>
                <w:szCs w:val="18"/>
                <w:color w:val="auto"/>
              </w:rPr>
              <w:t>(353,450)  (225,969,796)</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4"/>
              </w:rPr>
              <w:t>5,352,568</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5,352,568</w:t>
            </w:r>
          </w:p>
        </w:tc>
        <w:tc>
          <w:tcPr>
            <w:tcW w:w="0" w:type="dxa"/>
            <w:vAlign w:val="bottom"/>
          </w:tcPr>
          <w:p>
            <w:pPr>
              <w:spacing w:after="0"/>
              <w:rPr>
                <w:sz w:val="1"/>
                <w:szCs w:val="1"/>
                <w:color w:val="auto"/>
              </w:rPr>
            </w:pPr>
          </w:p>
        </w:tc>
      </w:tr>
      <w:tr>
        <w:trPr>
          <w:trHeight w:val="61"/>
        </w:trPr>
        <w:tc>
          <w:tcPr>
            <w:tcW w:w="1780" w:type="dxa"/>
            <w:vAlign w:val="bottom"/>
            <w:tcBorders>
              <w:top w:val="single" w:sz="8" w:color="CCEEFF"/>
              <w:right w:val="single" w:sz="8" w:color="CCEEFF"/>
            </w:tcBorders>
            <w:shd w:val="clear" w:color="auto" w:fill="CCEEFF"/>
          </w:tcPr>
          <w:p>
            <w:pPr>
              <w:spacing w:after="0"/>
              <w:rPr>
                <w:sz w:val="5"/>
                <w:szCs w:val="5"/>
                <w:color w:val="auto"/>
              </w:rPr>
            </w:pPr>
          </w:p>
        </w:tc>
        <w:tc>
          <w:tcPr>
            <w:tcW w:w="100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right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1780" w:type="dxa"/>
            <w:vAlign w:val="bottom"/>
          </w:tcPr>
          <w:p>
            <w:pPr>
              <w:spacing w:after="0"/>
              <w:rPr>
                <w:sz w:val="20"/>
                <w:szCs w:val="20"/>
                <w:color w:val="auto"/>
              </w:rPr>
            </w:pPr>
            <w:r>
              <w:rPr>
                <w:rFonts w:ascii="Arial" w:cs="Arial" w:eastAsia="Arial" w:hAnsi="Arial"/>
                <w:sz w:val="18"/>
                <w:szCs w:val="18"/>
                <w:b w:val="1"/>
                <w:bCs w:val="1"/>
                <w:color w:val="auto"/>
              </w:rPr>
              <w:t>Balance –</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180"/>
              <w:spacing w:after="0"/>
              <w:rPr>
                <w:sz w:val="20"/>
                <w:szCs w:val="20"/>
                <w:color w:val="auto"/>
              </w:rPr>
            </w:pPr>
            <w:r>
              <w:rPr>
                <w:rFonts w:ascii="Arial" w:cs="Arial" w:eastAsia="Arial" w:hAnsi="Arial"/>
                <w:sz w:val="18"/>
                <w:szCs w:val="18"/>
                <w:b w:val="1"/>
                <w:bCs w:val="1"/>
                <w:color w:val="auto"/>
                <w:w w:val="96"/>
              </w:rPr>
              <w:t>December 31, 2019</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2,575,687</w:t>
            </w:r>
          </w:p>
        </w:tc>
        <w:tc>
          <w:tcPr>
            <w:tcW w:w="12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20"/>
                <w:szCs w:val="20"/>
                <w:color w:val="auto"/>
              </w:rPr>
            </w:pPr>
          </w:p>
        </w:tc>
        <w:tc>
          <w:tcPr>
            <w:tcW w:w="920" w:type="dxa"/>
            <w:vAlign w:val="bottom"/>
            <w:gridSpan w:val="2"/>
          </w:tcPr>
          <w:p>
            <w:pPr>
              <w:jc w:val="right"/>
              <w:ind w:right="33"/>
              <w:spacing w:after="0"/>
              <w:rPr>
                <w:sz w:val="20"/>
                <w:szCs w:val="20"/>
                <w:color w:val="auto"/>
              </w:rPr>
            </w:pPr>
            <w:r>
              <w:rPr>
                <w:rFonts w:ascii="Arial" w:cs="Arial" w:eastAsia="Arial" w:hAnsi="Arial"/>
                <w:sz w:val="18"/>
                <w:szCs w:val="18"/>
                <w:color w:val="auto"/>
                <w:w w:val="97"/>
              </w:rPr>
              <w:t>6,250,000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97"/>
              </w:rPr>
              <w:t>4,999,118</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5,000,001</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value of</w:t>
            </w:r>
          </w:p>
        </w:tc>
        <w:tc>
          <w:tcPr>
            <w:tcW w:w="10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A ordinary</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subject to</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possible redemption</w:t>
            </w:r>
          </w:p>
        </w:tc>
        <w:tc>
          <w:tcPr>
            <w:tcW w:w="100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5,316,063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52,020,992</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52,021,523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5"/>
              </w:rPr>
              <w:t>(52,021,521)</w:t>
            </w:r>
          </w:p>
        </w:tc>
        <w:tc>
          <w:tcPr>
            <w:tcW w:w="1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(52,021,521)</w:t>
            </w:r>
          </w:p>
        </w:tc>
        <w:tc>
          <w:tcPr>
            <w:tcW w:w="0" w:type="dxa"/>
            <w:vAlign w:val="bottom"/>
          </w:tcPr>
          <w:p>
            <w:pPr>
              <w:spacing w:after="0"/>
              <w:rPr>
                <w:sz w:val="1"/>
                <w:szCs w:val="1"/>
                <w:color w:val="auto"/>
              </w:rPr>
            </w:pPr>
          </w:p>
        </w:tc>
      </w:tr>
      <w:tr>
        <w:trPr>
          <w:trHeight w:val="61"/>
        </w:trPr>
        <w:tc>
          <w:tcPr>
            <w:tcW w:w="178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w:t>
            </w:r>
          </w:p>
        </w:tc>
        <w:tc>
          <w:tcPr>
            <w:tcW w:w="10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December 31, 2020</w:t>
            </w:r>
          </w:p>
        </w:tc>
        <w:tc>
          <w:tcPr>
            <w:tcW w:w="100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7,891,750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w w:val="97"/>
              </w:rPr>
              <w:t>6,250,000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625</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52,020,992</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(47,022,403)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80" w:type="dxa"/>
            <w:vAlign w:val="bottom"/>
            <w:tcBorders>
              <w:top w:val="single" w:sz="8" w:color="CCEEFF"/>
              <w:right w:val="single" w:sz="8" w:color="CCEEFF"/>
            </w:tcBorders>
            <w:shd w:val="clear" w:color="auto" w:fill="CCEEFF"/>
          </w:tcPr>
          <w:p>
            <w:pPr>
              <w:spacing w:after="0"/>
              <w:rPr>
                <w:sz w:val="2"/>
                <w:szCs w:val="2"/>
                <w:color w:val="auto"/>
              </w:rPr>
            </w:pPr>
          </w:p>
        </w:tc>
        <w:tc>
          <w:tcPr>
            <w:tcW w:w="1000" w:type="dxa"/>
            <w:vAlign w:val="bottom"/>
            <w:tcBorders>
              <w:top w:val="single" w:sz="8" w:color="auto"/>
              <w:right w:val="single" w:sz="8" w:color="CCEEFF"/>
            </w:tcBorders>
            <w:shd w:val="clear" w:color="auto" w:fill="000000"/>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auto"/>
              <w:right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06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right w:val="single" w:sz="8" w:color="auto"/>
            </w:tcBorders>
            <w:shd w:val="clear" w:color="auto" w:fill="000000"/>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-4499610</wp:posOffset>
            </wp:positionV>
            <wp:extent cx="342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-4499610</wp:posOffset>
            </wp:positionV>
            <wp:extent cx="342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-4499610</wp:posOffset>
            </wp:positionV>
            <wp:extent cx="342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-4499610</wp:posOffset>
            </wp:positionV>
            <wp:extent cx="1714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-4499610</wp:posOffset>
            </wp:positionV>
            <wp:extent cx="342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-4499610</wp:posOffset>
            </wp:positionV>
            <wp:extent cx="342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-4499610</wp:posOffset>
            </wp:positionV>
            <wp:extent cx="342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2" w:name="page173"/>
    <w:bookmarkEnd w:id="17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(As Restated)</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from June 7,</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color w:val="auto"/>
              </w:rPr>
              <w:t>Net (loss) income</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$(52,201,521)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5,352,568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income to net cash used in operating</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(2,257,985)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(1,812,577)</w:t>
            </w: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50,420,000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(4,645,000)</w:t>
            </w:r>
          </w:p>
        </w:tc>
        <w:tc>
          <w:tcPr>
            <w:tcW w:w="0" w:type="dxa"/>
            <w:vAlign w:val="bottom"/>
          </w:tcPr>
          <w:p>
            <w:pPr>
              <w:spacing w:after="0"/>
              <w:rPr>
                <w:sz w:val="1"/>
                <w:szCs w:val="1"/>
                <w:color w:val="auto"/>
              </w:rPr>
            </w:pPr>
          </w:p>
        </w:tc>
      </w:tr>
      <w:tr>
        <w:trPr>
          <w:trHeight w:val="270"/>
        </w:trPr>
        <w:tc>
          <w:tcPr>
            <w:tcW w:w="610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1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630,591</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(4,728)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(112,416)</w:t>
            </w: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226,277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(257,110)</w:t>
            </w: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3,056,075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(581,882)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(467,049)</w:t>
            </w:r>
          </w:p>
        </w:tc>
        <w:tc>
          <w:tcPr>
            <w:tcW w:w="0" w:type="dxa"/>
            <w:vAlign w:val="bottom"/>
          </w:tcPr>
          <w:p>
            <w:pPr>
              <w:spacing w:after="0"/>
              <w:rPr>
                <w:sz w:val="1"/>
                <w:szCs w:val="1"/>
                <w:color w:val="auto"/>
              </w:rPr>
            </w:pPr>
          </w:p>
        </w:tc>
      </w:tr>
      <w:tr>
        <w:trPr>
          <w:trHeight w:val="61"/>
        </w:trPr>
        <w:tc>
          <w:tcPr>
            <w:tcW w:w="61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6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61"/>
        </w:trPr>
        <w:tc>
          <w:tcPr>
            <w:tcW w:w="6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5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(250,000,000)</w:t>
            </w:r>
          </w:p>
        </w:tc>
        <w:tc>
          <w:tcPr>
            <w:tcW w:w="0" w:type="dxa"/>
            <w:vAlign w:val="bottom"/>
          </w:tcPr>
          <w:p>
            <w:pPr>
              <w:spacing w:after="0"/>
              <w:rPr>
                <w:sz w:val="1"/>
                <w:szCs w:val="1"/>
                <w:color w:val="auto"/>
              </w:rPr>
            </w:pPr>
          </w:p>
        </w:tc>
      </w:tr>
      <w:tr>
        <w:trPr>
          <w:trHeight w:val="61"/>
        </w:trPr>
        <w:tc>
          <w:tcPr>
            <w:tcW w:w="61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6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245,000,000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color w:val="auto"/>
              </w:rPr>
              <w:t>Proceeds from sale of Private Placement Warrants</w:t>
            </w:r>
          </w:p>
        </w:tc>
        <w:tc>
          <w:tcPr>
            <w:tcW w:w="1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237,470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1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(237,470)</w:t>
            </w: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(638,362)</w:t>
            </w:r>
          </w:p>
        </w:tc>
        <w:tc>
          <w:tcPr>
            <w:tcW w:w="0" w:type="dxa"/>
            <w:vAlign w:val="bottom"/>
          </w:tcPr>
          <w:p>
            <w:pPr>
              <w:spacing w:after="0"/>
              <w:rPr>
                <w:sz w:val="1"/>
                <w:szCs w:val="1"/>
                <w:color w:val="auto"/>
              </w:rPr>
            </w:pPr>
          </w:p>
        </w:tc>
      </w:tr>
      <w:tr>
        <w:trPr>
          <w:trHeight w:val="61"/>
        </w:trPr>
        <w:tc>
          <w:tcPr>
            <w:tcW w:w="6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54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251,361,638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61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6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(581,882)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894,589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894,589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6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b w:val="1"/>
                <w:bCs w:val="1"/>
                <w:color w:val="auto"/>
              </w:rPr>
              <w:t>Cash – Ending</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312,707</w:t>
            </w:r>
          </w:p>
        </w:tc>
        <w:tc>
          <w:tcPr>
            <w:tcW w:w="80" w:type="dxa"/>
            <w:vAlign w:val="bottom"/>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894,589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6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9"/>
              </w:rPr>
              <w:t>Initial classification of Class A ordinary shares subject to possible redemption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219,701,630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100" w:type="dxa"/>
            <w:vAlign w:val="bottom"/>
          </w:tcPr>
          <w:p>
            <w:pPr>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(52,021,523)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6,268,166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7"/>
              </w:rPr>
              <w:t>Offering costs paid directly by Sponsor for issuance of Class B ordinary shares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100" w:type="dxa"/>
            <w:vAlign w:val="bottom"/>
          </w:tcPr>
          <w:p>
            <w:pPr>
              <w:spacing w:after="0"/>
              <w:rPr>
                <w:sz w:val="20"/>
                <w:szCs w:val="20"/>
                <w:color w:val="auto"/>
              </w:rPr>
            </w:pPr>
            <w:r>
              <w:rPr>
                <w:rFonts w:ascii="Arial" w:cs="Arial" w:eastAsia="Arial" w:hAnsi="Arial"/>
                <w:sz w:val="18"/>
                <w:szCs w:val="18"/>
                <w:color w:val="auto"/>
              </w:rPr>
              <w:t>Deferred underwriting fee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8,750,000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-7465695</wp:posOffset>
            </wp:positionV>
            <wp:extent cx="1028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-7465695</wp:posOffset>
            </wp:positionV>
            <wp:extent cx="514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997" w:gutter="0" w:footer="0" w:header="0"/>
        </w:sectPr>
      </w:pPr>
    </w:p>
    <w:bookmarkStart w:id="173" w:name="page174"/>
    <w:bookmarkEnd w:id="17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ORGANIZATION AND BUSINESS OPERATIONS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Silver Spike Acquisition Corp. (the “Company”) is a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 has one subsidiary, Silver Spike Merger Sub LLC, a wholly-owned subsidiary of the Company incorporated in Delaware on December 7, 2020 (“Merger Sub”).</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As of December 31, 2020, the Company had not commenced any operations. All activity through December 31, 2020 relates to the Company’s formation, the initial public offering (“Initial Public Offering”), which is described below, identifying a target company for a Business Combination, activities in connection with the proposed acquisition of WM Holding Company, LLC, a Delaware limited liability company (“WMH”) (see Note 7).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August 7, 2019. On August 12, 2019, the Company consummated the Initial Public Offering of 25,000,000 units (the “Units” and, with respect to the Class A ordinary shares included in the Units sold, the “Public Shares”) at $10.00 per unit, generating gross proceeds of $250,000,000, which is described in Note 4.</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7,000,000 warrants (the “Private Placement Warrants”) at a price of $1.00 per Private Placement Warrant in a private placement to Silver Spike Sponsor, LLC (the “Sponsor”), generating gross proceeds of $7,000,000, which is described in Note 5.</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Transaction costs amounted to $14,413,362, consisting of $5,000,000 of underwriting fees, $8,750,000 of deferred underwriting fees and $663,362 of other offering costs. $630,591 of the total transaction costs were deemed attributable to the initial warrant derivative liability and thus were reclassified from equity to an expense of the Company.</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Following the closing of the Initial Public Offering on August 12, 2019,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the Business Combination and (ii) the distribution of the funds in the Trust Account to the Company’s shareholders, as described below.</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7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4" w:name="page175"/>
    <w:bookmarkEnd w:id="17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shareholder approval of a Business Combination or conduct a tender offer will be made by the Company, solely in its discretion. The public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 will pay to the underwriters (as discussed in Note 8). There will be no redemption rights upon the completion of a Business Combination with respect to the Company’s warrants.</w:t>
      </w:r>
    </w:p>
    <w:p>
      <w:pPr>
        <w:spacing w:after="0" w:line="70"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6)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8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7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w:t>
      </w:r>
    </w:p>
    <w:p>
      <w:pPr>
        <w:spacing w:after="0" w:line="2" w:lineRule="exact"/>
        <w:rPr>
          <w:sz w:val="20"/>
          <w:szCs w:val="20"/>
          <w:color w:val="auto"/>
        </w:rPr>
      </w:pPr>
    </w:p>
    <w:p>
      <w:pPr>
        <w:jc w:val="both"/>
        <w:ind w:left="300" w:right="299" w:hanging="8"/>
        <w:spacing w:after="0" w:line="268" w:lineRule="auto"/>
        <w:tabs>
          <w:tab w:leader="none" w:pos="59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shareholders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Initial Public Offering if the Company fails to complete its Business Combination.</w:t>
      </w:r>
    </w:p>
    <w:p>
      <w:pPr>
        <w:spacing w:after="0" w:line="7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Company initially had until February 12, 2021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underwriters have agreed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5" w:name="page176"/>
    <w:bookmarkEnd w:id="17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5" w:lineRule="auto"/>
        <w:rPr>
          <w:sz w:val="20"/>
          <w:szCs w:val="20"/>
          <w:color w:val="auto"/>
        </w:rPr>
      </w:pPr>
      <w:r>
        <w:rPr>
          <w:rFonts w:ascii="Arial" w:cs="Arial" w:eastAsia="Arial" w:hAnsi="Arial"/>
          <w:sz w:val="17"/>
          <w:szCs w:val="17"/>
          <w:color w:val="auto"/>
        </w:rPr>
        <w:t>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68"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On January 13, 2021, the Company held an Extraordinary General Meeting in Lieu of an Annual General Meeting (the “Extraordinary General Meeting”) pursuant to which the Company’s shareholders approved extending the Combination Period from February 12, 2021 to July 10, 2021 (the “Extension Date”) (see Note 10).</w:t>
      </w:r>
    </w:p>
    <w:p>
      <w:pPr>
        <w:spacing w:after="0" w:line="4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As of December 31, 2020, the Company had $312,707 in its operating bank accounts, $254,187,706 in securities held in the Trust Account to be used for a Business Combination or to repurchase or redeem its ordinary shares in connection therewith and working capital deficit of $2,809,430. As of December 31, 2020, approximately $4,188,000 of the amount on deposit in the Trust Account represented interest income, which is available to pay the Company’s tax obligations.</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 February 18, 2021, the Company issued an unsecured promissory note (the “Note”) in the amount of up to $750,000 to the Sponsor for general working capital purposes (see Note 11).</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Company will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July 10, 2021, the date that the Company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Management continues to evaluate the impact of the COVID-19 pandemic and has concluded that while it is reasonably possible that the virus could have a negative effect on the Company’s financial position, results of its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6" w:name="page177"/>
    <w:bookmarkEnd w:id="17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2 — RESTATEMENT OF PREVIOUSLY ISSUED FINANCIAL STATEMENTS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Specifically, the SEC Statement focused on certain settlement terms and provisions related to certain tender offers following a business combination, which terms are similar to those contained in the warrant agreement governing the Company’s warrants. As a result of the SEC Statement, the Company reevaluated the accounting treatment of (i) the 12,500,000 redeemable warrants (the “Public Warrants”) that were included in the units issued by the Company in its initial public offering and (ii) the 7,000,000 redeemable warrants that were issued to the Company’s sponsor in a private placement that closed concurrently with the closing of the IPO. The Company previously accounted for the Warrants as components of equity.</w:t>
      </w:r>
    </w:p>
    <w:p>
      <w:pPr>
        <w:spacing w:after="0" w:line="7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 previously accounted for its outstanding Public Warrants (as defined in Note 4)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ordinary shares, all holders of the warrants would be entitled to receive cash for their warrants (the “tender offer provision”).</w:t>
      </w:r>
    </w:p>
    <w:p>
      <w:pPr>
        <w:spacing w:after="0" w:line="6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connection with the audit of the Company’s financial statements for the period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The Company’s Private Placement Warrants are not indexed to the Company’s ordinary shares in the manner contemplated by ASC Section 815-40-15 because the holder of the instrument is not an input into the pricing of a fixed-for-fixed option on equity shares. In addition, the tender offer provision included in the warrant agreement fails the “classified in shareholders’ equity” criteria as contemplated by ASC Section 815-40-25.</w:t>
      </w:r>
    </w:p>
    <w:p>
      <w:pPr>
        <w:spacing w:after="0" w:line="64"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a portion of the initial transaction costs related to the IPO and attributable to the warrants must be immediately expensed, and the difference between the fair market value of the private placement warrants and the initial purchase consideration thereof is recorded as a compensation expense.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7" w:name="page178"/>
    <w:bookmarkEnd w:id="177"/>
    <w:tbl>
      <w:tblPr>
        <w:tblLayout w:type="fixed"/>
        <w:tblInd w:w="300" w:type="dxa"/>
        <w:tblCellMar>
          <w:top w:w="0" w:type="dxa"/>
          <w:left w:w="0" w:type="dxa"/>
          <w:bottom w:w="0" w:type="dxa"/>
          <w:right w:w="0" w:type="dxa"/>
        </w:tblCellMar>
      </w:tblPr>
      <w:tr>
        <w:trPr>
          <w:trHeight w:val="161"/>
        </w:trPr>
        <w:tc>
          <w:tcPr>
            <w:tcW w:w="490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As Previously</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24"/>
                <w:szCs w:val="24"/>
                <w:color w:val="auto"/>
              </w:rPr>
            </w:pPr>
          </w:p>
        </w:tc>
        <w:tc>
          <w:tcPr>
            <w:tcW w:w="9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as of August 12, 2019 (audited)</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9,194,592</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9"/>
              </w:rPr>
              <w:t>$ 17,905,000</w:t>
            </w:r>
          </w:p>
        </w:tc>
        <w:tc>
          <w:tcPr>
            <w:tcW w:w="1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27,099,592</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237,606,630</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(17,905,000)</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219,701,630</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5,004,165</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910,412</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5,914,577</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(910,591)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(915,591)</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54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Balance sheet as of September 30, 2019 (unaudited)</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8,826,397</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$ 18,365,000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27,191,397</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238,159,760</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(18,365,000)</w:t>
            </w:r>
          </w:p>
        </w:tc>
        <w:tc>
          <w:tcPr>
            <w:tcW w:w="1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219,794,760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4,451,128</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1,370,408</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5,821,536</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548,123</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(1,370,591)</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(822,468)</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as of December 31, 2019 (audited)</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8,846,895</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9"/>
              </w:rPr>
              <w:t>$ 13,260,000</w:t>
            </w:r>
          </w:p>
        </w:tc>
        <w:tc>
          <w:tcPr>
            <w:tcW w:w="1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22,106,895</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239,229,796</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(13,260,000)</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225,969,796</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3,381,091</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(3,381,091)</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(Accumulated Deficit) Retained Earnings</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1,618,159</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3,380,959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4,999,118</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54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Balance sheet as of March 31, 2020 (unaudited)</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9,163,720</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$ 13,065,000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22,228,720</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240,856,900</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(13,065,000)</w:t>
            </w:r>
          </w:p>
        </w:tc>
        <w:tc>
          <w:tcPr>
            <w:tcW w:w="1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227,791,900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1,753,984</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(1,753,984)</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3,245,266</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1,753,855</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4,999,121</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as of June 30, 2020 (unaudited)</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9,187,458</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9"/>
              </w:rPr>
              <w:t>$ 16,050,000</w:t>
            </w:r>
          </w:p>
        </w:tc>
        <w:tc>
          <w:tcPr>
            <w:tcW w:w="1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25,237,458</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240,695,088</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(16,050,000)</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224,645,088</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1,915,793</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(591,117)</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1,324,676</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(Accumulated Deficit) Retained Earnings</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3,083,457</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590,959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3,674,416</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54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9,247,425</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$ 17,355,000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26,602,425</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240,581,127</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(17,355,000)</w:t>
            </w:r>
          </w:p>
        </w:tc>
        <w:tc>
          <w:tcPr>
            <w:tcW w:w="1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223,226,127</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2,029,753</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713,870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2,743,623</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2,969,497</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(714,041)</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2,255,456</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as of December 31, 2020 (audited)</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11,902,970</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9"/>
              </w:rPr>
              <w:t>$ 63,680,000</w:t>
            </w:r>
          </w:p>
        </w:tc>
        <w:tc>
          <w:tcPr>
            <w:tcW w:w="1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75,582,970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237,628,272</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(63,679,999)</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173,948,273</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626</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4,982,578</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47,038,414</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52,020,992</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(Accumulated Deficit) Retained Earnings</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16,638</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(47,039,041)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0"/>
              </w:rPr>
              <w:t>(47,022,403)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-9857740</wp:posOffset>
            </wp:positionV>
            <wp:extent cx="12001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-9857740</wp:posOffset>
            </wp:positionV>
            <wp:extent cx="12001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-9857740</wp:posOffset>
            </wp:positionV>
            <wp:extent cx="603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9019"/>
          </w:cols>
          <w:pgMar w:left="1440" w:top="262" w:right="1440" w:bottom="0" w:gutter="0" w:footer="0" w:header="0"/>
        </w:sectPr>
      </w:pPr>
    </w:p>
    <w:bookmarkStart w:id="178" w:name="page179"/>
    <w:bookmarkEnd w:id="178"/>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9" w:name="page180"/>
    <w:bookmarkEnd w:id="179"/>
    <w:tbl>
      <w:tblPr>
        <w:tblLayout w:type="fixed"/>
        <w:tblInd w:w="300" w:type="dxa"/>
        <w:tblCellMar>
          <w:top w:w="0" w:type="dxa"/>
          <w:left w:w="0" w:type="dxa"/>
          <w:bottom w:w="0" w:type="dxa"/>
          <w:right w:w="0" w:type="dxa"/>
        </w:tblCellMar>
      </w:tblPr>
      <w:tr>
        <w:trPr>
          <w:trHeight w:val="161"/>
        </w:trPr>
        <w:tc>
          <w:tcPr>
            <w:tcW w:w="6220" w:type="dxa"/>
            <w:vAlign w:val="bottom"/>
            <w:gridSpan w:val="4"/>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As Previously</w:t>
            </w: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Adjustments</w:t>
            </w:r>
          </w:p>
        </w:tc>
        <w:tc>
          <w:tcPr>
            <w:tcW w:w="10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Reported</w:t>
            </w:r>
          </w:p>
        </w:tc>
        <w:tc>
          <w:tcPr>
            <w:tcW w:w="11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CCEEFF"/>
            </w:tcBorders>
          </w:tcPr>
          <w:p>
            <w:pPr>
              <w:spacing w:after="0"/>
              <w:rPr>
                <w:sz w:val="4"/>
                <w:szCs w:val="4"/>
                <w:color w:val="auto"/>
              </w:rPr>
            </w:pPr>
          </w:p>
        </w:tc>
        <w:tc>
          <w:tcPr>
            <w:tcW w:w="34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1540" w:type="dxa"/>
            <w:vAlign w:val="bottom"/>
            <w:shd w:val="clear" w:color="auto" w:fill="CCEEFF"/>
          </w:tcPr>
          <w:p>
            <w:pPr>
              <w:spacing w:after="0"/>
              <w:rPr>
                <w:sz w:val="24"/>
                <w:szCs w:val="24"/>
                <w:color w:val="auto"/>
              </w:rPr>
            </w:pPr>
          </w:p>
        </w:tc>
        <w:tc>
          <w:tcPr>
            <w:tcW w:w="3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-222250</wp:posOffset>
            </wp:positionV>
            <wp:extent cx="12001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-222250</wp:posOffset>
            </wp:positionV>
            <wp:extent cx="12001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-222250</wp:posOffset>
            </wp:positionV>
            <wp:extent cx="596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Three months ended September 30, 2019 (unaudited)</w:t>
      </w:r>
    </w:p>
    <w:p>
      <w:pPr>
        <w:spacing w:after="0" w:line="81" w:lineRule="exact"/>
        <w:rPr>
          <w:sz w:val="20"/>
          <w:szCs w:val="20"/>
          <w:color w:val="auto"/>
        </w:rPr>
      </w:pPr>
    </w:p>
    <w:tbl>
      <w:tblPr>
        <w:tblLayout w:type="fixed"/>
        <w:tblInd w:w="300" w:type="dxa"/>
        <w:tblCellMar>
          <w:top w:w="0" w:type="dxa"/>
          <w:left w:w="0" w:type="dxa"/>
          <w:bottom w:w="0" w:type="dxa"/>
          <w:right w:w="0" w:type="dxa"/>
        </w:tblCellMar>
      </w:tblP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553,123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(1,370,591)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(817,468)</w:t>
            </w: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w w:val="96"/>
              </w:rPr>
              <w:t>Weighted average shares outstanding of redeemable ordinary</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21,970,163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21,970,163</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 and diluted net loss per share, ordinary shares subject to</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3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4"/>
              </w:rPr>
              <w:t>6,910,082</w:t>
            </w:r>
          </w:p>
        </w:tc>
        <w:tc>
          <w:tcPr>
            <w:tcW w:w="20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953,636</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7,863,718</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324"/>
        </w:trPr>
        <w:tc>
          <w:tcPr>
            <w:tcW w:w="4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2019 (unaudited)</w:t>
            </w:r>
          </w:p>
        </w:tc>
        <w:tc>
          <w:tcPr>
            <w:tcW w:w="3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548,123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1"/>
              </w:rPr>
              <w:t>(1,370,591)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(822,468)</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shares outstanding of redeemable ordinary</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21,970,163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21,970,163</w:t>
            </w: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w w:val="95"/>
              </w:rPr>
              <w:t>Basic and diluted net loss per share, ordinary shares subject to</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3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3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4"/>
              </w:rPr>
              <w:t>6,792,210</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783,344</w:t>
            </w: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7,575,554</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24"/>
        </w:trPr>
        <w:tc>
          <w:tcPr>
            <w:tcW w:w="4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b w:val="1"/>
                <w:bCs w:val="1"/>
                <w:color w:val="auto"/>
              </w:rPr>
              <w:t>Year ended December 31, 2019 (audited)</w:t>
            </w: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2"/>
              </w:rPr>
              <w:t>1,618,159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3,734,409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5,352,568</w:t>
            </w: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w w:val="96"/>
              </w:rPr>
              <w:t>Weighted average shares outstanding of redeemable ordinary</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shares</w:t>
            </w: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23,754,184</w:t>
            </w:r>
          </w:p>
        </w:tc>
        <w:tc>
          <w:tcPr>
            <w:tcW w:w="2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1"/>
              </w:rPr>
              <w:t>(1,817,232)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21,936,952</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4"/>
              </w:rPr>
              <w:t>Basic and diluted earnings per share, ordinary shares subject to</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0.08</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3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4"/>
              </w:rPr>
              <w:t>7,111,079</w:t>
            </w:r>
          </w:p>
        </w:tc>
        <w:tc>
          <w:tcPr>
            <w:tcW w:w="20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w w:val="97"/>
              </w:rPr>
              <w:t>1,256,028</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8,367,106</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324"/>
        </w:trPr>
        <w:tc>
          <w:tcPr>
            <w:tcW w:w="4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2020 (unaudited)</w:t>
            </w:r>
          </w:p>
        </w:tc>
        <w:tc>
          <w:tcPr>
            <w:tcW w:w="3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1,627,107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195,000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1,822,107</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shares outstanding of redeemable ordinary</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22,424,313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22,424,313</w:t>
            </w: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w w:val="94"/>
              </w:rPr>
              <w:t>Basic and diluted earnings per share, ordinary shares subject to</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3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3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4"/>
              </w:rPr>
              <w:t>7,509,819</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1,315,868</w:t>
            </w: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8,825,687</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24"/>
        </w:trPr>
        <w:tc>
          <w:tcPr>
            <w:tcW w:w="4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b w:val="1"/>
                <w:bCs w:val="1"/>
                <w:color w:val="auto"/>
              </w:rPr>
              <w:t>Three months ended June 30, 2020 (unaudited)</w:t>
            </w: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(161,809)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(2,985,000)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(3,146,809)</w:t>
            </w: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w w:val="96"/>
              </w:rPr>
              <w:t>Weighted average shares outstanding of redeemable ordinary</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22,419,605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22,419,605</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3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4"/>
              </w:rPr>
              <w:t>7,544,519</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1,285,876</w:t>
            </w: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8,830,395</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24"/>
        </w:trPr>
        <w:tc>
          <w:tcPr>
            <w:tcW w:w="4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b w:val="1"/>
                <w:bCs w:val="1"/>
                <w:color w:val="auto"/>
              </w:rPr>
              <w:t>Six months ended June 30, 2020 (unaudited)</w:t>
            </w: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2"/>
              </w:rPr>
              <w:t>1,465,298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(2,790,000)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(1,324,702)</w:t>
            </w: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w w:val="96"/>
              </w:rPr>
              <w:t>Weighted average shares outstanding of redeemable ordinary</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22,421,959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22,421,959</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4"/>
              </w:rPr>
              <w:t>Basic and diluted earnings per share, ordinary shares subject to</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432"/>
        </w:trPr>
        <w:tc>
          <w:tcPr>
            <w:tcW w:w="4800" w:type="dxa"/>
            <w:vAlign w:val="bottom"/>
          </w:tcPr>
          <w:p>
            <w:pPr>
              <w:ind w:left="4040"/>
              <w:spacing w:after="0"/>
              <w:rPr>
                <w:sz w:val="20"/>
                <w:szCs w:val="20"/>
                <w:color w:val="auto"/>
              </w:rPr>
            </w:pPr>
            <w:r>
              <w:rPr>
                <w:rFonts w:ascii="Arial" w:cs="Arial" w:eastAsia="Arial" w:hAnsi="Arial"/>
                <w:sz w:val="18"/>
                <w:szCs w:val="18"/>
                <w:color w:val="auto"/>
              </w:rPr>
              <w:t>F-40</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9019"/>
          </w:cols>
          <w:pgMar w:left="1440" w:top="262" w:right="1440" w:bottom="0"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96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7"/>
              </w:rPr>
              <w:t>As Previously</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24"/>
                <w:szCs w:val="24"/>
                <w:color w:val="auto"/>
              </w:rPr>
            </w:pPr>
          </w:p>
        </w:tc>
        <w:tc>
          <w:tcPr>
            <w:tcW w:w="2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34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7,527,169</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1,300,872</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8,828,041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September 30, 2020 (unaudited)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(113,960)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(1,305,000)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(1,418,960)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of redeemable ordinary</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22,104,581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22,104,581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7,566,134</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1,579,285</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9,145,419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 2020 (unaudited)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1,351,338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(4,095,000)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(2,743,662)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of redeemable ordinary</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22,315,394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22,315,394</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Basic and diluted earnings per share, ordinary shares subject to</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7,538,169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1,396,437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8,934,606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 (audited)</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1"/>
              </w:rPr>
              <w:t>(1,601,521)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$(50,420,000)</w:t>
            </w:r>
          </w:p>
        </w:tc>
        <w:tc>
          <w:tcPr>
            <w:tcW w:w="2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0"/>
              </w:rPr>
              <w:t>$(52,021,521)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redeemable ordinary</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23,699,368</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(1,473,041)</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22,226,328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w w:val="97"/>
              </w:rPr>
              <w:t>Basic and diluted earnings per share, ordinary shares subject to</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color w:val="auto"/>
              </w:rPr>
              <w:t>redemption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7,550,632</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1,473,041</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9,023,672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for the period from June 7, 2019</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(inception) through September 30, 2019 (unaudited)</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548,123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(1,370,591)</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(822,468)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w w:val="98"/>
              </w:rPr>
              <w:t>Adjustments to reconcile net loss to net cash used in operating</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Compensation expense</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(630,591)</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(630,591)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cash flows year ended December 31, 2019</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(audited)</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1,618,159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3,734,409</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5,352,568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to net cash used in operating</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4,645,000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4,645,000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Transaction costs</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(630,591)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(630,591)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w w:val="95"/>
              </w:rPr>
              <w:t>Statement of cash flows three months ended March 31, 2020</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1,627,107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1,822,107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20" w:type="dxa"/>
            <w:vAlign w:val="bottom"/>
          </w:tcPr>
          <w:p>
            <w:pPr>
              <w:ind w:left="2500"/>
              <w:spacing w:after="0"/>
              <w:rPr>
                <w:sz w:val="20"/>
                <w:szCs w:val="20"/>
                <w:color w:val="auto"/>
              </w:rPr>
            </w:pPr>
            <w:r>
              <w:rPr>
                <w:rFonts w:ascii="Arial" w:cs="Arial" w:eastAsia="Arial" w:hAnsi="Arial"/>
                <w:sz w:val="18"/>
                <w:szCs w:val="18"/>
                <w:color w:val="auto"/>
              </w:rPr>
              <w:t>F-41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-9823450</wp:posOffset>
            </wp:positionV>
            <wp:extent cx="1200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-9823450</wp:posOffset>
            </wp:positionV>
            <wp:extent cx="12001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-9823450</wp:posOffset>
            </wp:positionV>
            <wp:extent cx="603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20"/>
          </w:cols>
          <w:pgMar w:left="440" w:top="262" w:right="439" w:bottom="0" w:gutter="0" w:footer="0" w:header="0"/>
        </w:sectPr>
      </w:pPr>
    </w:p>
    <w:bookmarkStart w:id="182" w:name="page183"/>
    <w:bookmarkEnd w:id="182"/>
    <w:tbl>
      <w:tblPr>
        <w:tblLayout w:type="fixed"/>
        <w:tblInd w:w="300" w:type="dxa"/>
        <w:tblCellMar>
          <w:top w:w="0" w:type="dxa"/>
          <w:left w:w="0" w:type="dxa"/>
          <w:bottom w:w="0" w:type="dxa"/>
          <w:right w:w="0" w:type="dxa"/>
        </w:tblCellMar>
      </w:tblPr>
      <w:tr>
        <w:trPr>
          <w:trHeight w:val="161"/>
        </w:trPr>
        <w:tc>
          <w:tcPr>
            <w:tcW w:w="498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7"/>
              </w:rPr>
              <w:t>As Previously</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24"/>
                <w:szCs w:val="24"/>
                <w:color w:val="auto"/>
              </w:rPr>
            </w:pPr>
          </w:p>
        </w:tc>
        <w:tc>
          <w:tcPr>
            <w:tcW w:w="9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0" w:type="dxa"/>
            <w:vAlign w:val="bottom"/>
          </w:tcPr>
          <w:p>
            <w:pPr>
              <w:jc w:val="right"/>
              <w:ind w:right="134"/>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CCEEFF"/>
            </w:tcBorders>
          </w:tcPr>
          <w:p>
            <w:pPr>
              <w:spacing w:after="0"/>
              <w:rPr>
                <w:sz w:val="4"/>
                <w:szCs w:val="4"/>
                <w:color w:val="auto"/>
              </w:rPr>
            </w:pPr>
          </w:p>
        </w:tc>
        <w:tc>
          <w:tcPr>
            <w:tcW w:w="34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to net cash used in operating</w:t>
            </w: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8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54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six months ended June 30, 2020</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ind w:left="180"/>
              <w:spacing w:after="0"/>
              <w:rPr>
                <w:sz w:val="20"/>
                <w:szCs w:val="20"/>
                <w:color w:val="auto"/>
              </w:rPr>
            </w:pPr>
            <w:r>
              <w:rPr>
                <w:rFonts w:ascii="Arial" w:cs="Arial" w:eastAsia="Arial" w:hAnsi="Arial"/>
                <w:sz w:val="18"/>
                <w:szCs w:val="18"/>
                <w:b w:val="1"/>
                <w:bCs w:val="1"/>
                <w:color w:val="auto"/>
              </w:rPr>
              <w:t>(unaudited)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$ 1,465,298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(2,790,000)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(1,324,702)</w:t>
            </w:r>
          </w:p>
        </w:tc>
        <w:tc>
          <w:tcPr>
            <w:tcW w:w="0" w:type="dxa"/>
            <w:vAlign w:val="bottom"/>
          </w:tcPr>
          <w:p>
            <w:pPr>
              <w:spacing w:after="0"/>
              <w:rPr>
                <w:sz w:val="1"/>
                <w:szCs w:val="1"/>
                <w:color w:val="auto"/>
              </w:rPr>
            </w:pPr>
          </w:p>
        </w:tc>
      </w:tr>
      <w:tr>
        <w:trPr>
          <w:trHeight w:val="256"/>
        </w:trPr>
        <w:tc>
          <w:tcPr>
            <w:tcW w:w="4980" w:type="dxa"/>
            <w:vAlign w:val="bottom"/>
            <w:gridSpan w:val="2"/>
          </w:tcPr>
          <w:p>
            <w:pPr>
              <w:spacing w:after="0"/>
              <w:rPr>
                <w:sz w:val="20"/>
                <w:szCs w:val="20"/>
                <w:color w:val="auto"/>
              </w:rPr>
            </w:pPr>
            <w:r>
              <w:rPr>
                <w:rFonts w:ascii="Arial" w:cs="Arial" w:eastAsia="Arial" w:hAnsi="Arial"/>
                <w:sz w:val="18"/>
                <w:szCs w:val="18"/>
                <w:color w:val="auto"/>
                <w:w w:val="99"/>
              </w:rPr>
              <w:t>Adjustments to reconcile net loss to net cash used in operating</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activities: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(2,790,000)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(2,790,000)</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Statement of cash flows nine months ended September 30,</w:t>
            </w: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2020 (unaudited)</w:t>
            </w:r>
          </w:p>
        </w:tc>
        <w:tc>
          <w:tcPr>
            <w:tcW w:w="10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000" w:type="dxa"/>
            <w:vAlign w:val="bottom"/>
          </w:tcPr>
          <w:p>
            <w:pPr>
              <w:jc w:val="right"/>
              <w:spacing w:after="0"/>
              <w:rPr>
                <w:sz w:val="20"/>
                <w:szCs w:val="20"/>
                <w:color w:val="auto"/>
              </w:rPr>
            </w:pPr>
            <w:r>
              <w:rPr>
                <w:rFonts w:ascii="Arial" w:cs="Arial" w:eastAsia="Arial" w:hAnsi="Arial"/>
                <w:sz w:val="18"/>
                <w:szCs w:val="18"/>
                <w:color w:val="auto"/>
                <w:w w:val="94"/>
              </w:rPr>
              <w:t>$ 1,351,338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(4,095,000)</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(2,743,662)</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to net cash used in operating</w:t>
            </w: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8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(4,095,000)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(4,095,000)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54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year ended December 31, 2020</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ind w:left="180"/>
              <w:spacing w:after="0"/>
              <w:rPr>
                <w:sz w:val="20"/>
                <w:szCs w:val="20"/>
                <w:color w:val="auto"/>
              </w:rPr>
            </w:pPr>
            <w:r>
              <w:rPr>
                <w:rFonts w:ascii="Arial" w:cs="Arial" w:eastAsia="Arial" w:hAnsi="Arial"/>
                <w:sz w:val="18"/>
                <w:szCs w:val="18"/>
                <w:b w:val="1"/>
                <w:bCs w:val="1"/>
                <w:color w:val="auto"/>
              </w:rPr>
              <w:t>(audited)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$(1,601,521)</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$(50,420,000)</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$(52,021,521)</w:t>
            </w:r>
          </w:p>
        </w:tc>
        <w:tc>
          <w:tcPr>
            <w:tcW w:w="0" w:type="dxa"/>
            <w:vAlign w:val="bottom"/>
          </w:tcPr>
          <w:p>
            <w:pPr>
              <w:spacing w:after="0"/>
              <w:rPr>
                <w:sz w:val="1"/>
                <w:szCs w:val="1"/>
                <w:color w:val="auto"/>
              </w:rPr>
            </w:pPr>
          </w:p>
        </w:tc>
      </w:tr>
      <w:tr>
        <w:trPr>
          <w:trHeight w:val="256"/>
        </w:trPr>
        <w:tc>
          <w:tcPr>
            <w:tcW w:w="4980" w:type="dxa"/>
            <w:vAlign w:val="bottom"/>
            <w:gridSpan w:val="2"/>
          </w:tcPr>
          <w:p>
            <w:pPr>
              <w:spacing w:after="0"/>
              <w:rPr>
                <w:sz w:val="20"/>
                <w:szCs w:val="20"/>
                <w:color w:val="auto"/>
              </w:rPr>
            </w:pPr>
            <w:r>
              <w:rPr>
                <w:rFonts w:ascii="Arial" w:cs="Arial" w:eastAsia="Arial" w:hAnsi="Arial"/>
                <w:sz w:val="18"/>
                <w:szCs w:val="18"/>
                <w:color w:val="auto"/>
                <w:w w:val="99"/>
              </w:rPr>
              <w:t>Adjustments to reconcile net loss to net cash used in operating</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activities: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(50,420,000)</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(50,420,000)</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34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-4465320</wp:posOffset>
            </wp:positionV>
            <wp:extent cx="12001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-4465320</wp:posOffset>
            </wp:positionV>
            <wp:extent cx="12001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-4465320</wp:posOffset>
            </wp:positionV>
            <wp:extent cx="603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9" w:lineRule="exact"/>
        <w:rPr>
          <w:sz w:val="20"/>
          <w:szCs w:val="20"/>
          <w:color w:val="auto"/>
        </w:rPr>
      </w:pPr>
    </w:p>
    <w:p>
      <w:pPr>
        <w:ind w:left="300" w:right="3159"/>
        <w:spacing w:after="0" w:line="385" w:lineRule="auto"/>
        <w:rPr>
          <w:sz w:val="20"/>
          <w:szCs w:val="20"/>
          <w:color w:val="auto"/>
        </w:rPr>
      </w:pPr>
      <w:r>
        <w:rPr>
          <w:rFonts w:ascii="Arial" w:cs="Arial" w:eastAsia="Arial" w:hAnsi="Arial"/>
          <w:sz w:val="18"/>
          <w:szCs w:val="18"/>
          <w:b w:val="1"/>
          <w:bCs w:val="1"/>
          <w:color w:val="auto"/>
        </w:rPr>
        <w:t xml:space="preserve">NOTE 3.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The accompanying consolidated financial statements are presented in conformity with accounting principles generally accepted in the United States of America (“GAAP”) and pursuant to the rules and regulations of the SEC.</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 owned subsidiary where the Company has the ability to exercise control.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83" w:name="page184"/>
    <w:bookmarkEnd w:id="18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7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 and December 31, 2019.</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At December 31, 2020, the assets held in the Trust Account were held in money market funds, which primarily invest in U.S. Treasury securities and U.S. Treasury Bills. At December 31, 2019, the assets held in the Trust Account were substantially held in U.S. Treasury Bills.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Warrant Liability (Restated)</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6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Transaction Costs and Related Compensation</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Company accounts for transaction costs associated with the issuance of equity and equity-like instruments depending on the nature of the instruments themselves. Transaction costs related to equity instruments of the company are charged against the aggregate offering proceeds. Transaction costs related to the issuance of equity-like instruments which the Company classifies as derivative liabilities are immediately expensed concurrent with the offering. In the event that the issuance two or more instruments are deemed to constitute one in the same transaction, the Company allocates the transaction costs between the constituent components pro rata according to the fair value of each component.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4" w:name="page185"/>
    <w:bookmarkEnd w:id="18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To the extent that the aggregate proceeds from the issuance of an instrument which is classified by the Company as a derivative liability is less than the fair market value determination of such liability, the amount of such liability in excess of the aggregate issuance proceeds is immediately recorded as compensation expense.</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consolidated balance sheets.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6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7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Net Income (Loss) Per Ordinary Share (Restated)</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Net income (loss) per ordinary share is computed by dividing net income by the weighted-average number of ordinary shares outstanding during the period. The Company has not considered the effect of the warrants sold in the Public Offering and Private Placement to purchase an aggregate of 19,500,000 shares in the calculation of diluted loss per share, since the exercise of the warrants are contingent upon the occurrence of future events and the inclusion of such warrants would be anti-dilutive.</w:t>
      </w:r>
    </w:p>
    <w:p>
      <w:pPr>
        <w:spacing w:after="0" w:line="80"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The Company’s statement of operations includes a presentation of income (loss) per share for ordinary shares subject to possible redemption in a manner similar to the two-class method of income (loss) per ordinary share. Net income (loss) per ordinary share, basic and diluted, for Ordinary shares subject to possible redemption is calculated by dividing the proportionate share of income or loss on marketable securities held by the Trust Account, by the weighted average number of Ordinary shares subject to possible redemption outstanding since original issuance.</w:t>
      </w:r>
    </w:p>
    <w:p>
      <w:pPr>
        <w:spacing w:after="0" w:line="5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Net income (loss) per share, basic and diluted, for non-redeemable ordinary shares is calculated by dividing the net loss, adjusted for income or loss on marketable securities attributable to Ordinary shares subject to possible redemption, by the weighted average number of non-redeemable ordinary shares outstanding for the period.</w:t>
      </w:r>
    </w:p>
    <w:p>
      <w:pPr>
        <w:spacing w:after="0" w:line="4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Non-redeemable ordinary shares include Founder Shares and non-redeemable ordinary shares as these shares do not have any redemption features. Non-redeemable ordinary shares participate in the income or loss on marketable securities based on non-redeemable ordinary shares’ proportionate interest.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5" w:name="page186"/>
    <w:bookmarkEnd w:id="18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table reflects the calculation of basic and diluted net income (loss) per ordinary share (in dollars, except per share amounts):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from June 7, 2019</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For year ended</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53"/>
        </w:trPr>
        <w:tc>
          <w:tcPr>
            <w:tcW w:w="58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Ordinary shares subject to possible redemption</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0"/>
                <w:szCs w:val="20"/>
                <w:color w:val="auto"/>
              </w:rPr>
            </w:pPr>
            <w:r>
              <w:rPr>
                <w:rFonts w:ascii="Arial" w:cs="Arial" w:eastAsia="Arial" w:hAnsi="Arial"/>
                <w:sz w:val="18"/>
                <w:szCs w:val="18"/>
                <w:color w:val="auto"/>
              </w:rPr>
              <w:t>Numerator: Earnings allocable to Ordinary shares subject to possible</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1,545,139</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1,721,223</w:t>
            </w:r>
          </w:p>
        </w:tc>
        <w:tc>
          <w:tcPr>
            <w:tcW w:w="0" w:type="dxa"/>
            <w:vAlign w:val="bottom"/>
          </w:tcPr>
          <w:p>
            <w:pPr>
              <w:spacing w:after="0"/>
              <w:rPr>
                <w:sz w:val="1"/>
                <w:szCs w:val="1"/>
                <w:color w:val="auto"/>
              </w:rPr>
            </w:pP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Unrealized gain on investments held in Trust Account</w:t>
            </w:r>
          </w:p>
        </w:tc>
        <w:tc>
          <w:tcPr>
            <w:tcW w:w="2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3,235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106,750</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1,548,374</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1,827,973</w:t>
            </w: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0"/>
                <w:szCs w:val="20"/>
                <w:color w:val="auto"/>
              </w:rPr>
            </w:pPr>
            <w:r>
              <w:rPr>
                <w:rFonts w:ascii="Arial" w:cs="Arial" w:eastAsia="Arial" w:hAnsi="Arial"/>
                <w:sz w:val="18"/>
                <w:szCs w:val="18"/>
                <w:color w:val="auto"/>
              </w:rPr>
              <w:t>Denominator: Weighted Average Ordinary shares subject to possible</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22,226,328</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21,936,952</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Basic and diluted net income per share</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3"/>
                <w:szCs w:val="23"/>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i w:val="1"/>
                <w:iCs w:val="1"/>
                <w:color w:val="auto"/>
              </w:rPr>
              <w:t>Non-Redeemable Ordinary Shares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Net Loss minus Net Earnings</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(loss)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8"/>
              </w:rPr>
              <w:t>$(52,021,521)</w:t>
            </w:r>
          </w:p>
        </w:tc>
        <w:tc>
          <w:tcPr>
            <w:tcW w:w="220" w:type="dxa"/>
            <w:vAlign w:val="bottom"/>
          </w:tcPr>
          <w:p>
            <w:pPr>
              <w:spacing w:after="0"/>
              <w:rPr>
                <w:sz w:val="23"/>
                <w:szCs w:val="23"/>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5,352,568</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allocable to Ordinary shares subject to possible redemption</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(1,548,374)</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(1,827,973)</w:t>
            </w:r>
          </w:p>
        </w:tc>
        <w:tc>
          <w:tcPr>
            <w:tcW w:w="0" w:type="dxa"/>
            <w:vAlign w:val="bottom"/>
          </w:tcPr>
          <w:p>
            <w:pPr>
              <w:spacing w:after="0"/>
              <w:rPr>
                <w:sz w:val="1"/>
                <w:szCs w:val="1"/>
                <w:color w:val="auto"/>
              </w:rPr>
            </w:pPr>
          </w:p>
        </w:tc>
      </w:tr>
      <w:tr>
        <w:trPr>
          <w:trHeight w:val="270"/>
        </w:trPr>
        <w:tc>
          <w:tcPr>
            <w:tcW w:w="5860" w:type="dxa"/>
            <w:vAlign w:val="bottom"/>
          </w:tcPr>
          <w:p>
            <w:pPr>
              <w:ind w:left="360"/>
              <w:spacing w:after="0"/>
              <w:rPr>
                <w:sz w:val="20"/>
                <w:szCs w:val="20"/>
                <w:color w:val="auto"/>
              </w:rPr>
            </w:pPr>
            <w:r>
              <w:rPr>
                <w:rFonts w:ascii="Arial" w:cs="Arial" w:eastAsia="Arial" w:hAnsi="Arial"/>
                <w:sz w:val="18"/>
                <w:szCs w:val="18"/>
                <w:color w:val="auto"/>
              </w:rPr>
              <w:t>Non-Redeemable Net (Loss)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8"/>
              </w:rPr>
              <w:t>$(53,569,895)</w:t>
            </w:r>
          </w:p>
        </w:tc>
        <w:tc>
          <w:tcPr>
            <w:tcW w:w="220" w:type="dxa"/>
            <w:vAlign w:val="bottom"/>
          </w:tcPr>
          <w:p>
            <w:pPr>
              <w:spacing w:after="0"/>
              <w:rPr>
                <w:sz w:val="23"/>
                <w:szCs w:val="23"/>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3,524,595</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Weighted Average Non-Redeemable Ordinary Shares</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9,023,672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8,367,106</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income per share</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54"/>
        </w:trPr>
        <w:tc>
          <w:tcPr>
            <w:tcW w:w="58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-3788410</wp:posOffset>
            </wp:positionV>
            <wp:extent cx="13716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-3788410</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consolidated financial statements, primarily due to their short-term nature.</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 (Restated)</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68" w:lineRule="exact"/>
        <w:rPr>
          <w:sz w:val="20"/>
          <w:szCs w:val="20"/>
          <w:color w:val="auto"/>
        </w:rPr>
      </w:pPr>
    </w:p>
    <w:p>
      <w:pPr>
        <w:ind w:left="1000" w:right="319" w:hanging="348"/>
        <w:spacing w:after="0" w:line="277"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6" w:name="page187"/>
    <w:bookmarkEnd w:id="18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Derivative Financial Instruments (Restated)</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consolidated financial statements.</w:t>
      </w:r>
    </w:p>
    <w:p>
      <w:pPr>
        <w:spacing w:after="0" w:line="315"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NOTE 4.</w:t>
        <w:tab/>
        <w:t>INITIAL PUBLIC OFFERING</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the Initial Public Offering, the Company sold 25,000,000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8).</w:t>
      </w:r>
    </w:p>
    <w:p>
      <w:pPr>
        <w:spacing w:after="0" w:line="331"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NOTE 5.</w:t>
        <w:tab/>
        <w:t>PRIVATE PLACEMENT</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7,000,000 Private Placement Warrants at a purchase price of $1.00 per Private Placement Warrant, for an aggregate purchase price of $7,000,000. The proceeds from the sale of the Private Placement Warrants were added to the net proceeds from the Initial Public Offering held in the Trust Account. Each Private Placement Warrant is exercisable for one Class A Share at a price of $11.50 per share, subject to adjustment (see Note 8).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96"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RELATED PARTY TRANSACTIONS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8.</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Founder Shares included an aggregate of up to 937,500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The underwriters’ over-allotment option expired unexercised on September 26, 2019 and, as a result, 937,500 Founder Shares were forfeited, resulting in the Sponsor holding an aggregate of 6,250,000 Founder Shares.</w:t>
      </w:r>
    </w:p>
    <w:p>
      <w:pPr>
        <w:spacing w:after="0" w:line="8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Sponsor has agreed, subject to limited exceptions, not to transfer, assign or sell any of its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7" w:name="page188"/>
    <w:bookmarkEnd w:id="18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Company entered into an agreement whereby, commencing on August 7, 2019, the Company will pay the Sponsor up to $20,000 per month for office space, administrative and support services. Upon completion of a Business Combination or its liquidation, the Company will cease paying these monthly fees. For the year ended December 31, 2020 and for the period from June 7, 2019 through December 31, 2019, the Company incurred $240,000 and $92,903 of such fees, of which $279,879 and $82,228 of such fees are included in accounts payable and accrued expenses in the accompanying consolidated balance sheets at December 31, 2020 and 2019, respectively.</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On June 10, 2019, the Company issued an unsecured promissory note to the Sponsor, pursuant to which the Company borrowed an aggregate principal amount of $237,470. The note was non-interest bearing and payable on the earlier of (i) January 31, 2020 and (ii) the completion of the Initial Public Offering. The note was repaid in full upon the consummation of the Initial Public Offering on August 12, 2019.</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177"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NOTE 7.</w:t>
        <w:tab/>
        <w:t>COMMITMENTS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Pursuant to a registration rights agreement entered into on August 7, 2019, 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are entitled to registration rights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underwriters were paid a cash underwriting discount of $0.20 per Unit, or $5,000,000 in the aggregate. In addition, the underwriters are entitled to a deferred fee of $0.35 per Unit, or $8,750,000 in the aggregate, which will become payable to the underwriters from the amounts held in the Trust Account solely in the event that the Company completes a Business Combination, subject to the terms of the underwriting agreement.</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December 10, 2020, the Company entered into an Agreement and Plan of Merger (the “Merger Agreement”) with Merger Sub, WMH and Ghost Media Group, LLC, a Nevada limited liability company, solely in its capacity as the securityholder representative thereunder (the “Holder Representative”).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8" w:name="page189"/>
    <w:bookmarkEnd w:id="18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the Merger Agreement, Merger Sub will merge with and into WMH with WMH continuing as the surviving entity and a subsidiary of the Company (refer to as “Surviving Pubco” following the Business Combination) (the “Merger” and the other transactions contemplated by the Merger Agreement, the “Business Combination”).</w:t>
      </w:r>
    </w:p>
    <w:p>
      <w:pPr>
        <w:spacing w:after="0" w:line="7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As a result of the Business Combination, each issued and outstanding Class A ordinary share and Class B ordinary share of the Company will convert into a share of Class A common stock of Surviving Pubco, and each issued and outstanding warrant to purchase Class A ordinary shares of the Company will be exercisable by its terms to purchase an equal number of shares of Class A common stock of Surviving Pubco.</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merger consideration (the “Merger Consideration”) to be paid to holders of the limited liability company interests of WMH (each, a “WMH Equity Holder”) at the closing of the Business Combination (the “Closing”) pursuant to the Merger Agreement will be equal to $1.31 billion and will be paid in a mix of cash and equity consideration.</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166"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SHAREHOLDERS’ EQUITY (RESTATED)</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i w:val="1"/>
          <w:iCs w:val="1"/>
          <w:color w:val="auto"/>
        </w:rPr>
        <w:t xml:space="preserve">Preferred Shares </w:t>
      </w:r>
      <w:r>
        <w:rPr>
          <w:rFonts w:ascii="Arial" w:cs="Arial" w:eastAsia="Arial" w:hAnsi="Arial"/>
          <w:sz w:val="17"/>
          <w:szCs w:val="17"/>
          <w:color w:val="auto"/>
        </w:rPr>
        <w:t>— The Company is authorized to issue 1,000,000 preference shares with a par value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$0.0001. The 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December 31, 2020 and December 31, 2019, there were no preference shares issued or outstanding.</w:t>
      </w:r>
    </w:p>
    <w:p>
      <w:pPr>
        <w:spacing w:after="0" w:line="69"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200,000,000 Class A ordinary shares,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 value of $0.0001 per share. Holders of Class A ordinary shares are entitled to one vote for each share. At December 31, 2020 and December 31, 2019, there were 7,891,750 and 2,575,687 shares of Class A ordinary shares issued or outstanding, excluding 17,108,250 and 22,424,313 Class A ordinary shares subject to possible redemption, respectively.</w:t>
      </w:r>
    </w:p>
    <w:p>
      <w:pPr>
        <w:spacing w:after="0" w:line="80"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20,000,000 Class B ordinary shares,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 value of $0.0001 per share. Holders of the Class B ordinary shares are entitled to one vote for each share. At December 31, 2020 and December 31, 2019, there were 6,250,000 Class B ordinary shares issued and outstanding.</w:t>
      </w:r>
    </w:p>
    <w:p>
      <w:pPr>
        <w:spacing w:after="0" w:line="4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4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168"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NOTE 9.</w:t>
        <w:tab/>
        <w:t>WARRANT LIABILITY</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shares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upon 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9" w:name="page190"/>
    <w:bookmarkEnd w:id="18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7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it’s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Once the Public Warrants become exercisable, the Company may redeem the Public Warrants for redemption:</w:t>
      </w:r>
    </w:p>
    <w:p>
      <w:pPr>
        <w:spacing w:after="0" w:line="140" w:lineRule="exact"/>
        <w:rPr>
          <w:sz w:val="20"/>
          <w:szCs w:val="20"/>
          <w:color w:val="auto"/>
        </w:rPr>
      </w:pPr>
    </w:p>
    <w:p>
      <w:pPr>
        <w:ind w:left="1000"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0" w:name="page191"/>
    <w:bookmarkEnd w:id="19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4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309" w:lineRule="exact"/>
        <w:rPr>
          <w:sz w:val="20"/>
          <w:szCs w:val="20"/>
          <w:color w:val="auto"/>
        </w:rPr>
      </w:pPr>
    </w:p>
    <w:p>
      <w:pPr>
        <w:ind w:left="300"/>
        <w:spacing w:after="0"/>
        <w:tabs>
          <w:tab w:leader="none" w:pos="12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FAIR VALUE MEASUREMENTS (RESTATED)</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3"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December 31, 2019, and indicates the fair value hierarchy of the valuation inputs the Company utilized to determine such fair value:</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Level</w:t>
            </w: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jc w:val="right"/>
              <w:ind w:right="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1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0" w:type="dxa"/>
            <w:vAlign w:val="bottom"/>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1040" w:type="dxa"/>
            <w:vAlign w:val="bottom"/>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476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$254,187,706</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$251,924,993</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gridSpan w:val="2"/>
          </w:tcPr>
          <w:p>
            <w:pPr>
              <w:spacing w:after="0"/>
              <w:rPr>
                <w:sz w:val="20"/>
                <w:szCs w:val="20"/>
                <w:color w:val="auto"/>
              </w:rPr>
            </w:pPr>
            <w:r>
              <w:rPr>
                <w:rFonts w:ascii="Arial" w:cs="Arial" w:eastAsia="Arial" w:hAnsi="Arial"/>
                <w:sz w:val="18"/>
                <w:szCs w:val="18"/>
                <w:color w:val="auto"/>
              </w:rPr>
              <w:t>Warrant Liability – Public Warrants</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41,000,000</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22,680,000</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8,260,000</w:t>
            </w:r>
          </w:p>
        </w:tc>
        <w:tc>
          <w:tcPr>
            <w:tcW w:w="0" w:type="dxa"/>
            <w:vAlign w:val="bottom"/>
          </w:tcPr>
          <w:p>
            <w:pPr>
              <w:spacing w:after="0"/>
              <w:rPr>
                <w:sz w:val="1"/>
                <w:szCs w:val="1"/>
                <w:color w:val="auto"/>
              </w:rPr>
            </w:pPr>
          </w:p>
        </w:tc>
      </w:tr>
      <w:tr>
        <w:trPr>
          <w:trHeight w:val="54"/>
        </w:trPr>
        <w:tc>
          <w:tcPr>
            <w:tcW w:w="47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-1045210</wp:posOffset>
            </wp:positionV>
            <wp:extent cx="2743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-1045210</wp:posOffset>
            </wp:positionV>
            <wp:extent cx="2743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-1045210</wp:posOffset>
            </wp:positionV>
            <wp:extent cx="27432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consolidated balance sheet. The warrant liabilities are measured at fair value at inception and on a recurring basis, with changes in fair value presented within change in fair value of warrant liabilities in the consolidated statement of operations.</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Private Warrants were initially valued using a Modified Black Scholes Option Pricing Model, which is considered to be a Level 3 fair value measurement. The Modified Black Scholes model’s primary unobservable input utilized in determining the fair value of the Private Warrants is the expected volatility of the common stock.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1" w:name="page192"/>
    <w:bookmarkEnd w:id="19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expected volatility as of the IPO date was derived from observable public warrant pricing on comparable ‘blank-check’ companies without an identified target. The expected volatility as of subsequent valuation dates was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Warrants. For periods subsequent to the detachment of the warrants from the Units, the close price of the public warrant price was used as the fair value as of each relevant date.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Private</w:t>
            </w:r>
          </w:p>
        </w:tc>
        <w:tc>
          <w:tcPr>
            <w:tcW w:w="10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Public</w:t>
            </w:r>
          </w:p>
        </w:tc>
        <w:tc>
          <w:tcPr>
            <w:tcW w:w="100" w:type="dxa"/>
            <w:vAlign w:val="bottom"/>
          </w:tcPr>
          <w:p>
            <w:pPr>
              <w:spacing w:after="0"/>
              <w:rPr>
                <w:sz w:val="14"/>
                <w:szCs w:val="14"/>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Placement</w:t>
            </w: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53"/>
        </w:trPr>
        <w:tc>
          <w:tcPr>
            <w:tcW w:w="42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June 7, 2019</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Initial measurement on August 12, 2019</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7,280,000</w:t>
            </w:r>
          </w:p>
        </w:tc>
        <w:tc>
          <w:tcPr>
            <w:tcW w:w="3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5"/>
              </w:rPr>
              <w:t>10,625,000</w:t>
            </w:r>
          </w:p>
        </w:tc>
        <w:tc>
          <w:tcPr>
            <w:tcW w:w="3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7"/>
              </w:rPr>
              <w:t>17,905,000</w:t>
            </w:r>
          </w:p>
        </w:tc>
        <w:tc>
          <w:tcPr>
            <w:tcW w:w="0" w:type="dxa"/>
            <w:vAlign w:val="bottom"/>
          </w:tcPr>
          <w:p>
            <w:pPr>
              <w:spacing w:after="0"/>
              <w:rPr>
                <w:sz w:val="1"/>
                <w:szCs w:val="1"/>
                <w:color w:val="auto"/>
              </w:rPr>
            </w:pPr>
          </w:p>
        </w:tc>
      </w:tr>
      <w:tr>
        <w:trPr>
          <w:trHeight w:val="54"/>
        </w:trPr>
        <w:tc>
          <w:tcPr>
            <w:tcW w:w="4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980,000</w:t>
            </w: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(5,625,000)</w:t>
            </w: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(4,645,000)</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Fair value as of December 31, 2019</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8,260,000</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5,000,000</w:t>
            </w:r>
          </w:p>
        </w:tc>
        <w:tc>
          <w:tcPr>
            <w:tcW w:w="3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7"/>
              </w:rPr>
              <w:t>13,260,000</w:t>
            </w:r>
          </w:p>
        </w:tc>
        <w:tc>
          <w:tcPr>
            <w:tcW w:w="0" w:type="dxa"/>
            <w:vAlign w:val="bottom"/>
          </w:tcPr>
          <w:p>
            <w:pPr>
              <w:spacing w:after="0"/>
              <w:rPr>
                <w:sz w:val="1"/>
                <w:szCs w:val="1"/>
                <w:color w:val="auto"/>
              </w:rPr>
            </w:pPr>
          </w:p>
        </w:tc>
      </w:tr>
      <w:tr>
        <w:trPr>
          <w:trHeight w:val="54"/>
        </w:trPr>
        <w:tc>
          <w:tcPr>
            <w:tcW w:w="4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14,420,000</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36,000,000</w:t>
            </w: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50,420,000</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Fair value as of December 31, 2020</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$22,680,000</w:t>
            </w:r>
          </w:p>
        </w:tc>
        <w:tc>
          <w:tcPr>
            <w:tcW w:w="3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87"/>
              </w:rPr>
              <w:t>$41,000,000</w:t>
            </w:r>
          </w:p>
        </w:tc>
        <w:tc>
          <w:tcPr>
            <w:tcW w:w="300" w:type="dxa"/>
            <w:vAlign w:val="bottom"/>
          </w:tcPr>
          <w:p>
            <w:pPr>
              <w:spacing w:after="0"/>
              <w:rPr>
                <w:sz w:val="23"/>
                <w:szCs w:val="23"/>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$63,680,000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-1216660</wp:posOffset>
            </wp:positionV>
            <wp:extent cx="18859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-1216660</wp:posOffset>
            </wp:positionV>
            <wp:extent cx="18859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-1216660</wp:posOffset>
            </wp:positionV>
            <wp:extent cx="939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21" w:lineRule="exact"/>
        <w:rPr>
          <w:sz w:val="20"/>
          <w:szCs w:val="20"/>
          <w:color w:val="auto"/>
        </w:rPr>
      </w:pPr>
    </w:p>
    <w:p>
      <w:pPr>
        <w:ind w:left="300"/>
        <w:spacing w:after="0"/>
        <w:tabs>
          <w:tab w:leader="none" w:pos="12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SUBSEQUENT EVENTS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consolidated financial statements were issued. Based upon this review, other than as describe below, the Company did not identify any subsequent events that would have required adjustment or disclosure in the consolidated financial statements.</w:t>
      </w:r>
    </w:p>
    <w:p>
      <w:pPr>
        <w:spacing w:after="0" w:line="79"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On January 13, 2021, the Company held an Extraordinary General Meeting pursuant to which the Company’s shareholders approved extending the Extension Date. In connection with the approval of the extension, shareholders elected to redeem an aggregate of 1,425 Class A ordinary shares. As a result, an aggregate of $14,489 (or approximately $10.17 per share) was released from the Company’s Trust Account to pay such shareholders.</w:t>
      </w:r>
    </w:p>
    <w:p>
      <w:pPr>
        <w:spacing w:after="0" w:line="4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February 18, 2021, the Company issued a Note in the amount of up to $750,000 to the Sponsor for general working capital purposes. The Note is non-interest bearing and payable upon the earlier to occur of (i) June 10, 2021 or (ii) the consummation of a Business Combination. If the Company does not consummate a Business Combination, the Company may use a portion of any funds held outside the Trust Account to repay the Note; however, no proceeds from the Trust Account may be used for such repayment.</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Beginning on January 27, 2021, purported stockholders of the Company filed or threatened to file lawsuits in connection with the Company’s prospective merger with WMH,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prospective Merger omits material information related to the proposed transaction, and asserts claims for breach of fiduciary duty against certain of the Company’s current officers and directors and for aiding and abetting breach of fiduciary duty against the Company. The Stout complaint also asserts aiding and abetting claims against WMH and Merger Sub. Plaintiffs seek injunctive relief to enjoin the proposed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the company,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proposed Merger, pending dissemination of supplemental disclosures, unspecified damages and attorneys’ fees and costs. The Company believes that these allegations are without merit. These matters are in the early stages and the Company is unable to reasonably determine the outcome or estimate the loss, if any, and as such, has not recorded a loss contingency.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2" w:name="page193"/>
    <w:bookmarkEnd w:id="19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BALANCE SHEETS</w:t>
      </w:r>
    </w:p>
    <w:p>
      <w:pPr>
        <w:spacing w:after="0" w:line="175" w:lineRule="exact"/>
        <w:rPr>
          <w:sz w:val="20"/>
          <w:szCs w:val="20"/>
          <w:color w:val="auto"/>
        </w:rPr>
      </w:pPr>
    </w:p>
    <w:p>
      <w:pPr>
        <w:ind w:left="6460"/>
        <w:spacing w:after="0"/>
        <w:tabs>
          <w:tab w:leader="none" w:pos="7600" w:val="left"/>
        </w:tabs>
        <w:rPr>
          <w:sz w:val="20"/>
          <w:szCs w:val="20"/>
          <w:color w:val="auto"/>
        </w:rPr>
      </w:pPr>
      <w:r>
        <w:rPr>
          <w:rFonts w:ascii="Arial" w:cs="Arial" w:eastAsia="Arial" w:hAnsi="Arial"/>
          <w:sz w:val="14"/>
          <w:szCs w:val="14"/>
          <w:b w:val="1"/>
          <w:bCs w:val="1"/>
          <w:color w:val="auto"/>
        </w:rPr>
        <w:t>March 31, 2021</w:t>
      </w:r>
      <w:r>
        <w:rPr>
          <w:sz w:val="20"/>
          <w:szCs w:val="20"/>
          <w:color w:val="auto"/>
        </w:rPr>
        <w:tab/>
      </w:r>
      <w:r>
        <w:rPr>
          <w:rFonts w:ascii="Arial" w:cs="Arial" w:eastAsia="Arial" w:hAnsi="Arial"/>
          <w:sz w:val="12"/>
          <w:szCs w:val="12"/>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49530</wp:posOffset>
            </wp:positionV>
            <wp:extent cx="152590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100,608</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312,707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101,730</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30,833</w:t>
            </w:r>
          </w:p>
        </w:tc>
        <w:tc>
          <w:tcPr>
            <w:tcW w:w="80" w:type="dxa"/>
            <w:vAlign w:val="bottom"/>
          </w:tcPr>
          <w:p>
            <w:pPr>
              <w:spacing w:after="0"/>
              <w:rPr>
                <w:sz w:val="22"/>
                <w:szCs w:val="22"/>
                <w:color w:val="auto"/>
              </w:rPr>
            </w:pPr>
          </w:p>
        </w:tc>
      </w:tr>
      <w:tr>
        <w:trPr>
          <w:trHeight w:val="61"/>
        </w:trPr>
        <w:tc>
          <w:tcPr>
            <w:tcW w:w="6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202,338</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343,540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254,202,898</w:t>
            </w:r>
          </w:p>
        </w:tc>
        <w:tc>
          <w:tcPr>
            <w:tcW w:w="26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254,187,706</w:t>
            </w:r>
          </w:p>
        </w:tc>
        <w:tc>
          <w:tcPr>
            <w:tcW w:w="80" w:type="dxa"/>
            <w:vAlign w:val="bottom"/>
          </w:tcPr>
          <w:p>
            <w:pPr>
              <w:spacing w:after="0"/>
              <w:rPr>
                <w:sz w:val="22"/>
                <w:szCs w:val="22"/>
                <w:color w:val="auto"/>
              </w:rPr>
            </w:pPr>
          </w:p>
        </w:tc>
      </w:tr>
      <w:tr>
        <w:trPr>
          <w:trHeight w:val="61"/>
        </w:trPr>
        <w:tc>
          <w:tcPr>
            <w:tcW w:w="6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58"/>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254,405,236</w:t>
            </w:r>
          </w:p>
        </w:tc>
        <w:tc>
          <w:tcPr>
            <w:tcW w:w="260" w:type="dxa"/>
            <w:vAlign w:val="bottom"/>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254,531,246</w:t>
            </w:r>
          </w:p>
        </w:tc>
        <w:tc>
          <w:tcPr>
            <w:tcW w:w="80" w:type="dxa"/>
            <w:vAlign w:val="bottom"/>
            <w:shd w:val="clear" w:color="auto" w:fill="CCEEFF"/>
          </w:tcPr>
          <w:p>
            <w:pPr>
              <w:spacing w:after="0"/>
              <w:rPr>
                <w:sz w:val="24"/>
                <w:szCs w:val="24"/>
                <w:color w:val="auto"/>
              </w:rPr>
            </w:pPr>
          </w:p>
        </w:tc>
      </w:tr>
      <w:tr>
        <w:trPr>
          <w:trHeight w:val="311"/>
        </w:trPr>
        <w:tc>
          <w:tcPr>
            <w:tcW w:w="6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0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3,549,523</w:t>
            </w:r>
          </w:p>
        </w:tc>
        <w:tc>
          <w:tcPr>
            <w:tcW w:w="2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3,152,970</w:t>
            </w:r>
          </w:p>
        </w:tc>
        <w:tc>
          <w:tcPr>
            <w:tcW w:w="80" w:type="dxa"/>
            <w:vAlign w:val="bottom"/>
          </w:tcPr>
          <w:p>
            <w:pPr>
              <w:spacing w:after="0"/>
              <w:rPr>
                <w:sz w:val="23"/>
                <w:szCs w:val="23"/>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party promissory note</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61"/>
        </w:trPr>
        <w:tc>
          <w:tcPr>
            <w:tcW w:w="6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60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3,749,523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3,152,970</w:t>
            </w:r>
          </w:p>
        </w:tc>
        <w:tc>
          <w:tcPr>
            <w:tcW w:w="80" w:type="dxa"/>
            <w:vAlign w:val="bottom"/>
          </w:tcPr>
          <w:p>
            <w:pPr>
              <w:spacing w:after="0"/>
              <w:rPr>
                <w:sz w:val="24"/>
                <w:szCs w:val="24"/>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141,900,000</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63,680,000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8,750,000</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8,750,000</w:t>
            </w:r>
          </w:p>
        </w:tc>
        <w:tc>
          <w:tcPr>
            <w:tcW w:w="80" w:type="dxa"/>
            <w:vAlign w:val="bottom"/>
          </w:tcPr>
          <w:p>
            <w:pPr>
              <w:spacing w:after="0"/>
              <w:rPr>
                <w:sz w:val="22"/>
                <w:szCs w:val="22"/>
                <w:color w:val="auto"/>
              </w:rPr>
            </w:pPr>
          </w:p>
        </w:tc>
      </w:tr>
      <w:tr>
        <w:trPr>
          <w:trHeight w:val="61"/>
        </w:trPr>
        <w:tc>
          <w:tcPr>
            <w:tcW w:w="6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154,399,523</w:t>
            </w: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75,582,970</w:t>
            </w:r>
          </w:p>
        </w:tc>
        <w:tc>
          <w:tcPr>
            <w:tcW w:w="80" w:type="dxa"/>
            <w:vAlign w:val="bottom"/>
            <w:shd w:val="clear" w:color="auto" w:fill="CCEEFF"/>
          </w:tcPr>
          <w:p>
            <w:pPr>
              <w:spacing w:after="0"/>
              <w:rPr>
                <w:sz w:val="23"/>
                <w:szCs w:val="23"/>
                <w:color w:val="auto"/>
              </w:rPr>
            </w:pPr>
          </w:p>
        </w:tc>
      </w:tr>
      <w:tr>
        <w:trPr>
          <w:trHeight w:val="61"/>
        </w:trPr>
        <w:tc>
          <w:tcPr>
            <w:tcW w:w="6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600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0"/>
              </w:rPr>
              <w:t>Class A ordinary shares subject to possible redemption, 9,342,960 and 17,108,250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at redemption value at March 31, 2021 and December 31, 2020,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7"/>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95,005,712</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173,948,273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61"/>
        </w:trPr>
        <w:tc>
          <w:tcPr>
            <w:tcW w:w="6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tcBorders>
              <w:right w:val="single" w:sz="8" w:color="CCEEFF"/>
            </w:tcBorders>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284"/>
        </w:trPr>
        <w:tc>
          <w:tcPr>
            <w:tcW w:w="60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2"/>
              </w:rPr>
              <w:t>Preference shares, $0.0001 par value; 1,000,000 shares authorized; none issued</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64"/>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outstanding</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56"/>
        </w:trPr>
        <w:tc>
          <w:tcPr>
            <w:tcW w:w="6000" w:type="dxa"/>
            <w:vAlign w:val="bottom"/>
          </w:tcPr>
          <w:p>
            <w:pPr>
              <w:spacing w:after="0"/>
              <w:rPr>
                <w:sz w:val="20"/>
                <w:szCs w:val="20"/>
                <w:color w:val="auto"/>
              </w:rPr>
            </w:pPr>
            <w:r>
              <w:rPr>
                <w:rFonts w:ascii="Arial" w:cs="Arial" w:eastAsia="Arial" w:hAnsi="Arial"/>
                <w:sz w:val="18"/>
                <w:szCs w:val="18"/>
                <w:color w:val="auto"/>
                <w:w w:val="98"/>
              </w:rPr>
              <w:t>Class A ordinary shares, $0.0001 par value; 200,000,000 shares authorized;</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w w:val="91"/>
              </w:rPr>
              <w:t>15,655,615 and 7,891,750 shares issued and outstanding (excluding 9,342,960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w w:val="93"/>
              </w:rPr>
              <w:t>and 17,108,250 shares subject to possible redemption) at March 31, 2021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December 31, 2020, respectively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20"/>
                <w:szCs w:val="20"/>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9"/>
              </w:rPr>
              <w:t>Class B ordinary shares, $0.0001 par value; 20,000,000 shares authorized;</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6,250,000 shares issued and outstanding at March 31, 2021 and December 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130,948,287</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52,020,992</w:t>
            </w:r>
          </w:p>
        </w:tc>
        <w:tc>
          <w:tcPr>
            <w:tcW w:w="80" w:type="dxa"/>
            <w:vAlign w:val="bottom"/>
          </w:tcPr>
          <w:p>
            <w:pPr>
              <w:spacing w:after="0"/>
              <w:rPr>
                <w:sz w:val="23"/>
                <w:szCs w:val="23"/>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(125,950,477)</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(47,022,403)</w:t>
            </w:r>
          </w:p>
        </w:tc>
      </w:tr>
      <w:tr>
        <w:trPr>
          <w:trHeight w:val="61"/>
        </w:trPr>
        <w:tc>
          <w:tcPr>
            <w:tcW w:w="6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5,000,001</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5,000,003</w:t>
            </w:r>
          </w:p>
        </w:tc>
        <w:tc>
          <w:tcPr>
            <w:tcW w:w="80" w:type="dxa"/>
            <w:vAlign w:val="bottom"/>
          </w:tcPr>
          <w:p>
            <w:pPr>
              <w:spacing w:after="0"/>
              <w:rPr>
                <w:sz w:val="23"/>
                <w:szCs w:val="23"/>
                <w:color w:val="auto"/>
              </w:rPr>
            </w:pPr>
          </w:p>
        </w:tc>
      </w:tr>
      <w:tr>
        <w:trPr>
          <w:trHeight w:val="61"/>
        </w:trPr>
        <w:tc>
          <w:tcPr>
            <w:tcW w:w="6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91"/>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254,405,236</w:t>
            </w:r>
          </w:p>
        </w:tc>
        <w:tc>
          <w:tcPr>
            <w:tcW w:w="260" w:type="dxa"/>
            <w:vAlign w:val="bottom"/>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254,531,246</w:t>
            </w:r>
          </w:p>
        </w:tc>
        <w:tc>
          <w:tcPr>
            <w:tcW w:w="80" w:type="dxa"/>
            <w:vAlign w:val="bottom"/>
            <w:shd w:val="clear" w:color="auto" w:fill="CCEEFF"/>
          </w:tcPr>
          <w:p>
            <w:pPr>
              <w:spacing w:after="0"/>
              <w:rPr>
                <w:sz w:val="24"/>
                <w:szCs w:val="24"/>
                <w:color w:val="auto"/>
              </w:rPr>
            </w:pPr>
          </w:p>
        </w:tc>
      </w:tr>
      <w:tr>
        <w:trPr>
          <w:trHeight w:val="27"/>
        </w:trPr>
        <w:tc>
          <w:tcPr>
            <w:tcW w:w="6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right w:val="single" w:sz="8" w:color="CCEEFF"/>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3" w:name="page194"/>
    <w:bookmarkEnd w:id="19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53"/>
        </w:trPr>
        <w:tc>
          <w:tcPr>
            <w:tcW w:w="61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r>
      <w:tr>
        <w:trPr>
          <w:trHeight w:val="53"/>
        </w:trPr>
        <w:tc>
          <w:tcPr>
            <w:tcW w:w="6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6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737,755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457,616</w:t>
            </w:r>
          </w:p>
        </w:tc>
        <w:tc>
          <w:tcPr>
            <w:tcW w:w="80" w:type="dxa"/>
            <w:vAlign w:val="bottom"/>
            <w:tcBorders>
              <w:bottom w:val="single" w:sz="8" w:color="CCEEFF"/>
            </w:tcBorders>
            <w:shd w:val="clear" w:color="auto" w:fill="CCEEFF"/>
          </w:tcPr>
          <w:p>
            <w:pPr>
              <w:spacing w:after="0"/>
              <w:rPr>
                <w:sz w:val="22"/>
                <w:szCs w:val="22"/>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283"/>
        </w:trPr>
        <w:tc>
          <w:tcPr>
            <w:tcW w:w="61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(737,755)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(457,616)</w:t>
            </w: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618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(78,220,000)</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195,000</w:t>
            </w:r>
          </w:p>
        </w:tc>
      </w:tr>
      <w:tr>
        <w:trPr>
          <w:trHeight w:val="270"/>
        </w:trPr>
        <w:tc>
          <w:tcPr>
            <w:tcW w:w="6180" w:type="dxa"/>
            <w:vAlign w:val="bottom"/>
          </w:tcPr>
          <w:p>
            <w:pPr>
              <w:ind w:left="180"/>
              <w:spacing w:after="0"/>
              <w:rPr>
                <w:sz w:val="20"/>
                <w:szCs w:val="20"/>
                <w:color w:val="auto"/>
              </w:rPr>
            </w:pPr>
            <w:r>
              <w:rPr>
                <w:rFonts w:ascii="Arial" w:cs="Arial" w:eastAsia="Arial" w:hAnsi="Arial"/>
                <w:sz w:val="18"/>
                <w:szCs w:val="18"/>
                <w:color w:val="auto"/>
              </w:rPr>
              <w:t>Interest income on marketable securities held in Trust Account</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29,681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932,037</w:t>
            </w: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gain on marketable securities held in Trust Account</w:t>
            </w:r>
          </w:p>
        </w:tc>
        <w:tc>
          <w:tcPr>
            <w:tcW w:w="1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1,152,686</w:t>
            </w:r>
          </w:p>
        </w:tc>
      </w:tr>
      <w:tr>
        <w:trPr>
          <w:trHeight w:val="61"/>
        </w:trPr>
        <w:tc>
          <w:tcPr>
            <w:tcW w:w="6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(78,190,319)</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2,279,723</w:t>
            </w:r>
          </w:p>
        </w:tc>
      </w:tr>
      <w:tr>
        <w:trPr>
          <w:trHeight w:val="61"/>
        </w:trPr>
        <w:tc>
          <w:tcPr>
            <w:tcW w:w="6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38"/>
        </w:trPr>
        <w:tc>
          <w:tcPr>
            <w:tcW w:w="6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57"/>
        </w:trPr>
        <w:tc>
          <w:tcPr>
            <w:tcW w:w="618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(78,928,074)</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1,822,107</w:t>
            </w:r>
          </w:p>
        </w:tc>
        <w:tc>
          <w:tcPr>
            <w:tcW w:w="80" w:type="dxa"/>
            <w:vAlign w:val="bottom"/>
          </w:tcPr>
          <w:p>
            <w:pPr>
              <w:spacing w:after="0"/>
              <w:rPr>
                <w:sz w:val="22"/>
                <w:szCs w:val="22"/>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65"/>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56"/>
        </w:trPr>
        <w:tc>
          <w:tcPr>
            <w:tcW w:w="6180" w:type="dxa"/>
            <w:vAlign w:val="bottom"/>
          </w:tcPr>
          <w:p>
            <w:pPr>
              <w:spacing w:after="0"/>
              <w:rPr>
                <w:sz w:val="20"/>
                <w:szCs w:val="20"/>
                <w:color w:val="auto"/>
              </w:rPr>
            </w:pPr>
            <w:r>
              <w:rPr>
                <w:rFonts w:ascii="Arial" w:cs="Arial" w:eastAsia="Arial" w:hAnsi="Arial"/>
                <w:sz w:val="18"/>
                <w:szCs w:val="18"/>
                <w:color w:val="auto"/>
                <w:w w:val="93"/>
              </w:rPr>
              <w:t>Basic and diluted weighted average shares outstanding, Ordinary shares subject to</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7"/>
        </w:trPr>
        <w:tc>
          <w:tcPr>
            <w:tcW w:w="618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17,108,013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22,424,313</w:t>
            </w:r>
          </w:p>
        </w:tc>
        <w:tc>
          <w:tcPr>
            <w:tcW w:w="8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92"/>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Ordinary shares subject to</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21"/>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redemption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9"/>
                <w:szCs w:val="19"/>
                <w:color w:val="auto"/>
              </w:rPr>
            </w:pPr>
          </w:p>
        </w:tc>
      </w:tr>
      <w:tr>
        <w:trPr>
          <w:trHeight w:val="61"/>
        </w:trPr>
        <w:tc>
          <w:tcPr>
            <w:tcW w:w="6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338"/>
        </w:trPr>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5"/>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ordinary shares</w:t>
            </w:r>
          </w:p>
        </w:tc>
        <w:tc>
          <w:tcPr>
            <w:tcW w:w="1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14,141,750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8,825,687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97"/>
        </w:trPr>
        <w:tc>
          <w:tcPr>
            <w:tcW w:w="618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 Ordinary shares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(5.58)</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(0.02)</w:t>
            </w:r>
          </w:p>
        </w:tc>
      </w:tr>
      <w:tr>
        <w:trPr>
          <w:trHeight w:val="20"/>
        </w:trPr>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-3796665</wp:posOffset>
            </wp:positionV>
            <wp:extent cx="13716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-3796665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4" w:name="page195"/>
    <w:bookmarkEnd w:id="19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Class A Ordinary</w:t>
            </w:r>
          </w:p>
        </w:tc>
        <w:tc>
          <w:tcPr>
            <w:tcW w:w="80" w:type="dxa"/>
            <w:vAlign w:val="bottom"/>
          </w:tcPr>
          <w:p>
            <w:pPr>
              <w:spacing w:after="0"/>
              <w:rPr>
                <w:sz w:val="14"/>
                <w:szCs w:val="14"/>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Class B Ordinary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right"/>
              <w:ind w:right="414"/>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32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restart"/>
          </w:tcPr>
          <w:p>
            <w:pPr>
              <w:jc w:val="right"/>
              <w:ind w:right="95"/>
              <w:spacing w:after="0" w:line="149"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4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38"/>
        </w:trPr>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3"/>
                <w:szCs w:val="3"/>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79"/>
              </w:rPr>
              <w:t>Amount</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Paid-in 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2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Balance – January 1, 2021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(restated)</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7,891,750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789</w:t>
            </w:r>
          </w:p>
        </w:tc>
        <w:tc>
          <w:tcPr>
            <w:tcW w:w="8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6,250,000</w:t>
            </w: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$625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52,020,992</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(47,022,403)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5,000,003</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5"/>
              </w:rPr>
              <w:t>Change in value of ordinary</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shares subject to possible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7,763,865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78,927,295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78,928,072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(78,928,074)</w:t>
            </w:r>
          </w:p>
        </w:tc>
        <w:tc>
          <w:tcPr>
            <w:tcW w:w="80" w:type="dxa"/>
            <w:vAlign w:val="bottom"/>
          </w:tcPr>
          <w:p>
            <w:pPr>
              <w:spacing w:after="0"/>
              <w:rPr>
                <w:sz w:val="22"/>
                <w:szCs w:val="22"/>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(78,928,074)</w:t>
            </w:r>
          </w:p>
        </w:tc>
        <w:tc>
          <w:tcPr>
            <w:tcW w:w="0" w:type="dxa"/>
            <w:vAlign w:val="bottom"/>
          </w:tcPr>
          <w:p>
            <w:pPr>
              <w:spacing w:after="0"/>
              <w:rPr>
                <w:sz w:val="1"/>
                <w:szCs w:val="1"/>
                <w:color w:val="auto"/>
              </w:rPr>
            </w:pPr>
          </w:p>
        </w:tc>
      </w:tr>
      <w:tr>
        <w:trPr>
          <w:trHeight w:val="61"/>
        </w:trPr>
        <w:tc>
          <w:tcPr>
            <w:tcW w:w="2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shd w:val="clear" w:color="auto" w:fill="CCEEFF"/>
              </w:rPr>
              <w:t>Balance – March 31, 2021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shd w:val="clear" w:color="auto" w:fill="CCEEFF"/>
              </w:rPr>
              <w:t>15,655,615</w:t>
            </w:r>
          </w:p>
        </w:tc>
        <w:tc>
          <w:tcPr>
            <w:tcW w:w="10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3"/>
                <w:shd w:val="clear" w:color="auto" w:fill="CCEEFF"/>
              </w:rPr>
              <w:t>$</w:t>
            </w:r>
            <w:r>
              <w:rPr>
                <w:rFonts w:ascii="Arial" w:cs="Arial" w:eastAsia="Arial" w:hAnsi="Arial"/>
                <w:sz w:val="18"/>
                <w:szCs w:val="18"/>
                <w:b w:val="1"/>
                <w:bCs w:val="1"/>
                <w:color w:val="auto"/>
                <w:w w:val="83"/>
                <w:shd w:val="clear" w:color="auto" w:fill="CCEEFF"/>
              </w:rPr>
              <w:t>1,566</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shd w:val="clear" w:color="auto" w:fill="CCEEFF"/>
              </w:rPr>
              <w:t>6,250,000</w:t>
            </w:r>
          </w:p>
        </w:tc>
        <w:tc>
          <w:tcPr>
            <w:tcW w:w="14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4"/>
                <w:shd w:val="clear" w:color="auto" w:fill="CCEEFF"/>
              </w:rPr>
              <w:t>$</w:t>
            </w:r>
            <w:r>
              <w:rPr>
                <w:rFonts w:ascii="Arial" w:cs="Arial" w:eastAsia="Arial" w:hAnsi="Arial"/>
                <w:sz w:val="18"/>
                <w:szCs w:val="18"/>
                <w:b w:val="1"/>
                <w:bCs w:val="1"/>
                <w:color w:val="auto"/>
                <w:w w:val="84"/>
                <w:shd w:val="clear" w:color="auto" w:fill="CCEEFF"/>
              </w:rPr>
              <w:t>625</w:t>
            </w:r>
          </w:p>
        </w:tc>
        <w:tc>
          <w:tcPr>
            <w:tcW w:w="8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6"/>
                <w:shd w:val="clear" w:color="auto" w:fill="CCEEFF"/>
              </w:rPr>
              <w:t>$</w:t>
            </w:r>
            <w:r>
              <w:rPr>
                <w:rFonts w:ascii="Arial" w:cs="Arial" w:eastAsia="Arial" w:hAnsi="Arial"/>
                <w:sz w:val="18"/>
                <w:szCs w:val="18"/>
                <w:b w:val="1"/>
                <w:bCs w:val="1"/>
                <w:color w:val="auto"/>
                <w:w w:val="96"/>
                <w:shd w:val="clear" w:color="auto" w:fill="CCEEFF"/>
              </w:rPr>
              <w:t>130,948,287</w:t>
            </w:r>
          </w:p>
        </w:tc>
        <w:tc>
          <w:tcPr>
            <w:tcW w:w="14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shd w:val="clear" w:color="auto" w:fill="CCEEFF"/>
              </w:rPr>
              <w:t>$</w:t>
            </w:r>
            <w:r>
              <w:rPr>
                <w:rFonts w:ascii="Arial" w:cs="Arial" w:eastAsia="Arial" w:hAnsi="Arial"/>
                <w:sz w:val="18"/>
                <w:szCs w:val="18"/>
                <w:b w:val="1"/>
                <w:bCs w:val="1"/>
                <w:color w:val="auto"/>
                <w:w w:val="99"/>
                <w:shd w:val="clear" w:color="auto" w:fill="CCEEFF"/>
              </w:rPr>
              <w:t>(125,950,477)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5,000,001</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right w:val="single" w:sz="8" w:color="CCEEFF"/>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00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-1464945</wp:posOffset>
            </wp:positionV>
            <wp:extent cx="514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-1464945</wp:posOffset>
            </wp:positionV>
            <wp:extent cx="514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-1464945</wp:posOffset>
            </wp:positionV>
            <wp:extent cx="514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-1464945</wp:posOffset>
            </wp:positionV>
            <wp:extent cx="254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-1464945</wp:posOffset>
            </wp:positionV>
            <wp:extent cx="514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-1464945</wp:posOffset>
            </wp:positionV>
            <wp:extent cx="514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-1464945</wp:posOffset>
            </wp:positionV>
            <wp:extent cx="514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500" w:type="dxa"/>
            <w:vAlign w:val="bottom"/>
            <w:gridSpan w:val="5"/>
          </w:tcPr>
          <w:p>
            <w:pPr>
              <w:ind w:left="140"/>
              <w:spacing w:after="0"/>
              <w:rPr>
                <w:sz w:val="20"/>
                <w:szCs w:val="20"/>
                <w:color w:val="auto"/>
              </w:rPr>
            </w:pPr>
            <w:r>
              <w:rPr>
                <w:rFonts w:ascii="Arial" w:cs="Arial" w:eastAsia="Arial" w:hAnsi="Arial"/>
                <w:sz w:val="14"/>
                <w:szCs w:val="14"/>
                <w:b w:val="1"/>
                <w:bCs w:val="1"/>
                <w:color w:val="auto"/>
              </w:rPr>
              <w:t>Class A Ordinary</w:t>
            </w:r>
          </w:p>
        </w:tc>
        <w:tc>
          <w:tcPr>
            <w:tcW w:w="13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5"/>
              </w:rPr>
              <w:t>Class B Ordinary</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500" w:type="dxa"/>
            <w:vAlign w:val="bottom"/>
            <w:gridSpan w:val="5"/>
          </w:tcPr>
          <w:p>
            <w:pPr>
              <w:ind w:left="480"/>
              <w:spacing w:after="0" w:line="149" w:lineRule="exact"/>
              <w:rPr>
                <w:sz w:val="20"/>
                <w:szCs w:val="20"/>
                <w:color w:val="auto"/>
              </w:rPr>
            </w:pPr>
            <w:r>
              <w:rPr>
                <w:rFonts w:ascii="Arial" w:cs="Arial" w:eastAsia="Arial" w:hAnsi="Arial"/>
                <w:sz w:val="14"/>
                <w:szCs w:val="14"/>
                <w:b w:val="1"/>
                <w:bCs w:val="1"/>
                <w:color w:val="auto"/>
              </w:rPr>
              <w:t>Shares</w:t>
            </w:r>
          </w:p>
        </w:tc>
        <w:tc>
          <w:tcPr>
            <w:tcW w:w="13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4"/>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920" w:type="dxa"/>
            <w:vAlign w:val="bottom"/>
            <w:vMerge w:val="restart"/>
          </w:tcPr>
          <w:p>
            <w:pPr>
              <w:jc w:val="right"/>
              <w:ind w:right="116"/>
              <w:spacing w:after="0" w:line="14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7"/>
                <w:szCs w:val="7"/>
                <w:color w:val="auto"/>
              </w:rPr>
            </w:pPr>
          </w:p>
        </w:tc>
        <w:tc>
          <w:tcPr>
            <w:tcW w:w="9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38"/>
        </w:trPr>
        <w:tc>
          <w:tcPr>
            <w:tcW w:w="2320" w:type="dxa"/>
            <w:vAlign w:val="bottom"/>
          </w:tcPr>
          <w:p>
            <w:pPr>
              <w:spacing w:after="0"/>
              <w:rPr>
                <w:sz w:val="3"/>
                <w:szCs w:val="3"/>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3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Paid-in Capital</w:t>
            </w:r>
          </w:p>
        </w:tc>
        <w:tc>
          <w:tcPr>
            <w:tcW w:w="920" w:type="dxa"/>
            <w:vAlign w:val="bottom"/>
          </w:tcPr>
          <w:p>
            <w:pPr>
              <w:jc w:val="right"/>
              <w:ind w:right="96"/>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23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72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(restated)</w:t>
            </w: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2,575,687</w:t>
            </w:r>
          </w:p>
        </w:tc>
        <w:tc>
          <w:tcPr>
            <w:tcW w:w="20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6,250,000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$ 4,999,118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$ 5,000,001</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ordinary</w:t>
            </w:r>
          </w:p>
        </w:tc>
        <w:tc>
          <w:tcPr>
            <w:tcW w:w="72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subject to possible</w:t>
            </w:r>
          </w:p>
        </w:tc>
        <w:tc>
          <w:tcPr>
            <w:tcW w:w="7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(1,822,104)</w:t>
            </w: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(1,822,104)</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1,822,107</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1,822,107</w:t>
            </w:r>
          </w:p>
        </w:tc>
        <w:tc>
          <w:tcPr>
            <w:tcW w:w="0" w:type="dxa"/>
            <w:vAlign w:val="bottom"/>
          </w:tcPr>
          <w:p>
            <w:pPr>
              <w:spacing w:after="0"/>
              <w:rPr>
                <w:sz w:val="1"/>
                <w:szCs w:val="1"/>
                <w:color w:val="auto"/>
              </w:rPr>
            </w:pPr>
          </w:p>
        </w:tc>
      </w:tr>
      <w:tr>
        <w:trPr>
          <w:trHeight w:val="61"/>
        </w:trPr>
        <w:tc>
          <w:tcPr>
            <w:tcW w:w="232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2,580,395</w:t>
            </w:r>
          </w:p>
        </w:tc>
        <w:tc>
          <w:tcPr>
            <w:tcW w:w="20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258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6,250,000</w:t>
            </w:r>
          </w:p>
        </w:tc>
        <w:tc>
          <w:tcPr>
            <w:tcW w:w="1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625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4"/>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$ 4,999,121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$ 5,000,004</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right w:val="single" w:sz="8" w:color="CCEEFF"/>
            </w:tcBorders>
            <w:shd w:val="clear" w:color="auto" w:fill="000000"/>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auto"/>
              <w:right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-1464945</wp:posOffset>
            </wp:positionV>
            <wp:extent cx="857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-1464945</wp:posOffset>
            </wp:positionV>
            <wp:extent cx="857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-1464945</wp:posOffset>
            </wp:positionV>
            <wp:extent cx="857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-1464945</wp:posOffset>
            </wp:positionV>
            <wp:extent cx="431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-1464945</wp:posOffset>
            </wp:positionV>
            <wp:extent cx="857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-1464945</wp:posOffset>
            </wp:positionV>
            <wp:extent cx="857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-1464945</wp:posOffset>
            </wp:positionV>
            <wp:extent cx="857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5" w:name="page196"/>
    <w:bookmarkEnd w:id="19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34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3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Ended March 31,</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53"/>
        </w:trPr>
        <w:tc>
          <w:tcPr>
            <w:tcW w:w="6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Net income (loss)</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$(78,928,074)</w:t>
            </w:r>
          </w:p>
        </w:tc>
        <w:tc>
          <w:tcPr>
            <w:tcW w:w="3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1,822,107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78,220,000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(29,681)</w:t>
            </w: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(932,037)</w:t>
            </w: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Unrealized loss (gain) on marketable securities held in Trust Account</w:t>
            </w:r>
          </w:p>
        </w:tc>
        <w:tc>
          <w:tcPr>
            <w:tcW w:w="120" w:type="dxa"/>
            <w:vAlign w:val="bottom"/>
          </w:tcPr>
          <w:p>
            <w:pPr>
              <w:spacing w:after="0"/>
              <w:rPr>
                <w:sz w:val="23"/>
                <w:szCs w:val="23"/>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(1,152,686)</w:t>
            </w: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(70,897)</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41,195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396,553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316,825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14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(412,099)</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(99,596)</w:t>
            </w:r>
          </w:p>
        </w:tc>
        <w:tc>
          <w:tcPr>
            <w:tcW w:w="0" w:type="dxa"/>
            <w:vAlign w:val="bottom"/>
          </w:tcPr>
          <w:p>
            <w:pPr>
              <w:spacing w:after="0"/>
              <w:rPr>
                <w:sz w:val="1"/>
                <w:szCs w:val="1"/>
                <w:color w:val="auto"/>
              </w:rPr>
            </w:pPr>
          </w:p>
        </w:tc>
      </w:tr>
      <w:tr>
        <w:trPr>
          <w:trHeight w:val="61"/>
        </w:trPr>
        <w:tc>
          <w:tcPr>
            <w:tcW w:w="6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6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Cash withdrawn from Trust Account for redemptions</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14,489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6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14,489</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614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6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20" w:type="dxa"/>
            <w:vAlign w:val="bottom"/>
          </w:tcPr>
          <w:p>
            <w:pPr>
              <w:spacing w:after="0"/>
              <w:rPr>
                <w:sz w:val="23"/>
                <w:szCs w:val="23"/>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Private Placement Warrants</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20" w:type="dxa"/>
            <w:vAlign w:val="bottom"/>
          </w:tcPr>
          <w:p>
            <w:pPr>
              <w:spacing w:after="0"/>
              <w:rPr>
                <w:sz w:val="23"/>
                <w:szCs w:val="23"/>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Redemption of common shares</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(14,489)</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614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185,511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6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6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(212,099)</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(99,596)</w:t>
            </w: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312,707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894,589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14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b w:val="1"/>
                <w:bCs w:val="1"/>
                <w:color w:val="auto"/>
              </w:rPr>
              <w:t>Cash – Ending</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100,608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794,993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6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value of ordinary shares subject to possible redemption</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(78,928,072)</w:t>
            </w: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1,822,104</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1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-6565900</wp:posOffset>
            </wp:positionV>
            <wp:extent cx="18859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-6565900</wp:posOffset>
            </wp:positionV>
            <wp:extent cx="9461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6" w:name="page197"/>
    <w:bookmarkEnd w:id="19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Silver Spike Acquisition Corp. (the “Company”) is a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 has one subsidiary, Silver Spike Merger Sub LLC, a wholly-owned subsidiary of the Company incorporated in Delaware on December 7, 2020 (“Merger Sub”).</w:t>
      </w:r>
    </w:p>
    <w:p>
      <w:pPr>
        <w:spacing w:after="0" w:line="62" w:lineRule="exact"/>
        <w:rPr>
          <w:sz w:val="20"/>
          <w:szCs w:val="20"/>
          <w:color w:val="auto"/>
        </w:rPr>
      </w:pPr>
    </w:p>
    <w:p>
      <w:pPr>
        <w:jc w:val="both"/>
        <w:ind w:left="300" w:right="319" w:firstLine="360"/>
        <w:spacing w:after="0" w:line="254" w:lineRule="auto"/>
        <w:rPr>
          <w:sz w:val="20"/>
          <w:szCs w:val="20"/>
          <w:color w:val="auto"/>
        </w:rPr>
      </w:pPr>
      <w:r>
        <w:rPr>
          <w:rFonts w:ascii="Arial" w:cs="Arial" w:eastAsia="Arial" w:hAnsi="Arial"/>
          <w:sz w:val="18"/>
          <w:szCs w:val="18"/>
          <w:color w:val="auto"/>
        </w:rPr>
        <w:t>As of March 31, 2021, the Company had not commenced any operations. All activity through March 31, 2021 relates to the Company’s formation, the initial public offering (“Initial Public Offering”), which is described below, identifying a target company for a Business Combination, activities in connection with the proposed acquisition of WM Holding Company, LLC, a Delaware limited liability company (“WMH”) (see Note 6).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August 7, 2019. On August 12, 2019, the Company consummated the Initial Public Offering of 25,000,000 units (the “Units” and, with respect to the Class A ordinary shares included in the Units sold, the “Public Shares”) at $10.00 per unit, generating gross proceeds of $250,000,000, which is described in Note 3.</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7,000,000 warrants (the “Private Placement Warrants”) at a price of $1.00 per Private Placement Warrant in a private placement to Silver Spike Sponsor, LLC (the “Sponsor”), generating gross proceeds of $7,000,000, which is described in Note 4.</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Transaction costs amounted to $14,413,362, consisting of $5,000,000 of underwriting fees, $8,750,000 of deferred underwriting fees and $663,362 of other offering costs.</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Following the closing of the Initial Public Offering on August 12, 2019,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the Business Combination and (ii) the distribution of the funds in the Trust Account to the Company’s shareholders, as described below.</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7" w:name="page198"/>
    <w:bookmarkEnd w:id="19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74"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8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7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w:t>
      </w:r>
    </w:p>
    <w:p>
      <w:pPr>
        <w:spacing w:after="0" w:line="2" w:lineRule="exact"/>
        <w:rPr>
          <w:sz w:val="20"/>
          <w:szCs w:val="20"/>
          <w:color w:val="auto"/>
        </w:rPr>
      </w:pPr>
    </w:p>
    <w:p>
      <w:pPr>
        <w:jc w:val="both"/>
        <w:ind w:left="300" w:right="299" w:hanging="8"/>
        <w:spacing w:after="0" w:line="268" w:lineRule="auto"/>
        <w:tabs>
          <w:tab w:leader="none" w:pos="59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shareholders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Initial Public Offering if the Company fails to complete its Business Combination.</w:t>
      </w:r>
    </w:p>
    <w:p>
      <w:pPr>
        <w:spacing w:after="0" w:line="7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Company initially had until February 12, 2021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8" w:name="page199"/>
    <w:bookmarkEnd w:id="19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underwriters have agreed to 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70"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On January 13, 2021, the Company held an Extraordinary General Meeting in Lieu of an Annual General Meeting (the “Extraordinary General Meeting”) pursuant to which the Company’s shareholders approved extending the Combination Period from February 12, 2021 to July 10, 2021 (the “Extension Date”).</w:t>
      </w:r>
    </w:p>
    <w:p>
      <w:pPr>
        <w:spacing w:after="0" w:line="5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Liquidity and Going Concern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As of March 31, 2021, the Company had $100,608 in its operating bank accounts, $254,202,898 in securities held in the Trust Account to be used for a Business Combination or to repurchase or redeem its ordinary shares in connection therewith and working capital deficit of $3,547,185. As of March 31, 2021, approximately $4,217,387 of the amount on deposit in the Trust Account represented interest income, which is available to pay the Company’s tax obligations.</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 February 18, 2021, the Company issued an unsecured promissory note (the “Note”) in the amount of up to $750,000 to the Sponsor for general working capital purposes (see Note 5).</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Company will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July 10, 2021, the date that the Company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9" w:name="page200"/>
    <w:bookmarkEnd w:id="19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184" w:lineRule="exact"/>
        <w:rPr>
          <w:sz w:val="20"/>
          <w:szCs w:val="20"/>
          <w:color w:val="auto"/>
        </w:rPr>
      </w:pPr>
    </w:p>
    <w:p>
      <w:pPr>
        <w:ind w:left="300" w:right="3299"/>
        <w:spacing w:after="0" w:line="393" w:lineRule="auto"/>
        <w:rPr>
          <w:sz w:val="20"/>
          <w:szCs w:val="20"/>
          <w:color w:val="auto"/>
        </w:rPr>
      </w:pPr>
      <w:r>
        <w:rPr>
          <w:rFonts w:ascii="Arial" w:cs="Arial" w:eastAsia="Arial" w:hAnsi="Arial"/>
          <w:sz w:val="18"/>
          <w:szCs w:val="18"/>
          <w:b w:val="1"/>
          <w:bCs w:val="1"/>
          <w:color w:val="auto"/>
        </w:rPr>
        <w:t>NOTE 2. SUMMARY OF SIGNIFICANT ACCOUNTING POLICIES Basis of Presentation</w:t>
      </w:r>
    </w:p>
    <w:p>
      <w:pPr>
        <w:spacing w:after="0" w:line="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consolidated financial statements include all adjustments, consisting of a normal recurring nature, which are necessary for a fair presentation of the financial position, operating results and cash flows for the periods presented.</w:t>
      </w:r>
    </w:p>
    <w:p>
      <w:pPr>
        <w:spacing w:after="0" w:line="7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accompanying unaudited consolidated financial statements should be read in conjunction with the Company’s Annual Report as amended on Form 10-K/A for the year ended December 31, 2020 as filed with the SEC on May 12, 2021, which contains the audited financial statements and notes thereto. The financial information as of December 31, 2020 is derived from the audited financial statements presented in the Company’s Annual Report as amended on Form 10-K/A for the year ended December 31, 2020 as filed with the SEC on May 12, 2021. The interim results for the three months ended March 31, 2021 are not necessarily indicative of the results to be expected for the year ending December 31, 2021 or for any future interim periods.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 owned subsidiary where the Company has the ability to exercise control.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0" w:name="page201"/>
    <w:bookmarkEnd w:id="20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w:t>
      </w:r>
    </w:p>
    <w:p>
      <w:pPr>
        <w:spacing w:after="0" w:line="7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At March 31, 2021 and December 31, 2020, the assets held in the Trust Account were held in money market funds, which primarily invest in U.S. Treasury Bills.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 Liability</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6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5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For the three months ended March 31, 2021, the change in the fair market value of our warrant liability was $78,220,000.</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Transaction Costs and Related Compensation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Company accounts for transaction costs associated with the issuance of equity and equity-like instruments depending on the nature of the instruments themselves. Transaction costs related to equity instruments of the company are charged against the aggregate offering proceeds. Transaction costs related to the issuance of equity-like instruments which the Company classifies as derivative liabilities are immediately expensed concurrent with the offering. In the event that the issuance two or more instruments are deemed to constitute one in the same transaction, the Company allocates the transaction costs between the constituent components pro rata according to the fair value of each component.</w:t>
      </w:r>
    </w:p>
    <w:p>
      <w:pPr>
        <w:spacing w:after="0" w:line="8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To the extent that the aggregate proceeds from the issuance of an instrument which is classified by the Company as a derivative liability is less than the fair market value determination of such liability, the amount of such liability in excess of the aggregate issuance proceeds is immediately recorded as compensation expense.</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A Ordinary Shares Subject to Possible Redemption</w:t>
      </w:r>
    </w:p>
    <w:p>
      <w:pPr>
        <w:spacing w:after="0" w:line="12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Accounting Standards Codification (“ASC”) Topic 480 “Distinguishing Liabilities from Equity.”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1" w:name="page202"/>
    <w:bookmarkEnd w:id="20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consolidated balance sheets.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6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7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Net Income (Loss) Per Ordinary Share</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Net income (loss) per ordinary share is computed by dividing net income (loss) by the weighted average number of ordinary shares outstanding for the period. The Company has not considered the effect of warrants sold in the Initial Public Offering and the private placement to purchase 19,500,000 ordinary shares in the calculation of diluted loss per share, since the exercise of the warrants into ordinary shares is contingent upon the occurrence of future events and the inclusion of such warrants would be anti-dilutive.</w:t>
      </w:r>
    </w:p>
    <w:p>
      <w:pPr>
        <w:spacing w:after="0" w:line="68"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The Company’s statement of operations includes a presentation of income (loss) per share for ordinary shares subject to possible redemption in a manner similar to the two-class method of income (loss) per ordinary share. Net income (loss) per ordinary share, basic and diluted, for Ordinary shares subject to possible redemption is calculated by dividing the proportionate share of income or loss on marketable securities held by the Trust Account, by the weighted average number of Ordinary shares subject to possible redemption outstanding since original issuance.</w:t>
      </w:r>
    </w:p>
    <w:p>
      <w:pPr>
        <w:spacing w:after="0" w:line="5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Net income (loss) per share, basic and diluted, for non-redeemable ordinary shares is calculated by dividing the net loss, adjusted for income or loss on marketable securities attributable to Ordinary shares subject to possible redemption, by the weighted average number of non-redeemable ordinary shares outstanding for the period.</w:t>
      </w:r>
    </w:p>
    <w:p>
      <w:pPr>
        <w:spacing w:after="0" w:line="4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Non-redeemable ordinary shares include Founder Shares and non-redeemable ordinary shares as these shares do not have any redemption features. Non-redeemable ordinary shares participate in the income or loss on marketable securities based on non-redeemable ordinary shares’ proportionate interest.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2" w:name="page203"/>
    <w:bookmarkEnd w:id="20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table reflects the calculation of basic and diluted net income (loss) per ordinary share (in dollars, except per share amounts):</w:t>
      </w:r>
    </w:p>
    <w:p>
      <w:pPr>
        <w:spacing w:after="0" w:line="135"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49530</wp:posOffset>
            </wp:positionV>
            <wp:extent cx="14230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r>
      <w:tr>
        <w:trPr>
          <w:trHeight w:val="53"/>
        </w:trPr>
        <w:tc>
          <w:tcPr>
            <w:tcW w:w="6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311"/>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Ordinary shares subject to possible redemption</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w w:val="95"/>
              </w:rPr>
              <w:t>Numerator: Earnings allocable to Ordinary shares subject to possible redemption</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883,757</w:t>
            </w:r>
          </w:p>
        </w:tc>
      </w:tr>
      <w:tr>
        <w:trPr>
          <w:trHeight w:val="270"/>
        </w:trPr>
        <w:tc>
          <w:tcPr>
            <w:tcW w:w="6180" w:type="dxa"/>
            <w:vAlign w:val="bottom"/>
          </w:tcPr>
          <w:p>
            <w:pPr>
              <w:ind w:left="180"/>
              <w:spacing w:after="0"/>
              <w:rPr>
                <w:sz w:val="20"/>
                <w:szCs w:val="20"/>
                <w:color w:val="auto"/>
              </w:rPr>
            </w:pPr>
            <w:r>
              <w:rPr>
                <w:rFonts w:ascii="Arial" w:cs="Arial" w:eastAsia="Arial" w:hAnsi="Arial"/>
                <w:sz w:val="18"/>
                <w:szCs w:val="18"/>
                <w:color w:val="auto"/>
              </w:rPr>
              <w:t>Unrealized gain on investments held in Trust Account</w:t>
            </w:r>
          </w:p>
        </w:tc>
        <w:tc>
          <w:tcPr>
            <w:tcW w:w="120" w:type="dxa"/>
            <w:vAlign w:val="bottom"/>
          </w:tcPr>
          <w:p>
            <w:pPr>
              <w:spacing w:after="0"/>
              <w:rPr>
                <w:sz w:val="23"/>
                <w:szCs w:val="2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1,092,977</w:t>
            </w: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1,976,734</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w w:val="95"/>
              </w:rPr>
              <w:t>Denominator: Weighted Average Ordinary shares subject to possible redemption</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gridSpan w:val="2"/>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17,108,013</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22,424,313</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Basic and diluted net income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24"/>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8"/>
                <w:szCs w:val="18"/>
                <w:i w:val="1"/>
                <w:iCs w:val="1"/>
                <w:color w:val="auto"/>
              </w:rPr>
              <w:t>Non-Redeemable Ordinary Shares</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Net Loss minus Net Earnings</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Net (loss) 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89"/>
              </w:rPr>
              <w:t>$(78,928,074)</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1,822,107</w:t>
            </w: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allocable to Ordinary shares subject to possible redemption</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(1,976,734)</w:t>
            </w:r>
          </w:p>
        </w:tc>
      </w:tr>
      <w:tr>
        <w:trPr>
          <w:trHeight w:val="270"/>
        </w:trPr>
        <w:tc>
          <w:tcPr>
            <w:tcW w:w="6180" w:type="dxa"/>
            <w:vAlign w:val="bottom"/>
          </w:tcPr>
          <w:p>
            <w:pPr>
              <w:ind w:left="360"/>
              <w:spacing w:after="0"/>
              <w:rPr>
                <w:sz w:val="20"/>
                <w:szCs w:val="20"/>
                <w:color w:val="auto"/>
              </w:rPr>
            </w:pPr>
            <w:r>
              <w:rPr>
                <w:rFonts w:ascii="Arial" w:cs="Arial" w:eastAsia="Arial" w:hAnsi="Arial"/>
                <w:sz w:val="18"/>
                <w:szCs w:val="18"/>
                <w:color w:val="auto"/>
              </w:rPr>
              <w:t>Non-Redeemable Net Loss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89"/>
              </w:rPr>
              <w:t>$(78,939,166)</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(154,627)</w:t>
            </w: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Weighted Average Non-Redeemable Ordinary Shares</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14,141,750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8,825,687</w:t>
            </w: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7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54"/>
        </w:trPr>
        <w:tc>
          <w:tcPr>
            <w:tcW w:w="6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-3514090</wp:posOffset>
            </wp:positionV>
            <wp:extent cx="1371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-3514090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consolidated financial statements, primarily due to their short-term nature.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68" w:lineRule="exact"/>
        <w:rPr>
          <w:sz w:val="20"/>
          <w:szCs w:val="20"/>
          <w:color w:val="auto"/>
        </w:rPr>
      </w:pPr>
    </w:p>
    <w:p>
      <w:pPr>
        <w:ind w:left="1000" w:right="319" w:hanging="348"/>
        <w:spacing w:after="0" w:line="277"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76"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3" w:name="page204"/>
    <w:bookmarkEnd w:id="20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consolidated financial statements.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3. INITIAL PUBLIC OFFERING</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the Initial Public Offering, the Company sold 25,000,000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7).</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7,000,000 Private Placement Warrants at a purchase price of $1.00 per Private Placement Warrant, for an aggregate purchase price of $7,000,000. The proceeds from the sale of the Private Placement Warrants were added to the net proceeds from the Initial Public Offering held in the Trust Account. Each Private Placement Warrant is exercisable for one Class A Share at a price of $11.50 per share, subject to adjustment (see Note 7).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5. RELATED PARTY TRANSACTIONS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Founder Shares included an aggregate of up to 937,500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The underwriters’ over-allotment option expired unexercised on September 26, 2019 and, as a result, 937,500 Founder Shares were forfeited, resulting in the Sponsor holding an aggregate of 6,250,000 Founder Shares.</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Administrative Services Agreement</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entered into an agreement whereby, commencing on August 7, 2019, the Company will pay the Sponsor up to $20,000 per month for office space, administrative and support services. Upon completion of a Business Combination or its liquidation, the Company will cease paying these monthly fees. For the three months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4" w:name="page205"/>
    <w:bookmarkEnd w:id="20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ended March 31, 2021 and for the year ended December 31, 2020, the Company incurred $60,000 and $240,000, respectively, in fees for these services. At March 31, 2021 and December 31, 2020, fees of $60,000 and $279,879, respectively, are included in accrued expenses in the accompanying consolidated balance sheets.</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Promissory Note – Related Party</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On June 10, 2019, the Company issued an unsecured promissory note to the Sponsor, pursuant to which the Company borrowed an aggregate principal amount of $237,470. The note was non-interest bearing and payable on the earlier of (i) January 31, 2020 and (ii) the completion of the Initial Public Offering. The note was repaid in full upon the consummation of the Initial Public Offering on August 12, 2019.</w:t>
      </w:r>
    </w:p>
    <w:p>
      <w:pPr>
        <w:spacing w:after="0" w:line="6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On February 18, 2021, the Company issued a Note in the amount of up to $750,000 to the Sponsor for general working capital purposes. The Note is non-interest bearing and payable upon the earlier to occur of (i) June 10, 2021 or (ii) the consummation of a Business Combination. If the Company does not consummate a Business Combination, the Company may use a portion of any funds held outside the Trust Account to repay the Note; however, no proceeds from the Trust Account may be used for such repayment. As of March 31, 2021, the Company had drawn down $200,000 under the Note.</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Loans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6. COMMITMENTS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Pursuant to a registration rights agreement entered into on August 7, 2019, 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are entitled to registration rights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Underwriting Agreement</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underwriters were paid a cash underwriting discount of $0.20 per Unit, or $5,000,000 in the aggregate. In addition, the underwriters are entitled to a deferred fee of $0.35 per Unit, or $8,750,000 in the aggregate, which will become payable to the underwriters from the amounts held in the Trust Account solely in the event that the Company completes a Business Combination, subject to the terms of the underwriting agreement.</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Agreement</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December 10, 2020, the Company entered into an Agreement and Plan of Merger (the “Merger Agreement”) with Merger Sub, WMH and Ghost Media Group, LLC, a Nevada limited liability company, solely in its capacity as the securityholder representative thereunder (the “Holder Representative”).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5" w:name="page206"/>
    <w:bookmarkEnd w:id="20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7. SHAREHOLDERS’ EQUITY</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 is authorized to issue 1,000,000 preference shares with a par value of $0.0001. The 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March 31, 2021 and December 31, 2020, there were no preference shares issued or outstanding.</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A Ordinary Shares</w:t>
      </w:r>
    </w:p>
    <w:p>
      <w:pPr>
        <w:spacing w:after="0" w:line="121"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The Company is authorized to issue 200,000,000 Class A ordinary shares, with a par value of $0.0001 per share. Holders of Class A ordinary shares are entitled to one vote for each share. At March 31, 2021 and December 31, 2020, there were 15,655,615 and 7,891,750 shares of Class A ordinary shares issued or outstanding, excluding 9,342,960 and 17,108,250 Class A ordinary shares subject to possible redemption, respectively.</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B Ordinary Shares</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The Company is authorized to issue 20,000,000 Class B ordinary shares, with a par value of $0.0001 per share. Holders of the Class B ordinary shares are entitled to one vote for each share. At March 31, 2021 and December 31, 2020, there were 6,250,000 Class B ordinary shares issued and outstanding.</w:t>
      </w:r>
    </w:p>
    <w:p>
      <w:pPr>
        <w:spacing w:after="0" w:line="5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4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8. WARRANT LIABILITY</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Public Warrants may only be exercised for a whole number of shares. No fractional shares will be issued upon 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8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70"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reasonable best efforts to file with the SEC a registration statement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6" w:name="page207"/>
    <w:bookmarkEnd w:id="20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registering the issuance, under the Securities Act, of the Class A ordinary shares issuable upon exercise of the Public Warrants. The Company will use its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Once the Public Warrants become exercisable, the Company may redeem the Public Warrants for redemption:</w:t>
      </w:r>
    </w:p>
    <w:p>
      <w:pPr>
        <w:spacing w:after="0" w:line="140" w:lineRule="exact"/>
        <w:rPr>
          <w:sz w:val="20"/>
          <w:szCs w:val="20"/>
          <w:color w:val="auto"/>
        </w:rPr>
      </w:pPr>
    </w:p>
    <w:p>
      <w:pPr>
        <w:ind w:left="1000" w:hanging="348"/>
        <w:spacing w:after="0"/>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7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7" w:name="page208"/>
    <w:bookmarkEnd w:id="207"/>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00"/>
        <w:spacing w:after="0" w:line="263" w:lineRule="auto"/>
        <w:rPr>
          <w:sz w:val="20"/>
          <w:szCs w:val="20"/>
          <w:color w:val="auto"/>
        </w:rPr>
      </w:pPr>
      <w:r>
        <w:rPr>
          <w:rFonts w:ascii="Arial" w:cs="Arial" w:eastAsia="Arial" w:hAnsi="Arial"/>
          <w:sz w:val="18"/>
          <w:szCs w:val="18"/>
          <w:color w:val="auto"/>
        </w:rPr>
        <w:t>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34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NOTE 9. FAIR VALUE MEASUREMENTS</w:t>
      </w:r>
    </w:p>
    <w:p>
      <w:pPr>
        <w:spacing w:after="0" w:line="121" w:lineRule="exact"/>
        <w:rPr>
          <w:sz w:val="20"/>
          <w:szCs w:val="20"/>
          <w:color w:val="auto"/>
        </w:rPr>
      </w:pPr>
    </w:p>
    <w:p>
      <w:pPr>
        <w:jc w:val="both"/>
        <w:ind w:left="1300" w:right="1320" w:firstLine="360"/>
        <w:spacing w:after="0" w:line="263" w:lineRule="auto"/>
        <w:rPr>
          <w:sz w:val="20"/>
          <w:szCs w:val="20"/>
          <w:color w:val="auto"/>
        </w:rPr>
      </w:pPr>
      <w:r>
        <w:rPr>
          <w:rFonts w:ascii="Arial" w:cs="Arial" w:eastAsia="Arial" w:hAnsi="Arial"/>
          <w:sz w:val="18"/>
          <w:szCs w:val="18"/>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76" w:lineRule="exact"/>
        <w:rPr>
          <w:sz w:val="20"/>
          <w:szCs w:val="20"/>
          <w:color w:val="auto"/>
        </w:rPr>
      </w:pPr>
    </w:p>
    <w:p>
      <w:pPr>
        <w:jc w:val="both"/>
        <w:ind w:left="1300" w:right="1300" w:firstLine="360"/>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2000" w:right="1300" w:hanging="348"/>
        <w:spacing w:after="0" w:line="263" w:lineRule="auto"/>
        <w:tabs>
          <w:tab w:leader="none" w:pos="2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5" w:lineRule="exact"/>
        <w:rPr>
          <w:rFonts w:ascii="Arial" w:cs="Arial" w:eastAsia="Arial" w:hAnsi="Arial"/>
          <w:sz w:val="18"/>
          <w:szCs w:val="18"/>
          <w:color w:val="auto"/>
        </w:rPr>
      </w:pPr>
    </w:p>
    <w:p>
      <w:pPr>
        <w:jc w:val="both"/>
        <w:ind w:left="2000" w:right="1320" w:hanging="348"/>
        <w:spacing w:after="0" w:line="263" w:lineRule="auto"/>
        <w:tabs>
          <w:tab w:leader="none" w:pos="2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75" w:lineRule="exact"/>
        <w:rPr>
          <w:rFonts w:ascii="Arial" w:cs="Arial" w:eastAsia="Arial" w:hAnsi="Arial"/>
          <w:sz w:val="18"/>
          <w:szCs w:val="18"/>
          <w:color w:val="auto"/>
        </w:rPr>
      </w:pPr>
    </w:p>
    <w:p>
      <w:pPr>
        <w:ind w:left="2000" w:right="1300" w:hanging="348"/>
        <w:spacing w:after="0" w:line="277" w:lineRule="auto"/>
        <w:tabs>
          <w:tab w:leader="none" w:pos="2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62" w:lineRule="exact"/>
        <w:rPr>
          <w:sz w:val="20"/>
          <w:szCs w:val="20"/>
          <w:color w:val="auto"/>
        </w:rPr>
      </w:pPr>
    </w:p>
    <w:p>
      <w:pPr>
        <w:jc w:val="both"/>
        <w:ind w:left="1300" w:right="1300" w:firstLine="360"/>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March 31, 2021 and December 31, 2020, and indicates the fair value hierarchy of the valuation inputs the Company utilized to determine such fair value:</w:t>
      </w:r>
    </w:p>
    <w:p>
      <w:pPr>
        <w:spacing w:after="0" w:line="135"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4"/>
              </w:rPr>
              <w:t>Level</w:t>
            </w:r>
          </w:p>
        </w:tc>
        <w:tc>
          <w:tcPr>
            <w:tcW w:w="2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1"/>
              </w:rPr>
              <w:t>December 31, 2020</w:t>
            </w:r>
          </w:p>
        </w:tc>
      </w:tr>
      <w:tr>
        <w:trPr>
          <w:trHeight w:val="52"/>
        </w:trPr>
        <w:tc>
          <w:tcPr>
            <w:tcW w:w="52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311"/>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$254,202,898</w:t>
            </w:r>
          </w:p>
        </w:tc>
        <w:tc>
          <w:tcPr>
            <w:tcW w:w="2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w w:val="98"/>
              </w:rPr>
              <w:t>$254,187,706</w:t>
            </w:r>
          </w:p>
        </w:tc>
      </w:tr>
      <w:tr>
        <w:trPr>
          <w:trHeight w:val="54"/>
        </w:trPr>
        <w:tc>
          <w:tcPr>
            <w:tcW w:w="5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324"/>
        </w:trPr>
        <w:tc>
          <w:tcPr>
            <w:tcW w:w="5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54"/>
        </w:trPr>
        <w:tc>
          <w:tcPr>
            <w:tcW w:w="5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304"/>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 Liability – Public Warrants</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88,000,000</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41,000,000</w:t>
            </w: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color w:val="auto"/>
              </w:rPr>
              <w:t>Warrant Liability – Private Warrants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53,900,000</w:t>
            </w:r>
          </w:p>
        </w:tc>
        <w:tc>
          <w:tcPr>
            <w:tcW w:w="2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22,680,000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5278120</wp:posOffset>
            </wp:positionH>
            <wp:positionV relativeFrom="paragraph">
              <wp:posOffset>-1216660</wp:posOffset>
            </wp:positionV>
            <wp:extent cx="13716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-1216660</wp:posOffset>
            </wp:positionV>
            <wp:extent cx="13716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-1216660</wp:posOffset>
            </wp:positionV>
            <wp:extent cx="13716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following tables summarize the changes in the fair value of the warrant liabilities: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40" w:type="dxa"/>
            <w:vAlign w:val="bottom"/>
            <w:gridSpan w:val="12"/>
          </w:tcPr>
          <w:p>
            <w:pPr>
              <w:ind w:left="700"/>
              <w:spacing w:after="0"/>
              <w:rPr>
                <w:sz w:val="20"/>
                <w:szCs w:val="20"/>
                <w:color w:val="auto"/>
              </w:rPr>
            </w:pPr>
            <w:r>
              <w:rPr>
                <w:rFonts w:ascii="Arial" w:cs="Arial" w:eastAsia="Arial" w:hAnsi="Arial"/>
                <w:sz w:val="14"/>
                <w:szCs w:val="14"/>
                <w:b w:val="1"/>
                <w:bCs w:val="1"/>
                <w:color w:val="auto"/>
              </w:rPr>
              <w:t>Three months ended March 31, 2021</w:t>
            </w:r>
          </w:p>
        </w:tc>
      </w:tr>
      <w:tr>
        <w:trPr>
          <w:trHeight w:val="53"/>
        </w:trPr>
        <w:tc>
          <w:tcPr>
            <w:tcW w:w="13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Public Warrants</w:t>
            </w: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Private Warrants</w:t>
            </w:r>
          </w:p>
        </w:tc>
        <w:tc>
          <w:tcPr>
            <w:tcW w:w="252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7"/>
              </w:rPr>
              <w:t>Warrant Liabilities</w:t>
            </w:r>
          </w:p>
        </w:tc>
      </w:tr>
      <w:tr>
        <w:trPr>
          <w:trHeight w:val="53"/>
        </w:trPr>
        <w:tc>
          <w:tcPr>
            <w:tcW w:w="1300" w:type="dxa"/>
            <w:vAlign w:val="bottom"/>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18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$41,000,000</w:t>
            </w: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$22,680,000</w:t>
            </w: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$ 63,680,000</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7"/>
              </w:rPr>
              <w:t>Change in valuation inputs or other assumptions</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47,000,000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31,220,000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78,220,000</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90"/>
        </w:trPr>
        <w:tc>
          <w:tcPr>
            <w:tcW w:w="1300" w:type="dxa"/>
            <w:vAlign w:val="bottom"/>
          </w:tcPr>
          <w:p>
            <w:pPr>
              <w:spacing w:after="0"/>
              <w:rPr>
                <w:sz w:val="24"/>
                <w:szCs w:val="2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Fair value, end of period</w:t>
            </w:r>
          </w:p>
        </w:tc>
        <w:tc>
          <w:tcPr>
            <w:tcW w:w="920" w:type="dxa"/>
            <w:vAlign w:val="bottom"/>
            <w:tcBorders>
              <w:right w:val="single" w:sz="8" w:color="CCEEFF"/>
            </w:tcBorders>
            <w:shd w:val="clear" w:color="auto" w:fill="CCEEFF"/>
          </w:tcPr>
          <w:p>
            <w:pPr>
              <w:spacing w:after="0"/>
              <w:rPr>
                <w:sz w:val="24"/>
                <w:szCs w:val="24"/>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88,000,000</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53,900,000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141,900,000</w:t>
            </w:r>
          </w:p>
        </w:tc>
        <w:tc>
          <w:tcPr>
            <w:tcW w:w="1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1300" w:type="dxa"/>
            <w:vAlign w:val="bottom"/>
          </w:tcPr>
          <w:p>
            <w:pPr>
              <w:spacing w:after="0"/>
              <w:rPr>
                <w:sz w:val="2"/>
                <w:szCs w:val="2"/>
                <w:color w:val="auto"/>
              </w:rPr>
            </w:pPr>
          </w:p>
        </w:tc>
        <w:tc>
          <w:tcPr>
            <w:tcW w:w="37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right w:val="single" w:sz="8" w:color="auto"/>
            </w:tcBorders>
            <w:shd w:val="clear" w:color="auto" w:fill="CCEEFF"/>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auto"/>
            </w:tcBorders>
            <w:shd w:val="clear" w:color="auto" w:fill="CCEEFF"/>
          </w:tcPr>
          <w:p>
            <w:pPr>
              <w:spacing w:after="0"/>
              <w:rPr>
                <w:sz w:val="2"/>
                <w:szCs w:val="2"/>
                <w:color w:val="auto"/>
              </w:rPr>
            </w:pPr>
          </w:p>
        </w:tc>
        <w:tc>
          <w:tcPr>
            <w:tcW w:w="84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auto"/>
            </w:tcBorders>
            <w:shd w:val="clear" w:color="auto" w:fill="CCEEFF"/>
          </w:tcPr>
          <w:p>
            <w:pPr>
              <w:spacing w:after="0"/>
              <w:rPr>
                <w:sz w:val="2"/>
                <w:szCs w:val="2"/>
                <w:color w:val="auto"/>
              </w:rPr>
            </w:pPr>
          </w:p>
        </w:tc>
        <w:tc>
          <w:tcPr>
            <w:tcW w:w="96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339"/>
        </w:trPr>
        <w:tc>
          <w:tcPr>
            <w:tcW w:w="1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40" w:type="dxa"/>
            <w:vAlign w:val="bottom"/>
            <w:gridSpan w:val="12"/>
          </w:tcPr>
          <w:p>
            <w:pPr>
              <w:ind w:left="700"/>
              <w:spacing w:after="0"/>
              <w:rPr>
                <w:sz w:val="20"/>
                <w:szCs w:val="20"/>
                <w:color w:val="auto"/>
              </w:rPr>
            </w:pPr>
            <w:r>
              <w:rPr>
                <w:rFonts w:ascii="Arial" w:cs="Arial" w:eastAsia="Arial" w:hAnsi="Arial"/>
                <w:sz w:val="14"/>
                <w:szCs w:val="14"/>
                <w:b w:val="1"/>
                <w:bCs w:val="1"/>
                <w:color w:val="auto"/>
              </w:rPr>
              <w:t>Three months ended March 31, 2020</w:t>
            </w:r>
          </w:p>
        </w:tc>
      </w:tr>
      <w:tr>
        <w:trPr>
          <w:trHeight w:val="53"/>
        </w:trPr>
        <w:tc>
          <w:tcPr>
            <w:tcW w:w="13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Public Warrants</w:t>
            </w: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Private Warrants</w:t>
            </w:r>
          </w:p>
        </w:tc>
        <w:tc>
          <w:tcPr>
            <w:tcW w:w="252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7"/>
              </w:rPr>
              <w:t>Warrant Liabilities</w:t>
            </w:r>
          </w:p>
        </w:tc>
      </w:tr>
      <w:tr>
        <w:trPr>
          <w:trHeight w:val="52"/>
        </w:trPr>
        <w:tc>
          <w:tcPr>
            <w:tcW w:w="1300" w:type="dxa"/>
            <w:vAlign w:val="bottom"/>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178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$5,000,000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0"/>
              </w:rPr>
              <w:t>$8,260,000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right w:val="single" w:sz="8" w:color="CCEEFF"/>
            </w:tcBorders>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89"/>
              </w:rPr>
              <w:t>$13,260,000</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7"/>
              </w:rPr>
              <w:t>Change in valuation inputs or other assumptions</w:t>
            </w:r>
          </w:p>
        </w:tc>
        <w:tc>
          <w:tcPr>
            <w:tcW w:w="1860" w:type="dxa"/>
            <w:vAlign w:val="bottom"/>
            <w:gridSpan w:val="4"/>
          </w:tcPr>
          <w:p>
            <w:pPr>
              <w:jc w:val="right"/>
              <w:ind w:right="60"/>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23"/>
                <w:szCs w:val="23"/>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(70,000)</w:t>
            </w:r>
          </w:p>
        </w:tc>
        <w:tc>
          <w:tcPr>
            <w:tcW w:w="240" w:type="dxa"/>
            <w:vAlign w:val="bottom"/>
          </w:tcPr>
          <w:p>
            <w:pPr>
              <w:spacing w:after="0"/>
              <w:rPr>
                <w:sz w:val="23"/>
                <w:szCs w:val="23"/>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(195,000)</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Fair value, end of period</w:t>
            </w:r>
          </w:p>
        </w:tc>
        <w:tc>
          <w:tcPr>
            <w:tcW w:w="920" w:type="dxa"/>
            <w:vAlign w:val="bottom"/>
            <w:tcBorders>
              <w:right w:val="single" w:sz="8" w:color="CCEEFF"/>
            </w:tcBorders>
            <w:shd w:val="clear" w:color="auto" w:fill="CCEEFF"/>
          </w:tcPr>
          <w:p>
            <w:pPr>
              <w:spacing w:after="0"/>
              <w:rPr>
                <w:sz w:val="24"/>
                <w:szCs w:val="24"/>
                <w:color w:val="auto"/>
              </w:rPr>
            </w:pP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4,875,000</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8,190,000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13,065,000</w:t>
            </w:r>
          </w:p>
        </w:tc>
        <w:tc>
          <w:tcPr>
            <w:tcW w:w="1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76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ind w:left="280"/>
              <w:spacing w:after="0"/>
              <w:rPr>
                <w:sz w:val="20"/>
                <w:szCs w:val="20"/>
                <w:color w:val="auto"/>
              </w:rPr>
            </w:pPr>
            <w:r>
              <w:rPr>
                <w:rFonts w:ascii="Arial" w:cs="Arial" w:eastAsia="Arial" w:hAnsi="Arial"/>
                <w:sz w:val="18"/>
                <w:szCs w:val="18"/>
                <w:color w:val="auto"/>
              </w:rPr>
              <w:t>F-67</w:t>
            </w:r>
          </w:p>
        </w:tc>
        <w:tc>
          <w:tcPr>
            <w:tcW w:w="80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gridSpan w:val="3"/>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5243830</wp:posOffset>
            </wp:positionH>
            <wp:positionV relativeFrom="paragraph">
              <wp:posOffset>-2150745</wp:posOffset>
            </wp:positionV>
            <wp:extent cx="15430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-2150745</wp:posOffset>
            </wp:positionV>
            <wp:extent cx="15430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-2150745</wp:posOffset>
            </wp:positionV>
            <wp:extent cx="774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-1062355</wp:posOffset>
            </wp:positionV>
            <wp:extent cx="15430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-1062355</wp:posOffset>
            </wp:positionV>
            <wp:extent cx="15430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-1062355</wp:posOffset>
            </wp:positionV>
            <wp:extent cx="7747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08" w:name="page209"/>
    <w:bookmarkEnd w:id="20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consolidated balance sheet. The warrant liabilities are measured at fair value at inception and on a recurring basis, with changes in fair value presented within change in fair value of warrant liabilities in the consolidated statement of operations.</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Private Warrants were initially valued using a Modified Black Scholes Option Pricing Model, which is considered to be a Level 3 fair value measurement. The Modified Black Scholes model’s primary unobservable input utilized in determining the fair value of the Private Warrants is the expected volatility of the common stock. The expected volatility as of the IPO date was derived from observable public warrant pricing on comparable ‘blank-check’ companies without an identified target. The expected volatility as of subsequent valuation dates was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Warrants. For periods subsequent to the detachment of the warrants from the Units, the close price of the public warrant price was used as the fair value as of each relevant date.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10. SUBSEQUENT EVENTS</w:t>
      </w:r>
    </w:p>
    <w:p>
      <w:pPr>
        <w:spacing w:after="0" w:line="12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The Company evaluated subsequent events and transactions that occurred after the balance sheet date up to the date that the consolidated financial statements were issued. Based upon this review, the Company did not identify any subsequent events that would have required adjustment or disclosure in the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9" w:name="page210"/>
    <w:bookmarkEnd w:id="209"/>
    <w:p>
      <w:pPr>
        <w:ind w:left="4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260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8287385</wp:posOffset>
            </wp:positionV>
            <wp:extent cx="52120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8347710</wp:posOffset>
            </wp:positionV>
            <wp:extent cx="521208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3272790</wp:posOffset>
            </wp:positionV>
            <wp:extent cx="5057775" cy="10115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057775" cy="1011555"/>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1)"/>
      <w:numFmt w:val="lowerRoman"/>
      <w:start w:val="2"/>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1."/>
      <w:numFmt w:val="decimal"/>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a"/>
      <w:numFmt w:val="bullet"/>
      <w:start w:val="1"/>
    </w:lvl>
  </w:abstractNum>
  <w:abstractNum w:abstractNumId="26">
    <w:nsid w:val="7BD3EE7B"/>
    <w:multiLevelType w:val="hybridMultilevel"/>
    <w:lvl w:ilvl="0">
      <w:lvlJc w:val="left"/>
      <w:lvlText w:val="b"/>
      <w:numFmt w:val="bullet"/>
      <w:start w:val="1"/>
    </w:lvl>
  </w:abstractNum>
  <w:abstractNum w:abstractNumId="27">
    <w:nsid w:val="51D9C564"/>
    <w:multiLevelType w:val="hybridMultilevel"/>
    <w:lvl w:ilvl="0">
      <w:lvlJc w:val="left"/>
      <w:lvlText w:val="c"/>
      <w:numFmt w:val="bullet"/>
      <w:start w:val="1"/>
    </w:lvl>
    <w:lvl w:ilvl="1">
      <w:lvlJc w:val="left"/>
      <w:lvlText w:val="•"/>
      <w:numFmt w:val="bullet"/>
      <w:start w:val="1"/>
    </w:lvl>
  </w:abstractNum>
  <w:abstractNum w:abstractNumId="28">
    <w:nsid w:val="613EFDC5"/>
    <w:multiLevelType w:val="hybridMultilevel"/>
    <w:lvl w:ilvl="0">
      <w:lvlJc w:val="left"/>
      <w:lvlText w:val="d"/>
      <w:numFmt w:val="bullet"/>
      <w:start w:val="1"/>
    </w:lvl>
  </w:abstractNum>
  <w:abstractNum w:abstractNumId="29">
    <w:nsid w:val="BF72B14"/>
    <w:multiLevelType w:val="hybridMultilevel"/>
    <w:lvl w:ilvl="0">
      <w:lvlJc w:val="left"/>
      <w:lvlText w:val="e"/>
      <w:numFmt w:val="bullet"/>
      <w:start w:val="1"/>
    </w:lvl>
  </w:abstractNum>
  <w:abstractNum w:abstractNumId="30">
    <w:nsid w:val="11447B73"/>
    <w:multiLevelType w:val="hybridMultilevel"/>
    <w:lvl w:ilvl="0">
      <w:lvlJc w:val="left"/>
      <w:lvlText w:val="f"/>
      <w:numFmt w:val="bullet"/>
      <w:start w:val="1"/>
    </w:lvl>
  </w:abstractNum>
  <w:abstractNum w:abstractNumId="31">
    <w:nsid w:val="42963E5A"/>
    <w:multiLevelType w:val="hybridMultilevel"/>
    <w:lvl w:ilvl="0">
      <w:lvlJc w:val="left"/>
      <w:lvlText w:val="g"/>
      <w:numFmt w:val="bullet"/>
      <w:start w:val="1"/>
    </w:lvl>
  </w:abstractNum>
  <w:abstractNum w:abstractNumId="32">
    <w:nsid w:val="A0382C5"/>
    <w:multiLevelType w:val="hybridMultilevel"/>
    <w:lvl w:ilvl="0">
      <w:lvlJc w:val="left"/>
      <w:lvlText w:val="h"/>
      <w:numFmt w:val="bullet"/>
      <w:start w:val="1"/>
    </w:lvl>
  </w:abstractNum>
  <w:abstractNum w:abstractNumId="33">
    <w:nsid w:val="8F2B15E"/>
    <w:multiLevelType w:val="hybridMultilevel"/>
    <w:lvl w:ilvl="0">
      <w:lvlJc w:val="left"/>
      <w:lvlText w:val="i"/>
      <w:numFmt w:val="bullet"/>
      <w:start w:val="1"/>
    </w:lvl>
  </w:abstractNum>
  <w:abstractNum w:abstractNumId="34">
    <w:nsid w:val="1A32234B"/>
    <w:multiLevelType w:val="hybridMultilevel"/>
    <w:lvl w:ilvl="0">
      <w:lvlJc w:val="left"/>
      <w:lvlText w:val="j"/>
      <w:numFmt w:val="bullet"/>
      <w:start w:val="1"/>
    </w:lvl>
  </w:abstractNum>
  <w:abstractNum w:abstractNumId="35">
    <w:nsid w:val="3B0FD379"/>
    <w:multiLevelType w:val="hybridMultilevel"/>
    <w:lvl w:ilvl="0">
      <w:lvlJc w:val="left"/>
      <w:lvlText w:val="k"/>
      <w:numFmt w:val="bullet"/>
      <w:start w:val="1"/>
    </w:lvl>
  </w:abstractNum>
  <w:abstractNum w:abstractNumId="36">
    <w:nsid w:val="68EB2F63"/>
    <w:multiLevelType w:val="hybridMultilevel"/>
    <w:lvl w:ilvl="0">
      <w:lvlJc w:val="left"/>
      <w:lvlText w:val="l"/>
      <w:numFmt w:val="bullet"/>
      <w:start w:val="1"/>
    </w:lvl>
  </w:abstractNum>
  <w:abstractNum w:abstractNumId="37">
    <w:nsid w:val="4962813B"/>
    <w:multiLevelType w:val="hybridMultilevel"/>
    <w:lvl w:ilvl="0">
      <w:lvlJc w:val="left"/>
      <w:lvlText w:val="%1"/>
      <w:numFmt w:val="lowerLetter"/>
      <w:start w:val="27"/>
    </w:lvl>
  </w:abstractNum>
  <w:abstractNum w:abstractNumId="38">
    <w:nsid w:val="60B6DF70"/>
    <w:multiLevelType w:val="hybridMultilevel"/>
    <w:lvl w:ilvl="0">
      <w:lvlJc w:val="left"/>
      <w:lvlText w:val="%1."/>
      <w:numFmt w:val="decimal"/>
      <w:start w:val="3"/>
    </w:lvl>
  </w:abstractNum>
  <w:abstractNum w:abstractNumId="39">
    <w:nsid w:val="6A5EE64"/>
    <w:multiLevelType w:val="hybridMultilevel"/>
    <w:lvl w:ilvl="0">
      <w:lvlJc w:val="left"/>
      <w:lvlText w:val="(%1)"/>
      <w:numFmt w:val="decimal"/>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lvl w:ilvl="1">
      <w:lvlJc w:val="left"/>
      <w:lvlText w:val="•"/>
      <w:numFmt w:val="bullet"/>
      <w:start w:val="1"/>
    </w:lvl>
  </w:abstractNum>
  <w:abstractNum w:abstractNumId="44">
    <w:nsid w:val="100F59DC"/>
    <w:multiLevelType w:val="hybridMultilevel"/>
    <w:lvl w:ilvl="0">
      <w:lvlJc w:val="left"/>
      <w:lvlText w:val="(%1)"/>
      <w:numFmt w:val="lowerRoman"/>
      <w:start w:val="2"/>
    </w:lvl>
  </w:abstractNum>
  <w:abstractNum w:abstractNumId="45">
    <w:nsid w:val="7FB7E0AA"/>
    <w:multiLevelType w:val="hybridMultilevel"/>
    <w:lvl w:ilvl="0">
      <w:lvlJc w:val="left"/>
      <w:lvlText w:val="(%1)"/>
      <w:numFmt w:val="decimal"/>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4"/>
      <w:numFmt w:val="bullet"/>
      <w:start w:val="1"/>
    </w:lvl>
  </w:abstractNum>
  <w:abstractNum w:abstractNumId="48">
    <w:nsid w:val="94211F2"/>
    <w:multiLevelType w:val="hybridMultilevel"/>
    <w:lvl w:ilvl="0">
      <w:lvlJc w:val="left"/>
      <w:lvlText w:val="%1"/>
      <w:numFmt w:val="decimal"/>
      <w:start w:val="15"/>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lvl w:ilvl="1">
      <w:lvlJc w:val="left"/>
      <w:lvlText w:val="•"/>
      <w:numFmt w:val="bullet"/>
      <w:start w:val="1"/>
    </w:lvl>
  </w:abstractNum>
  <w:abstractNum w:abstractNumId="51">
    <w:nsid w:val="4C04A8AF"/>
    <w:multiLevelType w:val="hybridMultilevel"/>
    <w:lvl w:ilvl="0">
      <w:lvlJc w:val="left"/>
      <w:lvlText w:val="•"/>
      <w:numFmt w:val="bullet"/>
      <w:start w:val="1"/>
    </w:lvl>
    <w:lvl w:ilvl="1">
      <w:lvlJc w:val="left"/>
      <w:lvlText w:val="•"/>
      <w:numFmt w:val="bullet"/>
      <w:start w:val="1"/>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amp;"/>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1)"/>
      <w:numFmt w:val="decimal"/>
      <w:start w:val="1"/>
    </w:lvl>
  </w:abstractNum>
  <w:abstractNum w:abstractNumId="66">
    <w:nsid w:val="7F01579B"/>
    <w:multiLevelType w:val="hybridMultilevel"/>
    <w:lvl w:ilvl="0">
      <w:lvlJc w:val="left"/>
      <w:lvlText w:val="(%1)"/>
      <w:numFmt w:val="decimal"/>
      <w:start w:val="1"/>
    </w:lvl>
  </w:abstractNum>
  <w:abstractNum w:abstractNumId="67">
    <w:nsid w:val="49DA307D"/>
    <w:multiLevelType w:val="hybridMultilevel"/>
    <w:lvl w:ilvl="0">
      <w:lvlJc w:val="left"/>
      <w:lvlText w:val="(%1)"/>
      <w:numFmt w:val="lowerRoman"/>
      <w:start w:val="2"/>
    </w:lvl>
  </w:abstractNum>
  <w:abstractNum w:abstractNumId="68">
    <w:nsid w:val="7055A5F5"/>
    <w:multiLevelType w:val="hybridMultilevel"/>
    <w:lvl w:ilvl="0">
      <w:lvlJc w:val="left"/>
      <w:lvlText w:val="(%1)"/>
      <w:numFmt w:val="lowerRoman"/>
      <w:start w:val="3"/>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1)"/>
      <w:numFmt w:val="decimal"/>
      <w:start w:val="1"/>
    </w:lvl>
  </w:abstractNum>
  <w:abstractNum w:abstractNumId="73">
    <w:nsid w:val="6AA78F7F"/>
    <w:multiLevelType w:val="hybridMultilevel"/>
    <w:lvl w:ilvl="0">
      <w:lvlJc w:val="left"/>
      <w:lvlText w:val="(%1)"/>
      <w:numFmt w:val="decimal"/>
      <w:start w:val="5"/>
    </w:lvl>
  </w:abstractNum>
  <w:abstractNum w:abstractNumId="74">
    <w:nsid w:val="7672BD23"/>
    <w:multiLevelType w:val="hybridMultilevel"/>
    <w:lvl w:ilvl="0">
      <w:lvlJc w:val="left"/>
      <w:lvlText w:val="(%1)"/>
      <w:numFmt w:val="lowerRoman"/>
      <w:start w:val="1"/>
    </w:lvl>
  </w:abstractNum>
  <w:abstractNum w:abstractNumId="75">
    <w:nsid w:val="6FC75AF8"/>
    <w:multiLevelType w:val="hybridMultilevel"/>
    <w:lvl w:ilvl="0">
      <w:lvlJc w:val="left"/>
      <w:lvlText w:val="(%1)"/>
      <w:numFmt w:val="decimal"/>
      <w:start w:val="1"/>
    </w:lvl>
  </w:abstractNum>
  <w:abstractNum w:abstractNumId="76">
    <w:nsid w:val="6A5F7029"/>
    <w:multiLevelType w:val="hybridMultilevel"/>
    <w:lvl w:ilvl="0">
      <w:lvlJc w:val="left"/>
      <w:lvlText w:val="(%1)"/>
      <w:numFmt w:val="decimal"/>
      <w:start w:val="13"/>
    </w:lvl>
  </w:abstractNum>
  <w:abstractNum w:abstractNumId="77">
    <w:nsid w:val="7D5E18F8"/>
    <w:multiLevelType w:val="hybridMultilevel"/>
    <w:lvl w:ilvl="0">
      <w:lvlJc w:val="left"/>
      <w:lvlText w:val="(%1)"/>
      <w:numFmt w:val="decimal"/>
      <w:start w:val="30"/>
    </w:lvl>
  </w:abstractNum>
  <w:abstractNum w:abstractNumId="78">
    <w:nsid w:val="5F3534A4"/>
    <w:multiLevelType w:val="hybridMultilevel"/>
    <w:lvl w:ilvl="0">
      <w:lvlJc w:val="left"/>
      <w:lvlText w:val="(%1)"/>
      <w:numFmt w:val="decimal"/>
      <w:start w:val="51"/>
    </w:lvl>
  </w:abstractNum>
  <w:abstractNum w:abstractNumId="79">
    <w:nsid w:val="73A1821B"/>
    <w:multiLevelType w:val="hybridMultilevel"/>
    <w:lvl w:ilvl="0">
      <w:lvlJc w:val="left"/>
      <w:lvlText w:val="(%1)"/>
      <w:numFmt w:val="lowerRoman"/>
      <w:start w:val="10"/>
    </w:lvl>
  </w:abstractNum>
  <w:abstractNum w:abstractNumId="80">
    <w:nsid w:val="7DE67713"/>
    <w:multiLevelType w:val="hybridMultilevel"/>
    <w:lvl w:ilvl="0">
      <w:lvlJc w:val="left"/>
      <w:lvlText w:val="•"/>
      <w:numFmt w:val="bullet"/>
      <w:start w:val="1"/>
    </w:lvl>
  </w:abstractNum>
  <w:abstractNum w:abstractNumId="81">
    <w:nsid w:val="555C55B5"/>
    <w:multiLevelType w:val="hybridMultilevel"/>
    <w:lvl w:ilvl="0">
      <w:lvlJc w:val="left"/>
      <w:lvlText w:val="•"/>
      <w:numFmt w:val="bullet"/>
      <w:start w:val="1"/>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
      <w:numFmt w:val="bullet"/>
      <w:start w:val="1"/>
    </w:lvl>
  </w:abstractNum>
  <w:abstractNum w:abstractNumId="85">
    <w:nsid w:val="71C91298"/>
    <w:multiLevelType w:val="hybridMultilevel"/>
    <w:lvl w:ilvl="0">
      <w:lvlJc w:val="left"/>
      <w:lvlText w:val="•"/>
      <w:numFmt w:val="bullet"/>
      <w:start w:val="1"/>
    </w:lvl>
  </w:abstractNum>
  <w:abstractNum w:abstractNumId="86">
    <w:nsid w:val="9DAF632"/>
    <w:multiLevelType w:val="hybridMultilevel"/>
    <w:lvl w:ilvl="0">
      <w:lvlJc w:val="left"/>
      <w:lvlText w:val="(%1)"/>
      <w:numFmt w:val="decimal"/>
      <w:start w:val="2"/>
    </w:lvl>
  </w:abstractNum>
  <w:abstractNum w:abstractNumId="87">
    <w:nsid w:val="53299938"/>
    <w:multiLevelType w:val="hybridMultilevel"/>
    <w:lvl w:ilvl="0">
      <w:lvlJc w:val="left"/>
      <w:lvlText w:val="(%1)"/>
      <w:numFmt w:val="lowerRoman"/>
      <w:start w:val="1"/>
    </w:lvl>
  </w:abstractNum>
  <w:abstractNum w:abstractNumId="88">
    <w:nsid w:val="1FBFE8E0"/>
    <w:multiLevelType w:val="hybridMultilevel"/>
    <w:lvl w:ilvl="0">
      <w:lvlJc w:val="left"/>
      <w:lvlText w:val="•"/>
      <w:numFmt w:val="bullet"/>
      <w:start w:val="1"/>
    </w:lvl>
  </w:abstractNum>
  <w:abstractNum w:abstractNumId="89">
    <w:nsid w:val="5092CA79"/>
    <w:multiLevelType w:val="hybridMultilevel"/>
    <w:lvl w:ilvl="0">
      <w:lvlJc w:val="left"/>
      <w:lvlText w:val="•"/>
      <w:numFmt w:val="bullet"/>
      <w:start w:val="1"/>
    </w:lvl>
  </w:abstractNum>
  <w:abstractNum w:abstractNumId="90">
    <w:nsid w:val="1D545C4D"/>
    <w:multiLevelType w:val="hybridMultilevel"/>
    <w:lvl w:ilvl="0">
      <w:lvlJc w:val="left"/>
      <w:lvlText w:val="%1."/>
      <w:numFmt w:val="decimal"/>
      <w:start w:val="1"/>
    </w:lvl>
  </w:abstractNum>
  <w:abstractNum w:abstractNumId="91">
    <w:nsid w:val="59ADEA3D"/>
    <w:multiLevelType w:val="hybridMultilevel"/>
    <w:lvl w:ilvl="0">
      <w:lvlJc w:val="left"/>
      <w:lvlText w:val="%1."/>
      <w:numFmt w:val="decimal"/>
      <w:start w:val="2"/>
    </w:lvl>
  </w:abstractNum>
  <w:abstractNum w:abstractNumId="92">
    <w:nsid w:val="288F1A34"/>
    <w:multiLevelType w:val="hybridMultilevel"/>
    <w:lvl w:ilvl="0">
      <w:lvlJc w:val="left"/>
      <w:lvlText w:val="%1."/>
      <w:numFmt w:val="decimal"/>
      <w:start w:val="2"/>
    </w:lvl>
  </w:abstractNum>
  <w:abstractNum w:abstractNumId="93">
    <w:nsid w:val="2A155DBC"/>
    <w:multiLevelType w:val="hybridMultilevel"/>
    <w:lvl w:ilvl="0">
      <w:lvlJc w:val="left"/>
      <w:lvlText w:val="%1."/>
      <w:numFmt w:val="decimal"/>
      <w:start w:val="2"/>
    </w:lvl>
  </w:abstractNum>
  <w:abstractNum w:abstractNumId="94">
    <w:nsid w:val="1D9F6E5F"/>
    <w:multiLevelType w:val="hybridMultilevel"/>
    <w:lvl w:ilvl="0">
      <w:lvlJc w:val="left"/>
      <w:lvlText w:val="%1."/>
      <w:numFmt w:val="decimal"/>
      <w:start w:val="2"/>
    </w:lvl>
  </w:abstractNum>
  <w:abstractNum w:abstractNumId="95">
    <w:nsid w:val="97E1B4E"/>
    <w:multiLevelType w:val="hybridMultilevel"/>
    <w:lvl w:ilvl="0">
      <w:lvlJc w:val="left"/>
      <w:lvlText w:val="(%1)"/>
      <w:numFmt w:val="decimal"/>
      <w:start w:val="1"/>
    </w:lvl>
  </w:abstractNum>
  <w:abstractNum w:abstractNumId="96">
    <w:nsid w:val="51088277"/>
    <w:multiLevelType w:val="hybridMultilevel"/>
    <w:lvl w:ilvl="0">
      <w:lvlJc w:val="left"/>
      <w:lvlText w:val="%1."/>
      <w:numFmt w:val="decimal"/>
      <w:start w:val="2"/>
    </w:lvl>
  </w:abstractNum>
  <w:abstractNum w:abstractNumId="97">
    <w:nsid w:val="1CA0C5FA"/>
    <w:multiLevelType w:val="hybridMultilevel"/>
    <w:lvl w:ilvl="0">
      <w:lvlJc w:val="left"/>
      <w:lvlText w:val="%1."/>
      <w:numFmt w:val="decimal"/>
      <w:start w:val="2"/>
    </w:lvl>
  </w:abstractNum>
  <w:abstractNum w:abstractNumId="98">
    <w:nsid w:val="53584BCB"/>
    <w:multiLevelType w:val="hybridMultilevel"/>
    <w:lvl w:ilvl="0">
      <w:lvlJc w:val="left"/>
      <w:lvlText w:val="%1."/>
      <w:numFmt w:val="decimal"/>
      <w:start w:val="2"/>
    </w:lvl>
  </w:abstractNum>
  <w:abstractNum w:abstractNumId="99">
    <w:nsid w:val="415E286C"/>
    <w:multiLevelType w:val="hybridMultilevel"/>
    <w:lvl w:ilvl="0">
      <w:lvlJc w:val="left"/>
      <w:lvlText w:val="%1."/>
      <w:numFmt w:val="decimal"/>
      <w:start w:val="3"/>
    </w:lvl>
  </w:abstractNum>
  <w:abstractNum w:abstractNumId="100">
    <w:nsid w:val="7C58FD05"/>
    <w:multiLevelType w:val="hybridMultilevel"/>
    <w:lvl w:ilvl="0">
      <w:lvlJc w:val="left"/>
      <w:lvlText w:val="%1."/>
      <w:numFmt w:val="decimal"/>
      <w:start w:val="4"/>
    </w:lvl>
  </w:abstractNum>
  <w:abstractNum w:abstractNumId="101">
    <w:nsid w:val="23D86AAC"/>
    <w:multiLevelType w:val="hybridMultilevel"/>
    <w:lvl w:ilvl="0">
      <w:lvlJc w:val="left"/>
      <w:lvlText w:val="%1."/>
      <w:numFmt w:val="decimal"/>
      <w:start w:val="5"/>
    </w:lvl>
  </w:abstractNum>
  <w:abstractNum w:abstractNumId="102">
    <w:nsid w:val="45E6D486"/>
    <w:multiLevelType w:val="hybridMultilevel"/>
    <w:lvl w:ilvl="0">
      <w:lvlJc w:val="left"/>
      <w:lvlText w:val="%1."/>
      <w:numFmt w:val="decimal"/>
      <w:start w:val="6"/>
    </w:lvl>
  </w:abstractNum>
  <w:abstractNum w:abstractNumId="103">
    <w:nsid w:val="5C10FE21"/>
    <w:multiLevelType w:val="hybridMultilevel"/>
    <w:lvl w:ilvl="0">
      <w:lvlJc w:val="left"/>
      <w:lvlText w:val="%1."/>
      <w:numFmt w:val="decimal"/>
      <w:start w:val="7"/>
    </w:lvl>
    <w:lvl w:ilvl="1">
      <w:lvlJc w:val="left"/>
      <w:lvlText w:val="•"/>
      <w:numFmt w:val="bullet"/>
      <w:start w:val="1"/>
    </w:lvl>
  </w:abstractNum>
  <w:abstractNum w:abstractNumId="104">
    <w:nsid w:val="E7FFA2B"/>
    <w:multiLevelType w:val="hybridMultilevel"/>
    <w:lvl w:ilvl="0">
      <w:lvlJc w:val="left"/>
      <w:lvlText w:val="%1."/>
      <w:numFmt w:val="decimal"/>
      <w:start w:val="7"/>
    </w:lvl>
  </w:abstractNum>
  <w:abstractNum w:abstractNumId="105">
    <w:nsid w:val="3C5991AA"/>
    <w:multiLevelType w:val="hybridMultilevel"/>
    <w:lvl w:ilvl="0">
      <w:lvlJc w:val="left"/>
      <w:lvlText w:val="%1."/>
      <w:numFmt w:val="decimal"/>
      <w:start w:val="7"/>
    </w:lvl>
  </w:abstractNum>
  <w:abstractNum w:abstractNumId="106">
    <w:nsid w:val="4BD8591A"/>
    <w:multiLevelType w:val="hybridMultilevel"/>
    <w:lvl w:ilvl="0">
      <w:lvlJc w:val="left"/>
      <w:lvlText w:val="%1."/>
      <w:numFmt w:val="decimal"/>
      <w:start w:val="8"/>
    </w:lvl>
  </w:abstractNum>
  <w:abstractNum w:abstractNumId="107">
    <w:nsid w:val="78DF6A55"/>
    <w:multiLevelType w:val="hybridMultilevel"/>
    <w:lvl w:ilvl="0">
      <w:lvlJc w:val="left"/>
      <w:lvlText w:val="%1."/>
      <w:numFmt w:val="decimal"/>
      <w:start w:val="9"/>
    </w:lvl>
  </w:abstractNum>
  <w:abstractNum w:abstractNumId="108">
    <w:nsid w:val="39B7AAA2"/>
    <w:multiLevelType w:val="hybridMultilevel"/>
    <w:lvl w:ilvl="0">
      <w:lvlJc w:val="left"/>
      <w:lvlText w:val="%1."/>
      <w:numFmt w:val="decimal"/>
      <w:start w:val="1"/>
    </w:lvl>
  </w:abstractNum>
  <w:abstractNum w:abstractNumId="109">
    <w:nsid w:val="2B0D8DBE"/>
    <w:multiLevelType w:val="hybridMultilevel"/>
    <w:lvl w:ilvl="0">
      <w:lvlJc w:val="left"/>
      <w:lvlText w:val="%1."/>
      <w:numFmt w:val="decimal"/>
      <w:start w:val="2"/>
    </w:lvl>
  </w:abstractNum>
  <w:abstractNum w:abstractNumId="110">
    <w:nsid w:val="6C80EC70"/>
    <w:multiLevelType w:val="hybridMultilevel"/>
    <w:lvl w:ilvl="0">
      <w:lvlJc w:val="left"/>
      <w:lvlText w:val="(%1)"/>
      <w:numFmt w:val="decimal"/>
      <w:start w:val="1"/>
    </w:lvl>
  </w:abstractNum>
  <w:abstractNum w:abstractNumId="111">
    <w:nsid w:val="379E21B5"/>
    <w:multiLevelType w:val="hybridMultilevel"/>
    <w:lvl w:ilvl="0">
      <w:lvlJc w:val="left"/>
      <w:lvlText w:val="%1."/>
      <w:numFmt w:val="decimal"/>
      <w:start w:val="2"/>
    </w:lvl>
  </w:abstractNum>
  <w:abstractNum w:abstractNumId="112">
    <w:nsid w:val="69E373"/>
    <w:multiLevelType w:val="hybridMultilevel"/>
    <w:lvl w:ilvl="0">
      <w:lvlJc w:val="left"/>
      <w:lvlText w:val="%1."/>
      <w:numFmt w:val="decimal"/>
      <w:start w:val="3"/>
    </w:lvl>
  </w:abstractNum>
  <w:abstractNum w:abstractNumId="113">
    <w:nsid w:val="2C27173B"/>
    <w:multiLevelType w:val="hybridMultilevel"/>
    <w:lvl w:ilvl="0">
      <w:lvlJc w:val="left"/>
      <w:lvlText w:val="%1."/>
      <w:numFmt w:val="decimal"/>
      <w:start w:val="4"/>
    </w:lvl>
  </w:abstractNum>
  <w:abstractNum w:abstractNumId="114">
    <w:nsid w:val="4C9B0904"/>
    <w:multiLevelType w:val="hybridMultilevel"/>
    <w:lvl w:ilvl="0">
      <w:lvlJc w:val="left"/>
      <w:lvlText w:val="%1."/>
      <w:numFmt w:val="decimal"/>
      <w:start w:val="5"/>
    </w:lvl>
  </w:abstractNum>
  <w:abstractNum w:abstractNumId="115">
    <w:nsid w:val="6AA7B75C"/>
    <w:multiLevelType w:val="hybridMultilevel"/>
    <w:lvl w:ilvl="0">
      <w:lvlJc w:val="left"/>
      <w:lvlText w:val="(%1)"/>
      <w:numFmt w:val="lowerLetter"/>
      <w:start w:val="2"/>
    </w:lvl>
  </w:abstractNum>
  <w:abstractNum w:abstractNumId="116">
    <w:nsid w:val="1DF029D3"/>
    <w:multiLevelType w:val="hybridMultilevel"/>
    <w:lvl w:ilvl="0">
      <w:lvlJc w:val="left"/>
      <w:lvlText w:val="•"/>
      <w:numFmt w:val="bullet"/>
      <w:start w:val="1"/>
    </w:lvl>
  </w:abstractNum>
  <w:abstractNum w:abstractNumId="117">
    <w:nsid w:val="5675FF36"/>
    <w:multiLevelType w:val="hybridMultilevel"/>
    <w:lvl w:ilvl="0">
      <w:lvlJc w:val="left"/>
      <w:lvlText w:val="•"/>
      <w:numFmt w:val="bullet"/>
      <w:start w:val="1"/>
    </w:lvl>
  </w:abstractNum>
  <w:abstractNum w:abstractNumId="118">
    <w:nsid w:val="3DD15094"/>
    <w:multiLevelType w:val="hybridMultilevel"/>
    <w:lvl w:ilvl="0">
      <w:lvlJc w:val="left"/>
      <w:lvlText w:val="•"/>
      <w:numFmt w:val="bullet"/>
      <w:start w:val="1"/>
    </w:lvl>
  </w:abstractNum>
  <w:abstractNum w:abstractNumId="119">
    <w:nsid w:val="3DB012B3"/>
    <w:multiLevelType w:val="hybridMultilevel"/>
    <w:lvl w:ilvl="0">
      <w:lvlJc w:val="left"/>
      <w:lvlText w:val="(%1)"/>
      <w:numFmt w:val="lowerLetter"/>
      <w:start w:val="2"/>
    </w:lvl>
  </w:abstractNum>
  <w:abstractNum w:abstractNumId="120">
    <w:nsid w:val="2708C9AF"/>
    <w:multiLevelType w:val="hybridMultilevel"/>
    <w:lvl w:ilvl="0">
      <w:lvlJc w:val="left"/>
      <w:lvlText w:val="•"/>
      <w:numFmt w:val="bullet"/>
      <w:start w:val="1"/>
    </w:lvl>
  </w:abstractNum>
  <w:abstractNum w:abstractNumId="121">
    <w:nsid w:val="5B25ACE2"/>
    <w:multiLevelType w:val="hybridMultilevel"/>
    <w:lvl w:ilvl="0">
      <w:lvlJc w:val="left"/>
      <w:lvlText w:val="•"/>
      <w:numFmt w:val="bullet"/>
      <w:start w:val="1"/>
    </w:lvl>
  </w:abstractNum>
  <w:abstractNum w:abstractNumId="122">
    <w:nsid w:val="175DFCF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2021-07-20T15:35:49Z</dcterms:created>
  <dcterms:modified xsi:type="dcterms:W3CDTF">2021-07-20T15:35:49Z</dcterms:modified>
</cp:coreProperties>
</file>