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2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 2025</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POST-EFFECTIVE AMENDMENT NO. 7</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S-1</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43180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WM Technology,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39370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00" w:type="dxa"/>
            <w:vAlign w:val="bottom"/>
            <w:gridSpan w:val="2"/>
          </w:tcPr>
          <w:p>
            <w:pPr>
              <w:jc w:val="right"/>
              <w:ind w:right="1316"/>
              <w:spacing w:after="0"/>
              <w:rPr>
                <w:sz w:val="20"/>
                <w:szCs w:val="20"/>
                <w:color w:val="auto"/>
              </w:rPr>
            </w:pPr>
            <w:r>
              <w:rPr>
                <w:rFonts w:ascii="Times New Roman" w:cs="Times New Roman" w:eastAsia="Times New Roman" w:hAnsi="Times New Roman"/>
                <w:sz w:val="14"/>
                <w:szCs w:val="14"/>
                <w:b w:val="1"/>
                <w:bCs w:val="1"/>
                <w:color w:val="auto"/>
              </w:rPr>
              <w:t>7372</w:t>
            </w:r>
          </w:p>
        </w:tc>
        <w:tc>
          <w:tcPr>
            <w:tcW w:w="3320" w:type="dxa"/>
            <w:vAlign w:val="bottom"/>
            <w:gridSpan w:val="2"/>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191"/>
        </w:trPr>
        <w:tc>
          <w:tcPr>
            <w:tcW w:w="3100" w:type="dxa"/>
            <w:vAlign w:val="bottom"/>
            <w:tcBorders>
              <w:top w:val="single" w:sz="8" w:color="auto"/>
            </w:tcBorders>
          </w:tcPr>
          <w:p>
            <w:pPr>
              <w:ind w:left="540"/>
              <w:spacing w:after="0" w:line="191"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220" w:type="dxa"/>
            <w:vAlign w:val="bottom"/>
          </w:tcPr>
          <w:p>
            <w:pPr>
              <w:spacing w:after="0"/>
              <w:rPr>
                <w:sz w:val="16"/>
                <w:szCs w:val="16"/>
                <w:color w:val="auto"/>
              </w:rPr>
            </w:pPr>
          </w:p>
        </w:tc>
        <w:tc>
          <w:tcPr>
            <w:tcW w:w="3080" w:type="dxa"/>
            <w:vAlign w:val="bottom"/>
            <w:tcBorders>
              <w:top w:val="single" w:sz="8" w:color="auto"/>
            </w:tcBorders>
          </w:tcPr>
          <w:p>
            <w:pPr>
              <w:ind w:left="560"/>
              <w:spacing w:after="0" w:line="191" w:lineRule="exact"/>
              <w:rPr>
                <w:sz w:val="20"/>
                <w:szCs w:val="20"/>
                <w:color w:val="auto"/>
              </w:rPr>
            </w:pPr>
            <w:r>
              <w:rPr>
                <w:rFonts w:ascii="Times New Roman" w:cs="Times New Roman" w:eastAsia="Times New Roman" w:hAnsi="Times New Roman"/>
                <w:sz w:val="17"/>
                <w:szCs w:val="17"/>
                <w:color w:val="auto"/>
              </w:rPr>
              <w:t>(Primary Standard Industrial</w:t>
            </w:r>
          </w:p>
        </w:tc>
        <w:tc>
          <w:tcPr>
            <w:tcW w:w="220" w:type="dxa"/>
            <w:vAlign w:val="bottom"/>
          </w:tcPr>
          <w:p>
            <w:pPr>
              <w:spacing w:after="0"/>
              <w:rPr>
                <w:sz w:val="16"/>
                <w:szCs w:val="16"/>
                <w:color w:val="auto"/>
              </w:rPr>
            </w:pPr>
          </w:p>
        </w:tc>
        <w:tc>
          <w:tcPr>
            <w:tcW w:w="3100" w:type="dxa"/>
            <w:vAlign w:val="bottom"/>
            <w:tcBorders>
              <w:top w:val="single" w:sz="8" w:color="auto"/>
            </w:tcBorders>
          </w:tcPr>
          <w:p>
            <w:pPr>
              <w:ind w:left="960"/>
              <w:spacing w:after="0" w:line="191" w:lineRule="exact"/>
              <w:rPr>
                <w:sz w:val="20"/>
                <w:szCs w:val="20"/>
                <w:color w:val="auto"/>
              </w:rPr>
            </w:pPr>
            <w:r>
              <w:rPr>
                <w:rFonts w:ascii="Times New Roman" w:cs="Times New Roman" w:eastAsia="Times New Roman" w:hAnsi="Times New Roman"/>
                <w:sz w:val="17"/>
                <w:szCs w:val="17"/>
                <w:color w:val="auto"/>
              </w:rPr>
              <w:t>(I.R.S. Employer</w:t>
            </w:r>
          </w:p>
        </w:tc>
      </w:tr>
      <w:tr>
        <w:trPr>
          <w:trHeight w:val="217"/>
        </w:trPr>
        <w:tc>
          <w:tcPr>
            <w:tcW w:w="31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2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Classification Code No.)</w:t>
            </w:r>
          </w:p>
        </w:tc>
        <w:tc>
          <w:tcPr>
            <w:tcW w:w="22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Identification No.)</w:t>
            </w:r>
          </w:p>
        </w:tc>
      </w:tr>
    </w:tbl>
    <w:p>
      <w:pPr>
        <w:spacing w:after="0" w:line="116" w:lineRule="exact"/>
        <w:rPr>
          <w:sz w:val="24"/>
          <w:szCs w:val="24"/>
          <w:color w:val="auto"/>
        </w:rPr>
      </w:pPr>
    </w:p>
    <w:p>
      <w:pPr>
        <w:ind w:left="4620" w:hanging="214"/>
        <w:spacing w:after="0"/>
        <w:tabs>
          <w:tab w:leader="none" w:pos="462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Discovery</w:t>
      </w:r>
    </w:p>
    <w:p>
      <w:pPr>
        <w:spacing w:after="0" w:line="25" w:lineRule="exact"/>
        <w:rPr>
          <w:rFonts w:ascii="Times New Roman" w:cs="Times New Roman" w:eastAsia="Times New Roman" w:hAnsi="Times New Roman"/>
          <w:sz w:val="17"/>
          <w:szCs w:val="17"/>
          <w:b w:val="1"/>
          <w:bCs w:val="1"/>
          <w:color w:val="auto"/>
        </w:rPr>
      </w:pPr>
    </w:p>
    <w:p>
      <w:pPr>
        <w:ind w:left="4160" w:right="4000" w:hanging="156"/>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color w:val="auto"/>
        </w:rPr>
        <w:t>Irvine, California 92618 Tel: (844) 933-3627</w:t>
      </w:r>
    </w:p>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50165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Brian Camire</w:t>
      </w:r>
    </w:p>
    <w:p>
      <w:pPr>
        <w:spacing w:after="0" w:line="26"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General Counsel</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WM Technology, Inc.</w:t>
      </w:r>
    </w:p>
    <w:p>
      <w:pPr>
        <w:spacing w:after="0" w:line="7" w:lineRule="exact"/>
        <w:rPr>
          <w:sz w:val="24"/>
          <w:szCs w:val="24"/>
          <w:color w:val="auto"/>
        </w:rPr>
      </w:pPr>
    </w:p>
    <w:p>
      <w:pPr>
        <w:ind w:left="4620" w:hanging="214"/>
        <w:spacing w:after="0"/>
        <w:tabs>
          <w:tab w:leader="none" w:pos="46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Discovery</w:t>
      </w:r>
    </w:p>
    <w:p>
      <w:pPr>
        <w:spacing w:after="0" w:line="7" w:lineRule="exact"/>
        <w:rPr>
          <w:rFonts w:ascii="Times New Roman" w:cs="Times New Roman" w:eastAsia="Times New Roman" w:hAnsi="Times New Roman"/>
          <w:sz w:val="17"/>
          <w:szCs w:val="17"/>
          <w:b w:val="1"/>
          <w:bCs w:val="1"/>
          <w:color w:val="auto"/>
        </w:rPr>
      </w:pPr>
    </w:p>
    <w:p>
      <w:pPr>
        <w:ind w:left="40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Irvine, California 92618</w:t>
      </w:r>
    </w:p>
    <w:p>
      <w:pPr>
        <w:spacing w:after="0" w:line="7" w:lineRule="exact"/>
        <w:rPr>
          <w:rFonts w:ascii="Times New Roman" w:cs="Times New Roman" w:eastAsia="Times New Roman" w:hAnsi="Times New Roman"/>
          <w:sz w:val="17"/>
          <w:szCs w:val="17"/>
          <w:b w:val="1"/>
          <w:bCs w:val="1"/>
          <w:color w:val="auto"/>
        </w:rPr>
      </w:pPr>
    </w:p>
    <w:p>
      <w:pPr>
        <w:ind w:left="41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Tel: (844) 933-3627</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59055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8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Dave Peinsipp</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Kristin VanderPas</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Peter Byrne</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Cooley LLP</w:t>
      </w:r>
    </w:p>
    <w:p>
      <w:pPr>
        <w:jc w:val="center"/>
        <w:ind w:right="40"/>
        <w:spacing w:after="0" w:line="182" w:lineRule="auto"/>
        <w:rPr>
          <w:sz w:val="20"/>
          <w:szCs w:val="20"/>
          <w:color w:val="auto"/>
        </w:rPr>
      </w:pPr>
      <w:r>
        <w:rPr>
          <w:rFonts w:ascii="Times New Roman" w:cs="Times New Roman" w:eastAsia="Times New Roman" w:hAnsi="Times New Roman"/>
          <w:sz w:val="16"/>
          <w:szCs w:val="16"/>
          <w:b w:val="1"/>
          <w:bCs w:val="1"/>
          <w:color w:val="auto"/>
        </w:rPr>
        <w:t>3 Embarcadero Center, 20</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San Francisco, California 94111</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41275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3" w:lineRule="exact"/>
        <w:rPr>
          <w:sz w:val="24"/>
          <w:szCs w:val="24"/>
          <w:color w:val="auto"/>
        </w:rPr>
      </w:pPr>
    </w:p>
    <w:p>
      <w:pPr>
        <w:jc w:val="both"/>
        <w:ind w:firstLine="360"/>
        <w:spacing w:after="0" w:line="280" w:lineRule="auto"/>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 From time to time after the effective date of this registration statement.</w:t>
      </w:r>
    </w:p>
    <w:p>
      <w:pPr>
        <w:spacing w:after="0" w:line="34"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 </w:t>
      </w:r>
      <w:r>
        <w:rPr>
          <w:rFonts w:ascii="MS PGothic" w:cs="MS PGothic" w:eastAsia="MS PGothic" w:hAnsi="MS PGothic"/>
          <w:sz w:val="17"/>
          <w:szCs w:val="17"/>
          <w:color w:val="auto"/>
        </w:rPr>
        <w:t>☒</w:t>
      </w:r>
    </w:p>
    <w:p>
      <w:pPr>
        <w:spacing w:after="0" w:line="29" w:lineRule="exact"/>
        <w:rPr>
          <w:sz w:val="24"/>
          <w:szCs w:val="24"/>
          <w:color w:val="auto"/>
        </w:rPr>
      </w:pPr>
    </w:p>
    <w:p>
      <w:pPr>
        <w:jc w:val="both"/>
        <w:ind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8" w:lineRule="exact"/>
        <w:rPr>
          <w:sz w:val="24"/>
          <w:szCs w:val="24"/>
          <w:color w:val="auto"/>
        </w:rPr>
      </w:pPr>
    </w:p>
    <w:p>
      <w:pPr>
        <w:jc w:val="both"/>
        <w:ind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42" w:lineRule="exact"/>
        <w:rPr>
          <w:sz w:val="24"/>
          <w:szCs w:val="24"/>
          <w:color w:val="auto"/>
        </w:rPr>
      </w:pPr>
    </w:p>
    <w:p>
      <w:pPr>
        <w:jc w:val="both"/>
        <w:ind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8" w:lineRule="exact"/>
        <w:rPr>
          <w:sz w:val="24"/>
          <w:szCs w:val="24"/>
          <w:color w:val="auto"/>
        </w:rPr>
      </w:pPr>
    </w:p>
    <w:p>
      <w:pPr>
        <w:jc w:val="both"/>
        <w:ind w:firstLine="360"/>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82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Accelerated filer</w:t>
            </w:r>
          </w:p>
        </w:tc>
        <w:tc>
          <w:tcPr>
            <w:tcW w:w="15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82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5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1"/>
        </w:trPr>
        <w:tc>
          <w:tcPr>
            <w:tcW w:w="3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Emerging growth company</w:t>
            </w:r>
          </w:p>
        </w:tc>
        <w:tc>
          <w:tcPr>
            <w:tcW w:w="1500" w:type="dxa"/>
            <w:vAlign w:val="bottom"/>
          </w:tcPr>
          <w:p>
            <w:pPr>
              <w:ind w:left="13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94" w:lineRule="exact"/>
        <w:rPr>
          <w:sz w:val="24"/>
          <w:szCs w:val="24"/>
          <w:color w:val="auto"/>
        </w:rPr>
      </w:pPr>
    </w:p>
    <w:p>
      <w:pPr>
        <w:jc w:val="both"/>
        <w:ind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8" w:lineRule="exact"/>
        <w:rPr>
          <w:sz w:val="24"/>
          <w:szCs w:val="24"/>
          <w:color w:val="auto"/>
        </w:rPr>
      </w:pPr>
    </w:p>
    <w:p>
      <w:pPr>
        <w:jc w:val="both"/>
        <w:ind w:firstLine="360"/>
        <w:spacing w:after="0" w:line="257" w:lineRule="auto"/>
        <w:rPr>
          <w:sz w:val="20"/>
          <w:szCs w:val="20"/>
          <w:color w:val="auto"/>
        </w:rPr>
      </w:pPr>
      <w:r>
        <w:rPr>
          <w:rFonts w:ascii="Times New Roman" w:cs="Times New Roman" w:eastAsia="Times New Roman" w:hAnsi="Times New Roman"/>
          <w:sz w:val="17"/>
          <w:szCs w:val="17"/>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191770</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328930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843"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WM Technology, Inc., a Delaware corporation (the “Company”), filed a Registration Statement on Form S-1 (as amended and supplemented, the “Registration Statement”) on December 2, 2021, which was declared effective on December 10, 2021, as amended by (i) Post-Effective Amendment No. 1 to Form S-1, which was filed on March 7, 2022, as further amended by (ii) Post-Effective Amendment No. 2 to Form S-1, which was filed on March 11, 2022, and subsequently declared effective by the Securities and Exchange Commission (the “SEC”) on March 15, 2022. On October 5, 2022, the Company filed Post-Effective Amendment No. 3 to the Form S-1 Registration Statement on Form S-3 to convert the Form S-1 Registration Statement into a registration statement on Form S-3, which was subsequently declared effective by the SEC on October 19, 2022 (the “Form S-3 Registration Statement”).</w:t>
      </w:r>
    </w:p>
    <w:p>
      <w:pPr>
        <w:spacing w:after="0" w:line="30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Post-Effective Amendment No. 4 was filed by the Company on July 29, 2024 to convert the Form S-3 Registration Statement into a registration statement on Form S-1 (“Post-Effective Amendment No. 4”). Post-Effective Amendment No. 5 (“Post-Effective Amendment No. 5”) was filed by the Company on September 3, 2024 to include our unaudited condensed consolidated financial statements as of and for the three and six months ended June 30, 2024. Post-Effective Amendment No. 6 (“Post-Effective Amendment No. 6”) was filed by the Company on December 9, 2024 to include our unaudited condensed consolidated financial statements as of and for the three and nine months ended September 30, 2024.</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This Post-Effective Amendment No. 7 (“Post-Effective Amendment No. 7”) is being filed to include our audited consolidated financial statements as of and for the year ended December 31, 2024.</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Registration Statement and the prospectus contained therein. No additional securities are being registered under this Post-Effective Amendment No. 7.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4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72" w:lineRule="exact"/>
        <w:rPr>
          <w:sz w:val="20"/>
          <w:szCs w:val="20"/>
          <w:color w:val="auto"/>
        </w:rPr>
      </w:pPr>
    </w:p>
    <w:p>
      <w:pPr>
        <w:ind w:left="400"/>
        <w:spacing w:after="0"/>
        <w:tabs>
          <w:tab w:leader="none" w:pos="4260" w:val="left"/>
        </w:tabs>
        <w:rPr>
          <w:sz w:val="20"/>
          <w:szCs w:val="20"/>
          <w:color w:val="auto"/>
        </w:rPr>
      </w:pPr>
      <w:r>
        <w:rPr>
          <w:rFonts w:ascii="Times New Roman" w:cs="Times New Roman" w:eastAsia="Times New Roman" w:hAnsi="Times New Roman"/>
          <w:sz w:val="18"/>
          <w:szCs w:val="18"/>
          <w:b w:val="1"/>
          <w:bCs w:val="1"/>
          <w:color w:val="FC0014"/>
        </w:rPr>
        <w:t>PRELIMINARY PROSPECTUS</w:t>
      </w:r>
      <w:r>
        <w:rPr>
          <w:sz w:val="20"/>
          <w:szCs w:val="20"/>
          <w:color w:val="auto"/>
        </w:rPr>
        <w:tab/>
      </w:r>
      <w:r>
        <w:rPr>
          <w:rFonts w:ascii="Times New Roman" w:cs="Times New Roman" w:eastAsia="Times New Roman" w:hAnsi="Times New Roman"/>
          <w:sz w:val="17"/>
          <w:szCs w:val="17"/>
          <w:b w:val="1"/>
          <w:bCs w:val="1"/>
          <w:color w:val="FC0014"/>
        </w:rPr>
        <w:t>SUBJECT TO COMPLETION — DATED MAY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242570</wp:posOffset>
            </wp:positionV>
            <wp:extent cx="3429000" cy="1020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Up to 1,938,798 Shares of Class A Common Stock</w:t>
      </w:r>
    </w:p>
    <w:p>
      <w:pPr>
        <w:spacing w:after="0" w:line="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Offered by the Selling Securityholders</w:t>
      </w:r>
    </w:p>
    <w:p>
      <w:pPr>
        <w:spacing w:after="0" w:line="191" w:lineRule="exact"/>
        <w:rPr>
          <w:sz w:val="20"/>
          <w:szCs w:val="20"/>
          <w:color w:val="auto"/>
        </w:rPr>
      </w:pPr>
    </w:p>
    <w:p>
      <w:pPr>
        <w:jc w:val="both"/>
        <w:ind w:left="400" w:right="419"/>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88" w:lineRule="exact"/>
        <w:rPr>
          <w:sz w:val="20"/>
          <w:szCs w:val="20"/>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Our registration of the shares of Class A Common Stock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of Class A Common Stock in the section entitled “Plan of Distribution.”</w:t>
      </w:r>
    </w:p>
    <w:p>
      <w:pPr>
        <w:spacing w:after="0" w:line="81"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May 1, 2025, the closing price of our Class A Common Stock was $1.26.</w:t>
      </w:r>
    </w:p>
    <w:p>
      <w:pPr>
        <w:spacing w:after="0" w:line="54"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of this prospectus to read about certain risks and uncertainties you should consider before investing in our securities.</w:t>
      </w:r>
    </w:p>
    <w:p>
      <w:pPr>
        <w:spacing w:after="0" w:line="54"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11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153" w:gutter="0" w:footer="0" w:header="0"/>
          <w:type w:val="continuous"/>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gridSpan w:val="2"/>
            <w:shd w:val="clear" w:color="auto" w:fill="CCEEFF"/>
          </w:tcPr>
          <w:p>
            <w:pPr>
              <w:jc w:val="center"/>
              <w:ind w:right="80"/>
              <w:spacing w:after="0" w:line="196" w:lineRule="exact"/>
              <w:rPr>
                <w:sz w:val="20"/>
                <w:szCs w:val="20"/>
                <w:color w:val="auto"/>
              </w:rPr>
            </w:pPr>
            <w:r>
              <w:rPr>
                <w:rFonts w:ascii="Times New Roman" w:cs="Times New Roman" w:eastAsia="Times New Roman" w:hAnsi="Times New Roman"/>
                <w:sz w:val="18"/>
                <w:szCs w:val="18"/>
                <w:color w:val="0000EE"/>
                <w:w w:val="79"/>
              </w:rPr>
              <w:t>ii</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40" w:type="dxa"/>
            <w:vAlign w:val="bottom"/>
          </w:tcPr>
          <w:p>
            <w:pPr>
              <w:spacing w:after="0"/>
              <w:rPr>
                <w:sz w:val="16"/>
                <w:szCs w:val="16"/>
                <w:color w:val="auto"/>
              </w:rPr>
            </w:pPr>
          </w:p>
        </w:tc>
        <w:tc>
          <w:tcPr>
            <w:tcW w:w="16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EE"/>
                <w:w w:val="70"/>
              </w:rPr>
              <w:t>iii</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6040" w:type="dxa"/>
            <w:vAlign w:val="bottom"/>
            <w:gridSpan w:val="7"/>
            <w:shd w:val="clear" w:color="auto" w:fill="CCEEFF"/>
          </w:tcPr>
          <w:p>
            <w:pPr>
              <w:spacing w:after="0"/>
              <w:rPr>
                <w:sz w:val="16"/>
                <w:szCs w:val="16"/>
                <w:color w:val="auto"/>
              </w:rPr>
            </w:pPr>
          </w:p>
        </w:tc>
        <w:tc>
          <w:tcPr>
            <w:tcW w:w="240" w:type="dxa"/>
            <w:vAlign w:val="bottom"/>
            <w:tcBorders>
              <w:right w:val="single" w:sz="8" w:color="CCEEFF"/>
            </w:tcBorders>
            <w:gridSpan w:val="2"/>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0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6040" w:type="dxa"/>
            <w:vAlign w:val="bottom"/>
            <w:gridSpan w:val="7"/>
          </w:tcPr>
          <w:p>
            <w:pPr>
              <w:spacing w:after="0"/>
              <w:rPr>
                <w:sz w:val="16"/>
                <w:szCs w:val="16"/>
                <w:color w:val="auto"/>
              </w:rPr>
            </w:pPr>
          </w:p>
        </w:tc>
        <w:tc>
          <w:tcPr>
            <w:tcW w:w="240" w:type="dxa"/>
            <w:vAlign w:val="bottom"/>
            <w:gridSpan w:val="2"/>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tcBorders>
              <w:right w:val="single" w:sz="8" w:color="CCEEFF"/>
            </w:tcBorders>
            <w:gridSpan w:val="2"/>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2"/>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4</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5620" w:type="dxa"/>
            <w:vAlign w:val="bottom"/>
            <w:gridSpan w:val="5"/>
            <w:shd w:val="clear" w:color="auto" w:fill="CCEEFF"/>
          </w:tcPr>
          <w:p>
            <w:pPr>
              <w:spacing w:after="0"/>
              <w:rPr>
                <w:sz w:val="16"/>
                <w:szCs w:val="16"/>
                <w:color w:val="auto"/>
              </w:rPr>
            </w:pPr>
          </w:p>
        </w:tc>
        <w:tc>
          <w:tcPr>
            <w:tcW w:w="240" w:type="dxa"/>
            <w:vAlign w:val="bottom"/>
            <w:tcBorders>
              <w:right w:val="single" w:sz="8" w:color="CCEEFF"/>
            </w:tcBorders>
            <w:gridSpan w:val="2"/>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40" w:type="dxa"/>
            <w:vAlign w:val="bottom"/>
            <w:gridSpan w:val="2"/>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88"/>
              </w:rPr>
              <w:t>7</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15</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7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2360" w:type="dxa"/>
            <w:vAlign w:val="bottom"/>
            <w:gridSpan w:val="2"/>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19</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21</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80" w:type="dxa"/>
            <w:vAlign w:val="bottom"/>
            <w:gridSpan w:val="10"/>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21</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21</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18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940" w:type="dxa"/>
            <w:vAlign w:val="bottom"/>
            <w:gridSpan w:val="3"/>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periods, “Legacy WMH” and when referred to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the documents incorporated by reference herein and any prospectus supplement delivered with 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Exchange;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related risk of a larger regional conflict; and the occurrence of a catastrophic event, including but not limited to severe weather, war, or terrorist attack;</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the documents incorporated by reference herein and any accompanying prospectus supplement.</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407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64077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721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27216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WM Technology, Inc.</w:t>
      </w:r>
    </w:p>
    <w:p>
      <w:pPr>
        <w:spacing w:after="0" w:line="125" w:lineRule="exact"/>
        <w:rPr>
          <w:sz w:val="20"/>
          <w:szCs w:val="20"/>
          <w:color w:val="auto"/>
        </w:rPr>
      </w:pPr>
    </w:p>
    <w:p>
      <w:pPr>
        <w:sectPr>
          <w:pgSz w:w="11900" w:h="16838" w:orient="portrait"/>
          <w:cols w:equalWidth="0" w:num="2">
            <w:col w:w="4000" w:space="720"/>
            <w:col w:w="429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of Class A Common Stock Offered by the</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color w:val="auto"/>
        </w:rPr>
        <w:t>Up to 1,938,798 shares of Class A Common Stock.</w:t>
      </w:r>
    </w:p>
    <w:p>
      <w:pPr>
        <w:spacing w:after="0" w:line="164" w:lineRule="exact"/>
        <w:rPr>
          <w:sz w:val="20"/>
          <w:szCs w:val="20"/>
          <w:color w:val="auto"/>
        </w:rPr>
      </w:pPr>
    </w:p>
    <w:p>
      <w:pPr>
        <w:sectPr>
          <w:pgSz w:w="11900" w:h="16838" w:orient="portrait"/>
          <w:cols w:equalWidth="0" w:num="2">
            <w:col w:w="4040" w:space="680"/>
            <w:col w:w="429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Securityholders.</w:t>
      </w:r>
    </w:p>
    <w:p>
      <w:pPr>
        <w:spacing w:after="0" w:line="91" w:lineRule="exact"/>
        <w:rPr>
          <w:sz w:val="20"/>
          <w:szCs w:val="20"/>
          <w:color w:val="auto"/>
        </w:rPr>
      </w:pPr>
    </w:p>
    <w:p>
      <w:pPr>
        <w:sectPr>
          <w:pgSz w:w="11900" w:h="16838" w:orient="portrait"/>
          <w:cols w:equalWidth="0" w:num="2">
            <w:col w:w="4000" w:space="720"/>
            <w:col w:w="429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Market for Class A Common Stock</w:t>
      </w:r>
    </w:p>
    <w:p>
      <w:pPr>
        <w:spacing w:after="0" w:line="20" w:lineRule="exact"/>
        <w:rPr>
          <w:sz w:val="20"/>
          <w:szCs w:val="20"/>
          <w:color w:val="auto"/>
        </w:rPr>
      </w:pPr>
      <w:r>
        <w:rPr>
          <w:sz w:val="20"/>
          <w:szCs w:val="20"/>
          <w:color w:val="auto"/>
        </w:rPr>
        <w:br w:type="column"/>
      </w:r>
    </w:p>
    <w:p>
      <w:pPr>
        <w:ind w:right="299"/>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traded on Nasdaq under the symbol “MAPS.”</w:t>
      </w:r>
    </w:p>
    <w:p>
      <w:pPr>
        <w:spacing w:after="0" w:line="90" w:lineRule="exact"/>
        <w:rPr>
          <w:sz w:val="20"/>
          <w:szCs w:val="20"/>
          <w:color w:val="auto"/>
        </w:rPr>
      </w:pPr>
    </w:p>
    <w:p>
      <w:pPr>
        <w:sectPr>
          <w:pgSz w:w="11900" w:h="16838" w:orient="portrait"/>
          <w:cols w:equalWidth="0" w:num="2">
            <w:col w:w="4000" w:space="720"/>
            <w:col w:w="429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ind w:right="279"/>
        <w:spacing w:after="0" w:line="257" w:lineRule="auto"/>
        <w:rPr>
          <w:sz w:val="20"/>
          <w:szCs w:val="20"/>
          <w:color w:val="auto"/>
        </w:rPr>
      </w:pPr>
      <w:r>
        <w:rPr>
          <w:rFonts w:ascii="Times New Roman" w:cs="Times New Roman" w:eastAsia="Times New Roman" w:hAnsi="Times New Roman"/>
          <w:sz w:val="18"/>
          <w:szCs w:val="18"/>
          <w:color w:val="auto"/>
        </w:rPr>
        <w:t>See the section entitled “Risk Factors” and other information included in this prospectus, and under similar headings in any amendments or supplements to</w:t>
      </w:r>
    </w:p>
    <w:p>
      <w:pPr>
        <w:spacing w:after="0" w:line="1" w:lineRule="exact"/>
        <w:rPr>
          <w:sz w:val="20"/>
          <w:szCs w:val="20"/>
          <w:color w:val="auto"/>
        </w:rPr>
      </w:pPr>
    </w:p>
    <w:p>
      <w:pPr>
        <w:sectPr>
          <w:pgSz w:w="11900" w:h="16838" w:orient="portrait"/>
          <w:cols w:equalWidth="0" w:num="2">
            <w:col w:w="4000" w:space="720"/>
            <w:col w:w="4299"/>
          </w:cols>
          <w:pgMar w:left="1440" w:top="263" w:right="1440"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8"/>
          <w:szCs w:val="18"/>
          <w:color w:val="auto"/>
        </w:rPr>
        <w:t>this prospectus, for a discussion of factors you should</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consider before investing in our securities.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Selling Securityholders acquired 1,938,798 shares of Class A Common Stock (the “Shares”), consisting of (i)1,244,258 shares of Class A Common Stock issued pursuant to the Asset Purchase Agreement and (ii)694,540 shares of Class A Common Stock issued pursuant to the Equity Interest Purchase Agreement. We agreed to file a registration statement with the SEC for the purposes of registering for resale such shares of Class A Common Stock. The shares of Class A Common Stock were issued to the Selling Securityholders in reliance on the exemption from registration in Section 4(a)(2) under the Securities Act.</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88,836,328 shares of our Class A Common Stock issued and outstanding as of June 30, 2022.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owned beneficially after the offering assumes the sale of all of the Shares offered and no other purchases or sales of our Class A Common Stock. The Selling Securityholders may offer and sell some, all or none of their shares of Class A Common Stock,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ClassA</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68"/>
        </w:trPr>
        <w:tc>
          <w:tcPr>
            <w:tcW w:w="4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74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Being</w:t>
            </w:r>
          </w:p>
        </w:tc>
        <w:tc>
          <w:tcPr>
            <w:tcW w:w="1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7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line="20" w:lineRule="exact"/>
              <w:rPr>
                <w:sz w:val="1"/>
                <w:szCs w:val="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48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Andrew &amp; Ellen Astrove</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Ashwin Surajbali</w:t>
            </w:r>
            <w:r>
              <w:rPr>
                <w:rFonts w:ascii="Times New Roman" w:cs="Times New Roman" w:eastAsia="Times New Roman" w:hAnsi="Times New Roman"/>
                <w:sz w:val="28"/>
                <w:szCs w:val="28"/>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Bradley Nathan Albert</w:t>
            </w:r>
            <w:r>
              <w:rPr>
                <w:rFonts w:ascii="Times New Roman" w:cs="Times New Roman" w:eastAsia="Times New Roman" w:hAnsi="Times New Roman"/>
                <w:sz w:val="28"/>
                <w:szCs w:val="28"/>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Diane Roskind</w:t>
            </w:r>
            <w:r>
              <w:rPr>
                <w:rFonts w:ascii="Times New Roman" w:cs="Times New Roman" w:eastAsia="Times New Roman" w:hAnsi="Times New Roman"/>
                <w:sz w:val="28"/>
                <w:szCs w:val="28"/>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DJK Morris Investments, LLC</w:t>
            </w:r>
            <w:r>
              <w:rPr>
                <w:rFonts w:ascii="Times New Roman" w:cs="Times New Roman" w:eastAsia="Times New Roman" w:hAnsi="Times New Roman"/>
                <w:sz w:val="28"/>
                <w:szCs w:val="28"/>
                <w:color w:val="auto"/>
                <w:vertAlign w:val="superscript"/>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Farzin Arsanjani</w:t>
            </w:r>
            <w:r>
              <w:rPr>
                <w:rFonts w:ascii="Times New Roman" w:cs="Times New Roman" w:eastAsia="Times New Roman" w:hAnsi="Times New Roman"/>
                <w:sz w:val="28"/>
                <w:szCs w:val="28"/>
                <w:color w:val="auto"/>
                <w:vertAlign w:val="superscript"/>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Ian Cohen</w:t>
            </w:r>
            <w:r>
              <w:rPr>
                <w:rFonts w:ascii="Times New Roman" w:cs="Times New Roman" w:eastAsia="Times New Roman" w:hAnsi="Times New Roman"/>
                <w:sz w:val="28"/>
                <w:szCs w:val="28"/>
                <w:color w:val="auto"/>
                <w:vertAlign w:val="superscript"/>
              </w:rPr>
              <w:t>(7)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Jennifer Goldman-Brisman</w:t>
            </w:r>
            <w:r>
              <w:rPr>
                <w:rFonts w:ascii="Times New Roman" w:cs="Times New Roman" w:eastAsia="Times New Roman" w:hAnsi="Times New Roman"/>
                <w:sz w:val="28"/>
                <w:szCs w:val="28"/>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LCP Group, L.P.</w:t>
            </w:r>
            <w:r>
              <w:rPr>
                <w:rFonts w:ascii="Times New Roman" w:cs="Times New Roman" w:eastAsia="Times New Roman" w:hAnsi="Times New Roman"/>
                <w:sz w:val="28"/>
                <w:szCs w:val="28"/>
                <w:color w:val="auto"/>
                <w:vertAlign w:val="superscript"/>
              </w:rPr>
              <w:t>(9)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LeRoy Robinson</w:t>
            </w:r>
            <w:r>
              <w:rPr>
                <w:rFonts w:ascii="Times New Roman" w:cs="Times New Roman" w:eastAsia="Times New Roman" w:hAnsi="Times New Roman"/>
                <w:sz w:val="28"/>
                <w:szCs w:val="28"/>
                <w:color w:val="auto"/>
                <w:vertAlign w:val="superscript"/>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6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M&amp;S Investment Group, LLC</w:t>
            </w:r>
            <w:r>
              <w:rPr>
                <w:rFonts w:ascii="Times New Roman" w:cs="Times New Roman" w:eastAsia="Times New Roman" w:hAnsi="Times New Roman"/>
                <w:sz w:val="28"/>
                <w:szCs w:val="28"/>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MembersRSVP, LLC</w:t>
            </w:r>
            <w:r>
              <w:rPr>
                <w:rFonts w:ascii="Times New Roman" w:cs="Times New Roman" w:eastAsia="Times New Roman" w:hAnsi="Times New Roman"/>
                <w:sz w:val="28"/>
                <w:szCs w:val="28"/>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1,244,258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1,244,258</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Michael Schlaefer</w:t>
            </w:r>
            <w:r>
              <w:rPr>
                <w:rFonts w:ascii="Times New Roman" w:cs="Times New Roman" w:eastAsia="Times New Roman" w:hAnsi="Times New Roman"/>
                <w:sz w:val="28"/>
                <w:szCs w:val="28"/>
                <w:color w:val="auto"/>
                <w:vertAlign w:val="superscript"/>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Yael Morris</w:t>
            </w:r>
            <w:r>
              <w:rPr>
                <w:rFonts w:ascii="Times New Roman" w:cs="Times New Roman" w:eastAsia="Times New Roman" w:hAnsi="Times New Roman"/>
                <w:sz w:val="29"/>
                <w:szCs w:val="29"/>
                <w:color w:val="auto"/>
                <w:vertAlign w:val="superscript"/>
              </w:rPr>
              <w:t>(14)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24"/>
                <w:szCs w:val="24"/>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83820</wp:posOffset>
            </wp:positionV>
            <wp:extent cx="822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7" w:lineRule="exact"/>
        <w:rPr>
          <w:sz w:val="20"/>
          <w:szCs w:val="20"/>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Andrew Astrove and Ellen Astrove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Ashwin Surajbali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Bradley Nathan Albert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Diane Roskind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Keith E. Morris is deemed to have power to vote or dispose of the Registrable Securities. Keith E. Morris is our Vice President.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Farzin Arsanjani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Ian Cohen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Goldman-Brisman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Robert Roskind, in his capacity as Founder and Chairman of LCP Group, L.P., is deemed to have investment discretion and voting power over the Registrable Securities held by LCP Group, L.P.</w:t>
      </w: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LeRoy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4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Schlaefer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Yael Morris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 - assessable. As of April 28, 2025, there were (1) 105,053,766 shares of Class A Common Stock, (2) 49,319,542 shares of Class V Common Stock and no shares of preferred stock outstanding.</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Class P Units or Class A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warrants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w:t>
      </w:r>
    </w:p>
    <w:p>
      <w:pPr>
        <w:spacing w:after="0" w:line="3" w:lineRule="exact"/>
        <w:rPr>
          <w:sz w:val="20"/>
          <w:szCs w:val="20"/>
          <w:color w:val="auto"/>
        </w:rPr>
      </w:pPr>
    </w:p>
    <w:p>
      <w:pPr>
        <w:jc w:val="both"/>
        <w:ind w:left="300" w:right="299" w:hanging="8"/>
        <w:spacing w:after="0" w:line="251" w:lineRule="auto"/>
        <w:tabs>
          <w:tab w:leader="none" w:pos="5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common stock) multiplied by(2)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April 28, 2025 there were 12,499,973 Public Warrants outstanding.</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April 28, 2025, there were 7,000,000 Private Placement Warrants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spacing w:after="0" w:line="222"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with the number of directors in each class as nearly equal in size as is practicable. The directors in each class will serve for a three-year term, one class being elected each year by our stockholders.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jc w:val="both"/>
        <w:ind w:left="300" w:right="299"/>
        <w:spacing w:after="0" w:line="275"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treated as a corporation for U.S. federal income tax purposes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currently are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currently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Holders—Gain on Sale, Exchange or Other Taxable Disposition of Class A Common Stock” below. In addition, if we determine that we are likely to be classified as a “United States real property holding corporation” (see the section entitled “Tax Considerations Applicable to Non-U.S. Holders—Gain on Sale, Exchange or Other Taxable Disposition of Class A Common Stock” below), we will withhold 15% of any distribution that exceeds our current and accumulated earnings and profits.</w:t>
      </w:r>
    </w:p>
    <w:p>
      <w:pPr>
        <w:spacing w:after="0" w:line="8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an applicable tax treaty so requires, is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 realized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(including constructive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Selling Securityholders may sell their securities by one or more of, or a combination of, the following methods:</w:t>
      </w:r>
    </w:p>
    <w:p>
      <w:pPr>
        <w:spacing w:after="0" w:line="117" w:lineRule="exact"/>
        <w:rPr>
          <w:sz w:val="20"/>
          <w:szCs w:val="20"/>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as of December 31, 2024 and 2023, and for the years then ended, appearing in our Annual Report on Form 10-K for the year ended December 31, 2024, and incorporated by reference herein, and the effectiveness of internal control over financial reporting as of December 31, 2024, have been audited by Moss Adams LLP, an independent registered public accounting firm, as stated in their report (which report expresses an unqualified opinion on the consolidated financial statements and an adverse opinion on the effectiveness of internal control over financial reporting due to material weaknesses). Such consolidated financial statements are incorporated by reference in reliance upon the report of such firm given their authority as experts in accounting and auditing.</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w:t>
      </w:r>
    </w:p>
    <w:p>
      <w:pPr>
        <w:spacing w:after="0" w:line="81" w:lineRule="exact"/>
        <w:rPr>
          <w:sz w:val="20"/>
          <w:szCs w:val="20"/>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auto"/>
          </w:rPr>
          <w:t xml:space="preserve">our Annual Report on Form 10-K for the year ended December 31, 2024, filed with the SEC on </w:t>
        </w:r>
        <w:r>
          <w:rPr>
            <w:rFonts w:ascii="Times New Roman" w:cs="Times New Roman" w:eastAsia="Times New Roman" w:hAnsi="Times New Roman"/>
            <w:sz w:val="18"/>
            <w:szCs w:val="18"/>
            <w:u w:val="single" w:color="auto"/>
            <w:color w:val="0000EE"/>
          </w:rPr>
          <w:t>March 13,</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Definitive Proxy Statement on Form DEF 14A for the year ended December 31, 2024, filed on </w:t>
      </w:r>
      <w:hyperlink r:id="rId50">
        <w:r>
          <w:rPr>
            <w:rFonts w:ascii="Times New Roman" w:cs="Times New Roman" w:eastAsia="Times New Roman" w:hAnsi="Times New Roman"/>
            <w:sz w:val="18"/>
            <w:szCs w:val="18"/>
            <w:u w:val="single" w:color="auto"/>
            <w:color w:val="0000EE"/>
          </w:rPr>
          <w:t>April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contained in Exhibit 4.5 of our Annual Report on Form 10-K for the year ended December 31, 2021 filed with the SEC on </w:t>
      </w:r>
      <w:hyperlink r:id="rId51">
        <w:r>
          <w:rPr>
            <w:rFonts w:ascii="Times New Roman" w:cs="Times New Roman" w:eastAsia="Times New Roman" w:hAnsi="Times New Roman"/>
            <w:sz w:val="18"/>
            <w:szCs w:val="18"/>
            <w:u w:val="single" w:color="auto"/>
            <w:color w:val="0000EE"/>
          </w:rPr>
          <w:t>February 25, 2022</w:t>
        </w:r>
      </w:hyperlink>
      <w:r>
        <w:rPr>
          <w:rFonts w:ascii="Times New Roman" w:cs="Times New Roman" w:eastAsia="Times New Roman" w:hAnsi="Times New Roman"/>
          <w:sz w:val="18"/>
          <w:szCs w:val="18"/>
          <w:color w:val="auto"/>
        </w:rPr>
        <w:t>, and any amendment or report filed with the SEC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7" w:lineRule="exact"/>
        <w:rPr>
          <w:sz w:val="20"/>
          <w:szCs w:val="20"/>
          <w:color w:val="auto"/>
        </w:rPr>
      </w:pPr>
    </w:p>
    <w:p>
      <w:pPr>
        <w:ind w:left="4240" w:hanging="218"/>
        <w:spacing w:after="0"/>
        <w:tabs>
          <w:tab w:leader="none" w:pos="4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9" w:lineRule="exact"/>
        <w:rPr>
          <w:rFonts w:ascii="Times New Roman" w:cs="Times New Roman" w:eastAsia="Times New Roman" w:hAnsi="Times New Roman"/>
          <w:sz w:val="18"/>
          <w:szCs w:val="18"/>
          <w:color w:val="auto"/>
        </w:rPr>
      </w:pPr>
    </w:p>
    <w:p>
      <w:pPr>
        <w:ind w:left="3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ind w:left="3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(844) 933-3627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securities being registered. All amounts shown are estimates except for the SEC registration fee.</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r>
      <w:tr>
        <w:trPr>
          <w:trHeight w:val="25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1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$401,800+</w:t>
            </w:r>
          </w:p>
        </w:tc>
      </w:tr>
      <w:tr>
        <w:trPr>
          <w:trHeight w:val="23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 .</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2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tab/>
        <w:t>Indemnification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8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Within the past three years, the Company did not sell any unregistered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7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20" w:type="dxa"/>
            <w:vAlign w:val="bottom"/>
          </w:tcPr>
          <w:p>
            <w:pPr>
              <w:spacing w:after="0"/>
              <w:rPr>
                <w:sz w:val="24"/>
                <w:szCs w:val="24"/>
                <w:color w:val="auto"/>
              </w:rPr>
            </w:pP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1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0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24"/>
                <w:szCs w:val="24"/>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0" w:type="dxa"/>
            <w:vAlign w:val="bottom"/>
            <w:gridSpan w:val="10"/>
            <w:shd w:val="clear" w:color="auto" w:fill="CCEEFF"/>
          </w:tcPr>
          <w:p>
            <w:pPr>
              <w:jc w:val="center"/>
              <w:ind w:left="91"/>
              <w:spacing w:after="0" w:line="201"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Agreement and Plan of Merger, dated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shd w:val="clear" w:color="auto" w:fill="CCEEFF"/>
          </w:tcPr>
          <w:p>
            <w:pPr>
              <w:jc w:val="center"/>
              <w:ind w:left="10"/>
              <w:spacing w:after="0" w:line="201"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shd w:val="clear" w:color="auto" w:fill="CCEEFF"/>
          </w:tcPr>
          <w:p>
            <w:pPr>
              <w:jc w:val="center"/>
              <w:ind w:left="10"/>
              <w:spacing w:after="0" w:line="201"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December 10,</w:t>
            </w:r>
          </w:p>
        </w:tc>
        <w:tc>
          <w:tcPr>
            <w:tcW w:w="0" w:type="dxa"/>
            <w:vAlign w:val="bottom"/>
          </w:tcPr>
          <w:p>
            <w:pPr>
              <w:spacing w:after="0"/>
              <w:rPr>
                <w:sz w:val="1"/>
                <w:szCs w:val="1"/>
                <w:color w:val="auto"/>
              </w:rPr>
            </w:pPr>
          </w:p>
        </w:tc>
      </w:tr>
      <w:tr>
        <w:trPr>
          <w:trHeight w:val="218"/>
        </w:trPr>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10, 2020, by and among Silver Spike,</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Merger Sub, WMH, and the Holder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Representative named therein</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0" w:type="dxa"/>
            <w:vAlign w:val="bottom"/>
            <w:gridSpan w:val="9"/>
          </w:tcPr>
          <w:p>
            <w:pPr>
              <w:jc w:val="center"/>
              <w:ind w:left="111"/>
              <w:spacing w:after="0" w:line="176" w:lineRule="exact"/>
              <w:rPr>
                <w:rFonts w:ascii="Times New Roman" w:cs="Times New Roman" w:eastAsia="Times New Roman" w:hAnsi="Times New Roman"/>
                <w:sz w:val="18"/>
                <w:szCs w:val="18"/>
                <w:color w:val="0000EE"/>
                <w:w w:val="97"/>
              </w:rPr>
            </w:pPr>
            <w:hyperlink r:id="rId5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Incorporation of the Company</w:t>
            </w:r>
          </w:p>
        </w:tc>
        <w:tc>
          <w:tcPr>
            <w:tcW w:w="1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gridSpan w:val="9"/>
            <w:shd w:val="clear" w:color="auto" w:fill="CCEEFF"/>
          </w:tcPr>
          <w:p>
            <w:pPr>
              <w:jc w:val="center"/>
              <w:ind w:left="111"/>
              <w:spacing w:after="0" w:line="176" w:lineRule="exact"/>
              <w:rPr>
                <w:rFonts w:ascii="Times New Roman" w:cs="Times New Roman" w:eastAsia="Times New Roman" w:hAnsi="Times New Roman"/>
                <w:sz w:val="18"/>
                <w:szCs w:val="18"/>
                <w:color w:val="0000EE"/>
                <w:w w:val="97"/>
              </w:rPr>
            </w:pPr>
            <w:hyperlink r:id="rId5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7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Amended and Restated Bylaws of the Company</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gridSpan w:val="9"/>
          </w:tcPr>
          <w:p>
            <w:pPr>
              <w:jc w:val="center"/>
              <w:ind w:left="111"/>
              <w:spacing w:after="0" w:line="176" w:lineRule="exact"/>
              <w:rPr>
                <w:rFonts w:ascii="Times New Roman" w:cs="Times New Roman" w:eastAsia="Times New Roman" w:hAnsi="Times New Roman"/>
                <w:sz w:val="18"/>
                <w:szCs w:val="18"/>
                <w:color w:val="0000EE"/>
                <w:w w:val="97"/>
              </w:rPr>
            </w:pPr>
            <w:hyperlink r:id="rId6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of Common Stock Certificate of the</w:t>
            </w:r>
          </w:p>
        </w:tc>
        <w:tc>
          <w:tcPr>
            <w:tcW w:w="1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00" w:type="dxa"/>
            <w:vAlign w:val="bottom"/>
            <w:gridSpan w:val="9"/>
            <w:shd w:val="clear" w:color="auto" w:fill="CCEEFF"/>
          </w:tcPr>
          <w:p>
            <w:pPr>
              <w:jc w:val="center"/>
              <w:ind w:left="111"/>
              <w:spacing w:after="0" w:line="182" w:lineRule="exact"/>
              <w:rPr>
                <w:rFonts w:ascii="Times New Roman" w:cs="Times New Roman" w:eastAsia="Times New Roman" w:hAnsi="Times New Roman"/>
                <w:sz w:val="18"/>
                <w:szCs w:val="18"/>
                <w:color w:val="0000EE"/>
                <w:w w:val="97"/>
              </w:rPr>
            </w:pPr>
            <w:hyperlink r:id="rId6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740" w:type="dxa"/>
            <w:vAlign w:val="bottom"/>
            <w:gridSpan w:val="3"/>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Form of Warrant Certificate of the Company</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gridSpan w:val="9"/>
          </w:tcPr>
          <w:p>
            <w:pPr>
              <w:jc w:val="center"/>
              <w:ind w:left="111"/>
              <w:spacing w:after="0" w:line="176" w:lineRule="exact"/>
              <w:rPr>
                <w:rFonts w:ascii="Times New Roman" w:cs="Times New Roman" w:eastAsia="Times New Roman" w:hAnsi="Times New Roman"/>
                <w:sz w:val="18"/>
                <w:szCs w:val="18"/>
                <w:color w:val="0000EE"/>
                <w:w w:val="97"/>
              </w:rPr>
            </w:pPr>
            <w:hyperlink r:id="rId6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Warrant Agreement, dated as of August 7, 2019,</w:t>
            </w:r>
          </w:p>
        </w:tc>
        <w:tc>
          <w:tcPr>
            <w:tcW w:w="1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August 12,</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 and between the Company and Continental</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Transfer &amp; Trust Company, as warrant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agent</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 w:type="dxa"/>
            <w:vAlign w:val="bottom"/>
            <w:gridSpan w:val="9"/>
            <w:shd w:val="clear" w:color="auto" w:fill="CCEEFF"/>
          </w:tcPr>
          <w:p>
            <w:pPr>
              <w:jc w:val="center"/>
              <w:ind w:left="111"/>
              <w:spacing w:after="0" w:line="182" w:lineRule="exact"/>
              <w:rPr>
                <w:rFonts w:ascii="Times New Roman" w:cs="Times New Roman" w:eastAsia="Times New Roman" w:hAnsi="Times New Roman"/>
                <w:sz w:val="18"/>
                <w:szCs w:val="18"/>
                <w:color w:val="0000EE"/>
                <w:w w:val="97"/>
              </w:rPr>
            </w:pPr>
            <w:hyperlink r:id="rId5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740" w:type="dxa"/>
            <w:vAlign w:val="bottom"/>
            <w:gridSpan w:val="3"/>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Description of Securities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February 25,</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29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175"/>
        </w:trPr>
        <w:tc>
          <w:tcPr>
            <w:tcW w:w="520" w:type="dxa"/>
            <w:vAlign w:val="bottom"/>
            <w:gridSpan w:val="10"/>
          </w:tcPr>
          <w:p>
            <w:pPr>
              <w:jc w:val="center"/>
              <w:ind w:left="91"/>
              <w:spacing w:after="0" w:line="176" w:lineRule="exact"/>
              <w:rPr>
                <w:rFonts w:ascii="Times New Roman" w:cs="Times New Roman" w:eastAsia="Times New Roman" w:hAnsi="Times New Roman"/>
                <w:sz w:val="18"/>
                <w:szCs w:val="18"/>
                <w:color w:val="0000EE"/>
                <w:w w:val="95"/>
              </w:rPr>
            </w:pPr>
            <w:hyperlink r:id="rId63">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Opinion of Cooley LLP</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gridSpan w:val="10"/>
            <w:shd w:val="clear" w:color="auto" w:fill="CCEEFF"/>
          </w:tcPr>
          <w:p>
            <w:pPr>
              <w:jc w:val="center"/>
              <w:ind w:left="91"/>
              <w:spacing w:after="0" w:line="176" w:lineRule="exact"/>
              <w:rPr>
                <w:rFonts w:ascii="Times New Roman" w:cs="Times New Roman" w:eastAsia="Times New Roman" w:hAnsi="Times New Roman"/>
                <w:sz w:val="18"/>
                <w:szCs w:val="18"/>
                <w:color w:val="0000EE"/>
                <w:w w:val="95"/>
              </w:rPr>
            </w:pPr>
            <w:hyperlink r:id="rId6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7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Exchange Agreement, dated as of June 16, 2021,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18"/>
        </w:trPr>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by and among the Company, Silver Spike</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Sponsor and the other parties thereto</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0" w:type="dxa"/>
            <w:vAlign w:val="bottom"/>
            <w:gridSpan w:val="10"/>
          </w:tcPr>
          <w:p>
            <w:pPr>
              <w:jc w:val="center"/>
              <w:ind w:left="91"/>
              <w:spacing w:after="0" w:line="176" w:lineRule="exact"/>
              <w:rPr>
                <w:rFonts w:ascii="Times New Roman" w:cs="Times New Roman" w:eastAsia="Times New Roman" w:hAnsi="Times New Roman"/>
                <w:sz w:val="18"/>
                <w:szCs w:val="18"/>
                <w:color w:val="0000EE"/>
                <w:w w:val="95"/>
              </w:rPr>
            </w:pPr>
            <w:hyperlink r:id="rId6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Tax Receivable Agreement, dated as of June 16,</w:t>
            </w:r>
          </w:p>
        </w:tc>
        <w:tc>
          <w:tcPr>
            <w:tcW w:w="1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2021, by and among the Company and the other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parties thereto</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20" w:type="dxa"/>
            <w:vAlign w:val="bottom"/>
            <w:gridSpan w:val="10"/>
            <w:shd w:val="clear" w:color="auto" w:fill="CCEEFF"/>
          </w:tcPr>
          <w:p>
            <w:pPr>
              <w:jc w:val="center"/>
              <w:ind w:left="91"/>
              <w:spacing w:after="0" w:line="182" w:lineRule="exact"/>
              <w:rPr>
                <w:rFonts w:ascii="Times New Roman" w:cs="Times New Roman" w:eastAsia="Times New Roman" w:hAnsi="Times New Roman"/>
                <w:sz w:val="18"/>
                <w:szCs w:val="18"/>
                <w:color w:val="0000EE"/>
                <w:w w:val="95"/>
              </w:rPr>
            </w:pPr>
            <w:hyperlink r:id="rId6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740" w:type="dxa"/>
            <w:vAlign w:val="bottom"/>
            <w:gridSpan w:val="3"/>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Fourth Amended and Restated Operating</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374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Agreement of WMH LLC</w:t>
            </w:r>
          </w:p>
        </w:tc>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0" w:type="dxa"/>
            <w:vAlign w:val="bottom"/>
            <w:gridSpan w:val="10"/>
          </w:tcPr>
          <w:p>
            <w:pPr>
              <w:jc w:val="center"/>
              <w:ind w:left="91"/>
              <w:spacing w:after="0" w:line="176" w:lineRule="exact"/>
              <w:rPr>
                <w:rFonts w:ascii="Times New Roman" w:cs="Times New Roman" w:eastAsia="Times New Roman" w:hAnsi="Times New Roman"/>
                <w:sz w:val="18"/>
                <w:szCs w:val="18"/>
                <w:color w:val="0000EE"/>
                <w:w w:val="95"/>
              </w:rPr>
            </w:pPr>
            <w:hyperlink r:id="rId6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of Subscription Agreement</w:t>
            </w:r>
          </w:p>
        </w:tc>
        <w:tc>
          <w:tcPr>
            <w:tcW w:w="1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gridSpan w:val="10"/>
            <w:shd w:val="clear" w:color="auto" w:fill="CCEEFF"/>
          </w:tcPr>
          <w:p>
            <w:pPr>
              <w:jc w:val="center"/>
              <w:ind w:left="91"/>
              <w:spacing w:after="0" w:line="176" w:lineRule="exact"/>
              <w:rPr>
                <w:rFonts w:ascii="Times New Roman" w:cs="Times New Roman" w:eastAsia="Times New Roman" w:hAnsi="Times New Roman"/>
                <w:sz w:val="18"/>
                <w:szCs w:val="18"/>
                <w:color w:val="0000EE"/>
                <w:w w:val="95"/>
              </w:rPr>
            </w:pPr>
            <w:hyperlink r:id="rId68">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7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Amended and Restated Registration Rights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18"/>
        </w:trPr>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Agreement, dated as of June 16, 2021, by and</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among the Company, Silver Spike Sponsor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other parties thereto</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00" w:type="dxa"/>
            <w:vAlign w:val="bottom"/>
            <w:gridSpan w:val="13"/>
          </w:tcPr>
          <w:p>
            <w:pPr>
              <w:jc w:val="center"/>
              <w:ind w:left="11"/>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of Indemnification Agreement by and</w:t>
            </w:r>
          </w:p>
        </w:tc>
        <w:tc>
          <w:tcPr>
            <w:tcW w:w="1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between the Company and its directors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officers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Borders>
              <w:bottom w:val="single" w:sz="8" w:color="CCEEFF"/>
            </w:tcBorders>
            <w:gridSpan w:val="3"/>
            <w:shd w:val="clear" w:color="auto" w:fill="CCEEFF"/>
          </w:tcPr>
          <w:p>
            <w:pPr>
              <w:spacing w:after="0"/>
              <w:rPr>
                <w:sz w:val="18"/>
                <w:szCs w:val="18"/>
                <w:color w:val="auto"/>
              </w:rPr>
            </w:pPr>
          </w:p>
        </w:tc>
        <w:tc>
          <w:tcPr>
            <w:tcW w:w="420" w:type="dxa"/>
            <w:vAlign w:val="bottom"/>
            <w:tcBorders>
              <w:bottom w:val="single" w:sz="8" w:color="0000EE"/>
            </w:tcBorders>
            <w:gridSpan w:val="9"/>
            <w:shd w:val="clear" w:color="auto" w:fill="CCEEFF"/>
          </w:tcPr>
          <w:p>
            <w:pPr>
              <w:jc w:val="center"/>
              <w:spacing w:after="0" w:line="182"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CCEEFF"/>
            </w:tcBorders>
            <w:gridSpan w:val="3"/>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w w:val="99"/>
              </w:rPr>
              <w:t>WM Technology, Inc. 2021 Equity Incentive Plan</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bottom w:val="single" w:sz="8" w:color="CCEEFF"/>
            </w:tcBorders>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tcBorders>
              <w:bottom w:val="single" w:sz="8" w:color="CCEEFF"/>
            </w:tcBorders>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60" w:type="dxa"/>
            <w:vAlign w:val="bottom"/>
            <w:gridSpan w:val="14"/>
          </w:tcPr>
          <w:p>
            <w:pPr>
              <w:jc w:val="center"/>
              <w:ind w:right="40"/>
              <w:spacing w:after="0" w:line="176" w:lineRule="exact"/>
              <w:rPr>
                <w:rFonts w:ascii="Times New Roman" w:cs="Times New Roman" w:eastAsia="Times New Roman" w:hAnsi="Times New Roman"/>
                <w:sz w:val="18"/>
                <w:szCs w:val="18"/>
                <w:color w:val="0000EE"/>
                <w:w w:val="97"/>
              </w:rPr>
            </w:pPr>
            <w:hyperlink r:id="rId71">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7(a)</w:t>
              </w:r>
            </w:hyperlink>
          </w:p>
        </w:tc>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of Stock Option Grant Notice</w:t>
            </w:r>
          </w:p>
        </w:tc>
        <w:tc>
          <w:tcPr>
            <w:tcW w:w="1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100" w:type="dxa"/>
            <w:vAlign w:val="bottom"/>
          </w:tcPr>
          <w:p>
            <w:pPr>
              <w:spacing w:after="0"/>
              <w:rPr>
                <w:sz w:val="15"/>
                <w:szCs w:val="15"/>
                <w:color w:val="auto"/>
              </w:rPr>
            </w:pPr>
          </w:p>
        </w:tc>
        <w:tc>
          <w:tcPr>
            <w:tcW w:w="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10.7(a)</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196"/>
        </w:trPr>
        <w:tc>
          <w:tcPr>
            <w:tcW w:w="100" w:type="dxa"/>
            <w:vAlign w:val="bottom"/>
            <w:gridSpan w:val="2"/>
          </w:tcPr>
          <w:p>
            <w:pPr>
              <w:spacing w:after="0"/>
              <w:rPr>
                <w:sz w:val="17"/>
                <w:szCs w:val="17"/>
                <w:color w:val="auto"/>
              </w:rPr>
            </w:pPr>
          </w:p>
        </w:tc>
        <w:tc>
          <w:tcPr>
            <w:tcW w:w="360" w:type="dxa"/>
            <w:vAlign w:val="bottom"/>
            <w:tcBorders>
              <w:top w:val="single" w:sz="8" w:color="0000EE"/>
            </w:tcBorders>
            <w:gridSpan w:val="6"/>
          </w:tcPr>
          <w:p>
            <w:pPr>
              <w:jc w:val="center"/>
              <w:ind w:left="59"/>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w:t>
              </w:r>
            </w:hyperlink>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0000EE"/>
            </w:tcBorders>
            <w:gridSpan w:val="13"/>
            <w:shd w:val="clear" w:color="auto" w:fill="CCEEFF"/>
          </w:tcPr>
          <w:p>
            <w:pPr>
              <w:jc w:val="cente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7(b)#</w:t>
              </w:r>
            </w:hyperlink>
          </w:p>
        </w:tc>
        <w:tc>
          <w:tcPr>
            <w:tcW w:w="4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CCEEFF"/>
            </w:tcBorders>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of RSU Award Grant Notice</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Borders>
              <w:bottom w:val="single" w:sz="8" w:color="CCEEFF"/>
            </w:tcBorders>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10.7(b)</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175"/>
        </w:trPr>
        <w:tc>
          <w:tcPr>
            <w:tcW w:w="600" w:type="dxa"/>
            <w:vAlign w:val="bottom"/>
            <w:gridSpan w:val="13"/>
          </w:tcPr>
          <w:p>
            <w:pPr>
              <w:jc w:val="center"/>
              <w:ind w:left="11"/>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WM Technology, Inc. 2021 Employee Stock</w:t>
            </w:r>
          </w:p>
        </w:tc>
        <w:tc>
          <w:tcPr>
            <w:tcW w:w="1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 Plan</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20" w:type="dxa"/>
            <w:vAlign w:val="bottom"/>
            <w:gridSpan w:val="10"/>
            <w:shd w:val="clear" w:color="auto" w:fill="CCEEFF"/>
          </w:tcPr>
          <w:p>
            <w:pPr>
              <w:jc w:val="center"/>
              <w:ind w:left="91"/>
              <w:spacing w:after="0" w:line="182" w:lineRule="exact"/>
              <w:rPr>
                <w:rFonts w:ascii="Times New Roman" w:cs="Times New Roman" w:eastAsia="Times New Roman" w:hAnsi="Times New Roman"/>
                <w:sz w:val="18"/>
                <w:szCs w:val="18"/>
                <w:color w:val="0000EE"/>
                <w:w w:val="95"/>
              </w:rPr>
            </w:pPr>
            <w:hyperlink r:id="rId7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9</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740" w:type="dxa"/>
            <w:vAlign w:val="bottom"/>
            <w:gridSpan w:val="3"/>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Lease, dated as of November 11, 2013, by and</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18"/>
        </w:trPr>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between the Irvine Company LLC and Ghost</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Media Group, LLC, as amended</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00" w:type="dxa"/>
            <w:vAlign w:val="bottom"/>
            <w:gridSpan w:val="13"/>
          </w:tcPr>
          <w:p>
            <w:pPr>
              <w:jc w:val="center"/>
              <w:ind w:left="11"/>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First Amendment to Lease and Consent to</w:t>
            </w:r>
          </w:p>
        </w:tc>
        <w:tc>
          <w:tcPr>
            <w:tcW w:w="1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Assignment, dated as of January 27, 2016, by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between Discovery Business Center LLC, as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successor-in-interest to the Irvine Company LLC,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and Ghost Management Group, LLC, as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successor-in-interest to Ghost Media Group, LLC</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60" w:type="dxa"/>
            <w:vAlign w:val="bottom"/>
            <w:gridSpan w:val="12"/>
            <w:shd w:val="clear" w:color="auto" w:fill="CCEEFF"/>
          </w:tcPr>
          <w:p>
            <w:pPr>
              <w:jc w:val="center"/>
              <w:ind w:left="51"/>
              <w:spacing w:after="0" w:line="182" w:lineRule="exact"/>
              <w:rPr>
                <w:rFonts w:ascii="Times New Roman" w:cs="Times New Roman" w:eastAsia="Times New Roman" w:hAnsi="Times New Roman"/>
                <w:sz w:val="18"/>
                <w:szCs w:val="18"/>
                <w:color w:val="0000EE"/>
                <w:w w:val="93"/>
              </w:rPr>
            </w:pPr>
            <w:hyperlink r:id="rId76">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740" w:type="dxa"/>
            <w:vAlign w:val="bottom"/>
            <w:gridSpan w:val="3"/>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Second Amendment to Lease, dated as of April 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9"/>
              </w:rPr>
              <w:t>001-39021</w:t>
            </w:r>
          </w:p>
        </w:tc>
        <w:tc>
          <w:tcPr>
            <w:tcW w:w="64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18"/>
        </w:trPr>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 by and between Discovery Business Center</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LLC and Ghost Management Group, LLC</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2" w:name="page33"/>
    <w:bookmarkEnd w:id="32"/>
    <w:tbl>
      <w:tblPr>
        <w:tblLayout w:type="fixed"/>
        <w:tblInd w:w="300" w:type="dxa"/>
        <w:tblCellMar>
          <w:top w:w="0" w:type="dxa"/>
          <w:left w:w="0" w:type="dxa"/>
          <w:bottom w:w="0" w:type="dxa"/>
          <w:right w:w="0" w:type="dxa"/>
        </w:tblCellMar>
      </w:tblPr>
      <w:tr>
        <w:trPr>
          <w:trHeight w:val="161"/>
        </w:trPr>
        <w:tc>
          <w:tcPr>
            <w:tcW w:w="45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96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24"/>
                <w:szCs w:val="2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0" w:type="dxa"/>
            <w:vAlign w:val="bottom"/>
            <w:gridSpan w:val="6"/>
            <w:shd w:val="clear" w:color="auto" w:fill="CCEEFF"/>
          </w:tcPr>
          <w:p>
            <w:pPr>
              <w:jc w:val="center"/>
              <w:ind w:left="51"/>
              <w:spacing w:after="0" w:line="201"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Third Amendment to Lease, dated as of</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gridSpan w:val="2"/>
            <w:shd w:val="clear" w:color="auto" w:fill="CCEEFF"/>
          </w:tcPr>
          <w:p>
            <w:pPr>
              <w:jc w:val="center"/>
              <w:ind w:left="30"/>
              <w:spacing w:after="0" w:line="201"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shd w:val="clear" w:color="auto" w:fill="CCEEFF"/>
          </w:tcPr>
          <w:p>
            <w:pPr>
              <w:jc w:val="center"/>
              <w:ind w:left="10"/>
              <w:spacing w:after="0" w:line="201" w:lineRule="exact"/>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29, 2017, by and between Discovery</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Center LLC and Ghost Management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LLC</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20" w:type="dxa"/>
            <w:vAlign w:val="bottom"/>
            <w:gridSpan w:val="6"/>
          </w:tcPr>
          <w:p>
            <w:pPr>
              <w:jc w:val="center"/>
              <w:ind w:left="51"/>
              <w:spacing w:after="0" w:line="176" w:lineRule="exact"/>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Fourth Amendment to Lease, dated May 3, 2018,</w:t>
            </w:r>
          </w:p>
        </w:tc>
        <w:tc>
          <w:tcPr>
            <w:tcW w:w="10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22, 2021</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and between Discovery Business Center LLC</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Ghost Management Group, LLC</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gridSpan w:val="6"/>
            <w:shd w:val="clear" w:color="auto" w:fill="CCEEFF"/>
          </w:tcPr>
          <w:p>
            <w:pPr>
              <w:jc w:val="center"/>
              <w:ind w:left="51"/>
              <w:spacing w:after="0" w:line="182" w:lineRule="exact"/>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Fifth Amendment to Lease, dated as of</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gridSpan w:val="2"/>
            <w:shd w:val="clear" w:color="auto" w:fill="CCEEFF"/>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by and between Discovery</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Center LLC and Ghost Management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LLC</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60" w:type="dxa"/>
            <w:vAlign w:val="bottom"/>
            <w:gridSpan w:val="7"/>
          </w:tcPr>
          <w:p>
            <w:pPr>
              <w:jc w:val="center"/>
              <w:ind w:right="20"/>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100" w:type="dxa"/>
            <w:vAlign w:val="bottom"/>
          </w:tcPr>
          <w:p>
            <w:pPr>
              <w:spacing w:after="0"/>
              <w:rPr>
                <w:sz w:val="15"/>
                <w:szCs w:val="15"/>
                <w:color w:val="auto"/>
              </w:rPr>
            </w:pPr>
          </w:p>
        </w:tc>
        <w:tc>
          <w:tcPr>
            <w:tcW w:w="3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WM Technology, Inc.</w:t>
            </w:r>
          </w:p>
        </w:tc>
        <w:tc>
          <w:tcPr>
            <w:tcW w:w="10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06,</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Non-Employee Director Compensation Policy</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182"/>
        </w:trPr>
        <w:tc>
          <w:tcPr>
            <w:tcW w:w="760" w:type="dxa"/>
            <w:vAlign w:val="bottom"/>
            <w:gridSpan w:val="7"/>
            <w:shd w:val="clear" w:color="auto" w:fill="CCEEFF"/>
          </w:tcPr>
          <w:p>
            <w:pPr>
              <w:jc w:val="center"/>
              <w:ind w:right="20"/>
              <w:spacing w:after="0" w:line="182"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10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Separation and Release Agreement, by and</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gridSpan w:val="2"/>
            <w:shd w:val="clear" w:color="auto" w:fill="CCEEFF"/>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Duncan Grazier and WM Technology,</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48"/>
        </w:trPr>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dated August 07, 2024</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60" w:type="dxa"/>
            <w:vAlign w:val="bottom"/>
            <w:gridSpan w:val="7"/>
          </w:tcPr>
          <w:p>
            <w:pPr>
              <w:jc w:val="center"/>
              <w:ind w:right="20"/>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100" w:type="dxa"/>
            <w:vAlign w:val="bottom"/>
          </w:tcPr>
          <w:p>
            <w:pPr>
              <w:spacing w:after="0"/>
              <w:rPr>
                <w:sz w:val="15"/>
                <w:szCs w:val="15"/>
                <w:color w:val="auto"/>
              </w:rPr>
            </w:pPr>
          </w:p>
        </w:tc>
        <w:tc>
          <w:tcPr>
            <w:tcW w:w="3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Employment Agreement, dated August 23, 2019,</w:t>
            </w:r>
          </w:p>
        </w:tc>
        <w:tc>
          <w:tcPr>
            <w:tcW w:w="10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16, 2023</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and between Ghost Management Group, LLC</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Duncan Grazier</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60" w:type="dxa"/>
            <w:vAlign w:val="bottom"/>
            <w:gridSpan w:val="7"/>
            <w:shd w:val="clear" w:color="auto" w:fill="CCEEFF"/>
          </w:tcPr>
          <w:p>
            <w:pPr>
              <w:jc w:val="center"/>
              <w:ind w:right="20"/>
              <w:spacing w:after="0" w:line="182"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10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Employment Agreement, dated November 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gridSpan w:val="2"/>
            <w:shd w:val="clear" w:color="auto" w:fill="CCEEFF"/>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by and between Ghost Management Group,</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LLC, a subsidiary of WM Technology, Inc. and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60" w:type="dxa"/>
            <w:vAlign w:val="bottom"/>
            <w:gridSpan w:val="7"/>
          </w:tcPr>
          <w:p>
            <w:pPr>
              <w:jc w:val="center"/>
              <w:ind w:right="20"/>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100" w:type="dxa"/>
            <w:vAlign w:val="bottom"/>
          </w:tcPr>
          <w:p>
            <w:pPr>
              <w:spacing w:after="0"/>
              <w:rPr>
                <w:sz w:val="15"/>
                <w:szCs w:val="15"/>
                <w:color w:val="auto"/>
              </w:rPr>
            </w:pPr>
          </w:p>
        </w:tc>
        <w:tc>
          <w:tcPr>
            <w:tcW w:w="3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Employment Agreement, dated December 2,</w:t>
            </w:r>
          </w:p>
        </w:tc>
        <w:tc>
          <w:tcPr>
            <w:tcW w:w="10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13, 2025</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by and between Ghost Management Group,</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a subsidiary of WM Technology, Inc. and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Griffis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60" w:type="dxa"/>
            <w:vAlign w:val="bottom"/>
            <w:gridSpan w:val="7"/>
            <w:shd w:val="clear" w:color="auto" w:fill="CCEEFF"/>
          </w:tcPr>
          <w:p>
            <w:pPr>
              <w:jc w:val="center"/>
              <w:ind w:right="20"/>
              <w:spacing w:after="0" w:line="182"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10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Employment Agreement, dated April 4, 2019, by</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2"/>
            <w:shd w:val="clear" w:color="auto" w:fill="CCEEFF"/>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May 24, 2024</w:t>
            </w:r>
          </w:p>
        </w:tc>
        <w:tc>
          <w:tcPr>
            <w:tcW w:w="0" w:type="dxa"/>
            <w:vAlign w:val="bottom"/>
          </w:tcPr>
          <w:p>
            <w:pPr>
              <w:spacing w:after="0"/>
              <w:rPr>
                <w:sz w:val="1"/>
                <w:szCs w:val="1"/>
                <w:color w:val="auto"/>
              </w:rPr>
            </w:pPr>
          </w:p>
        </w:tc>
      </w:tr>
      <w:tr>
        <w:trPr>
          <w:trHeight w:val="250"/>
        </w:trPr>
        <w:tc>
          <w:tcPr>
            <w:tcW w:w="1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3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between the Company and Brian Camire</w:t>
            </w:r>
          </w:p>
        </w:tc>
        <w:tc>
          <w:tcPr>
            <w:tcW w:w="1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60" w:type="dxa"/>
            <w:vAlign w:val="bottom"/>
            <w:gridSpan w:val="7"/>
          </w:tcPr>
          <w:p>
            <w:pPr>
              <w:jc w:val="center"/>
              <w:ind w:right="20"/>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100" w:type="dxa"/>
            <w:vAlign w:val="bottom"/>
          </w:tcPr>
          <w:p>
            <w:pPr>
              <w:spacing w:after="0"/>
              <w:rPr>
                <w:sz w:val="15"/>
                <w:szCs w:val="15"/>
                <w:color w:val="auto"/>
              </w:rPr>
            </w:pPr>
          </w:p>
        </w:tc>
        <w:tc>
          <w:tcPr>
            <w:tcW w:w="3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Executive Services Agreement, dated July 16,</w:t>
            </w:r>
          </w:p>
        </w:tc>
        <w:tc>
          <w:tcPr>
            <w:tcW w:w="10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August 09,</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by and between SeatonHillPartners, L.P.</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WM Technology Inc.</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60" w:type="dxa"/>
            <w:vAlign w:val="bottom"/>
            <w:gridSpan w:val="7"/>
            <w:shd w:val="clear" w:color="auto" w:fill="CCEEFF"/>
          </w:tcPr>
          <w:p>
            <w:pPr>
              <w:jc w:val="center"/>
              <w:ind w:right="20"/>
              <w:spacing w:after="0" w:line="182"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10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Amendment to Executive Services Agreement, by</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2"/>
            <w:shd w:val="clear" w:color="auto" w:fill="CCEEFF"/>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shd w:val="clear" w:color="auto" w:fill="CCEEFF"/>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98"/>
              </w:rPr>
              <w:t>10.23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May 24, 2024</w:t>
            </w:r>
          </w:p>
        </w:tc>
        <w:tc>
          <w:tcPr>
            <w:tcW w:w="0" w:type="dxa"/>
            <w:vAlign w:val="bottom"/>
          </w:tcPr>
          <w:p>
            <w:pPr>
              <w:spacing w:after="0"/>
              <w:rPr>
                <w:sz w:val="1"/>
                <w:szCs w:val="1"/>
                <w:color w:val="auto"/>
              </w:rPr>
            </w:pP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between SeatonHillPartners, L.P. and WM</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Inc., dated February 26, 2024</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0" w:type="dxa"/>
            <w:vAlign w:val="bottom"/>
            <w:gridSpan w:val="5"/>
          </w:tcPr>
          <w:p>
            <w:pPr>
              <w:jc w:val="center"/>
              <w:ind w:left="91"/>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List of Subsidiaries of the Registrant</w:t>
            </w:r>
          </w:p>
        </w:tc>
        <w:tc>
          <w:tcPr>
            <w:tcW w:w="10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13, 2025</w:t>
            </w: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gridSpan w:val="5"/>
            <w:shd w:val="clear" w:color="auto" w:fill="CCEEFF"/>
          </w:tcPr>
          <w:p>
            <w:pPr>
              <w:jc w:val="center"/>
              <w:ind w:left="91"/>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Moss Adams, LLP</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gridSpan w:val="5"/>
          </w:tcPr>
          <w:p>
            <w:pPr>
              <w:jc w:val="center"/>
              <w:ind w:left="91"/>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gridSpan w:val="5"/>
            <w:shd w:val="clear" w:color="auto" w:fill="CCEEFF"/>
          </w:tcPr>
          <w:p>
            <w:pPr>
              <w:jc w:val="center"/>
              <w:ind w:left="91"/>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Power of Attorney (included on signature page of</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on Form S-1 filed on</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 2021)</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60" w:type="dxa"/>
            <w:vAlign w:val="bottom"/>
            <w:gridSpan w:val="7"/>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7"/>
                <w:szCs w:val="17"/>
                <w:color w:val="auto"/>
              </w:rPr>
            </w:pPr>
          </w:p>
        </w:tc>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60" w:type="dxa"/>
            <w:vAlign w:val="bottom"/>
            <w:gridSpan w:val="7"/>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101.SCH*</w:t>
            </w:r>
          </w:p>
        </w:tc>
        <w:tc>
          <w:tcPr>
            <w:tcW w:w="10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60" w:type="dxa"/>
            <w:vAlign w:val="bottom"/>
            <w:gridSpan w:val="7"/>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101.CAL*</w:t>
            </w:r>
          </w:p>
        </w:tc>
        <w:tc>
          <w:tcPr>
            <w:tcW w:w="100" w:type="dxa"/>
            <w:vAlign w:val="bottom"/>
          </w:tcPr>
          <w:p>
            <w:pPr>
              <w:spacing w:after="0"/>
              <w:rPr>
                <w:sz w:val="17"/>
                <w:szCs w:val="17"/>
                <w:color w:val="auto"/>
              </w:rPr>
            </w:pPr>
          </w:p>
        </w:tc>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60" w:type="dxa"/>
            <w:vAlign w:val="bottom"/>
            <w:gridSpan w:val="7"/>
            <w:shd w:val="clear" w:color="auto" w:fill="CCEEFF"/>
          </w:tcPr>
          <w:p>
            <w:pPr>
              <w:jc w:val="center"/>
              <w:ind w:right="20"/>
              <w:spacing w:after="0" w:line="205" w:lineRule="exact"/>
              <w:rPr>
                <w:sz w:val="20"/>
                <w:szCs w:val="20"/>
                <w:color w:val="auto"/>
              </w:rPr>
            </w:pPr>
            <w:r>
              <w:rPr>
                <w:rFonts w:ascii="Times New Roman" w:cs="Times New Roman" w:eastAsia="Times New Roman" w:hAnsi="Times New Roman"/>
                <w:sz w:val="18"/>
                <w:szCs w:val="18"/>
                <w:color w:val="auto"/>
                <w:w w:val="99"/>
              </w:rPr>
              <w:t>101.DEF*</w:t>
            </w:r>
          </w:p>
        </w:tc>
        <w:tc>
          <w:tcPr>
            <w:tcW w:w="10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60" w:type="dxa"/>
            <w:vAlign w:val="bottom"/>
            <w:gridSpan w:val="7"/>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101.LAB*</w:t>
            </w:r>
          </w:p>
        </w:tc>
        <w:tc>
          <w:tcPr>
            <w:tcW w:w="100" w:type="dxa"/>
            <w:vAlign w:val="bottom"/>
          </w:tcPr>
          <w:p>
            <w:pPr>
              <w:spacing w:after="0"/>
              <w:rPr>
                <w:sz w:val="17"/>
                <w:szCs w:val="17"/>
                <w:color w:val="auto"/>
              </w:rPr>
            </w:pPr>
          </w:p>
        </w:tc>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Label</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3" w:name="page34"/>
    <w:bookmarkEnd w:id="33"/>
    <w:tbl>
      <w:tblPr>
        <w:tblLayout w:type="fixed"/>
        <w:tblInd w:w="300" w:type="dxa"/>
        <w:tblCellMar>
          <w:top w:w="0" w:type="dxa"/>
          <w:left w:w="0" w:type="dxa"/>
          <w:bottom w:w="0" w:type="dxa"/>
          <w:right w:w="0" w:type="dxa"/>
        </w:tblCellMar>
      </w:tblPr>
      <w:tr>
        <w:trPr>
          <w:trHeight w:val="190"/>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1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920" w:type="dxa"/>
            <w:vAlign w:val="bottom"/>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0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0" w:type="dxa"/>
            <w:vAlign w:val="bottom"/>
          </w:tcPr>
          <w:p>
            <w:pPr>
              <w:spacing w:after="0"/>
              <w:rPr>
                <w:sz w:val="1"/>
                <w:szCs w:val="1"/>
                <w:color w:val="auto"/>
              </w:rPr>
            </w:pPr>
          </w:p>
        </w:tc>
      </w:tr>
      <w:tr>
        <w:trPr>
          <w:trHeight w:val="190"/>
        </w:trPr>
        <w:tc>
          <w:tcPr>
            <w:tcW w:w="1920" w:type="dxa"/>
            <w:vAlign w:val="bottom"/>
          </w:tcPr>
          <w:p>
            <w:pPr>
              <w:jc w:val="center"/>
              <w:ind w:right="112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9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6350</wp:posOffset>
            </wp:positionV>
            <wp:extent cx="534924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a:extLst>
                        <a:ext uri="{28A0092B-C50C-407E-A947-70E740481C1C}"/>
                      </a:extLst>
                    </a:blip>
                    <a:srcRect/>
                    <a:stretch>
                      <a:fillRect/>
                    </a:stretch>
                  </pic:blipFill>
                  <pic:spPr bwMode="auto">
                    <a:xfrm>
                      <a:off x="0" y="0"/>
                      <a:ext cx="5349240" cy="308610"/>
                    </a:xfrm>
                    <a:prstGeom prst="rect">
                      <a:avLst/>
                    </a:prstGeom>
                    <a:noFill/>
                  </pic:spPr>
                </pic:pic>
              </a:graphicData>
            </a:graphic>
          </wp:anchor>
        </w:drawing>
      </w: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101.PRE* Inline XBRL Taxonomy Extension Presentation</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9" w:lineRule="exact"/>
        <w:rPr>
          <w:sz w:val="20"/>
          <w:szCs w:val="20"/>
          <w:color w:val="auto"/>
        </w:rPr>
      </w:pPr>
    </w:p>
    <w:p>
      <w:pPr>
        <w:ind w:left="1120" w:right="4539" w:hanging="592"/>
        <w:spacing w:after="0" w:line="269"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tbl>
      <w:tblPr>
        <w:tblLayout w:type="fixed"/>
        <w:tblInd w:w="300" w:type="dxa"/>
        <w:tblCellMar>
          <w:top w:w="0" w:type="dxa"/>
          <w:left w:w="0" w:type="dxa"/>
          <w:bottom w:w="0" w:type="dxa"/>
          <w:right w:w="0" w:type="dxa"/>
        </w:tblCellMar>
      </w:tblPr>
      <w:tr>
        <w:trPr>
          <w:trHeight w:val="171"/>
        </w:trPr>
        <w:tc>
          <w:tcPr>
            <w:tcW w:w="740" w:type="dxa"/>
            <w:vAlign w:val="bottom"/>
            <w:gridSpan w:val="3"/>
            <w:shd w:val="clear" w:color="auto" w:fill="CCEEFF"/>
          </w:tcPr>
          <w:p>
            <w:pPr>
              <w:jc w:val="right"/>
              <w:ind w:right="240"/>
              <w:spacing w:after="0" w:line="170"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107</w:t>
              </w:r>
            </w:hyperlink>
          </w:p>
        </w:tc>
        <w:tc>
          <w:tcPr>
            <w:tcW w:w="2660" w:type="dxa"/>
            <w:vAlign w:val="bottom"/>
            <w:shd w:val="clear" w:color="auto" w:fill="CCEEFF"/>
          </w:tcPr>
          <w:p>
            <w:pPr>
              <w:ind w:left="80"/>
              <w:spacing w:after="0" w:line="170" w:lineRule="exact"/>
              <w:rPr>
                <w:sz w:val="20"/>
                <w:szCs w:val="20"/>
                <w:color w:val="auto"/>
              </w:rPr>
            </w:pPr>
            <w:r>
              <w:rPr>
                <w:rFonts w:ascii="Times New Roman" w:cs="Times New Roman" w:eastAsia="Times New Roman" w:hAnsi="Times New Roman"/>
                <w:sz w:val="18"/>
                <w:szCs w:val="18"/>
                <w:color w:val="auto"/>
              </w:rPr>
              <w:t>Filing Fee Table</w:t>
            </w:r>
          </w:p>
        </w:tc>
        <w:tc>
          <w:tcPr>
            <w:tcW w:w="1860" w:type="dxa"/>
            <w:vAlign w:val="bottom"/>
            <w:shd w:val="clear" w:color="auto" w:fill="CCEEFF"/>
          </w:tcPr>
          <w:p>
            <w:pPr>
              <w:ind w:left="1400"/>
              <w:spacing w:after="0" w:line="170"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333-261466</w:t>
            </w:r>
          </w:p>
        </w:tc>
        <w:tc>
          <w:tcPr>
            <w:tcW w:w="620" w:type="dxa"/>
            <w:vAlign w:val="bottom"/>
            <w:shd w:val="clear" w:color="auto" w:fill="CCEEFF"/>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rPr>
              <w:t>107</w:t>
            </w:r>
          </w:p>
        </w:tc>
        <w:tc>
          <w:tcPr>
            <w:tcW w:w="13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December 2,</w:t>
            </w:r>
          </w:p>
        </w:tc>
      </w:tr>
      <w:tr>
        <w:trPr>
          <w:trHeight w:val="237"/>
        </w:trPr>
        <w:tc>
          <w:tcPr>
            <w:tcW w:w="2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660" w:type="dxa"/>
            <w:vAlign w:val="bottom"/>
            <w:tcBorders>
              <w:top w:val="single" w:sz="8" w:color="CCEEFF"/>
            </w:tcBorders>
            <w:shd w:val="clear" w:color="auto" w:fill="CCEEFF"/>
          </w:tcPr>
          <w:p>
            <w:pPr>
              <w:spacing w:after="0"/>
              <w:rPr>
                <w:sz w:val="20"/>
                <w:szCs w:val="20"/>
                <w:color w:val="auto"/>
              </w:rPr>
            </w:pPr>
          </w:p>
        </w:tc>
        <w:tc>
          <w:tcPr>
            <w:tcW w:w="186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54"/>
        </w:trPr>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660" w:type="dxa"/>
            <w:vAlign w:val="bottom"/>
            <w:shd w:val="clear" w:color="auto" w:fill="CCEEFF"/>
          </w:tcPr>
          <w:p>
            <w:pPr>
              <w:spacing w:after="0"/>
              <w:rPr>
                <w:sz w:val="4"/>
                <w:szCs w:val="4"/>
                <w:color w:val="auto"/>
              </w:rPr>
            </w:pPr>
          </w:p>
        </w:tc>
        <w:tc>
          <w:tcPr>
            <w:tcW w:w="186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schedules and exhibits to this agreement have been omitted pursuant to Item 601(a)(5) of Regulation S-K. A copy of any omitted schedule and/or exhibit will be furnished to the SEC upon request.</w:t>
      </w:r>
    </w:p>
    <w:p>
      <w:pPr>
        <w:spacing w:after="0" w:line="1" w:lineRule="exact"/>
        <w:rPr>
          <w:sz w:val="20"/>
          <w:szCs w:val="20"/>
          <w:color w:val="auto"/>
        </w:rPr>
      </w:pPr>
    </w:p>
    <w:p>
      <w:pPr>
        <w:ind w:left="300" w:right="3939" w:hanging="8"/>
        <w:spacing w:after="0" w:line="342" w:lineRule="auto"/>
        <w:tabs>
          <w:tab w:leader="none" w:pos="65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agreement. * Previously filed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53" w:lineRule="auto"/>
        <w:tabs>
          <w:tab w:leader="none" w:pos="17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jc w:val="both"/>
        <w:ind w:left="1720" w:right="299" w:hanging="348"/>
        <w:spacing w:after="0" w:line="266" w:lineRule="auto"/>
        <w:tabs>
          <w:tab w:leader="none" w:pos="1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720" w:right="299" w:hanging="348"/>
        <w:spacing w:after="0" w:line="253" w:lineRule="auto"/>
        <w:tabs>
          <w:tab w:leader="none" w:pos="1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740" w:right="299"/>
        <w:spacing w:after="0" w:line="261" w:lineRule="auto"/>
        <w:rPr>
          <w:sz w:val="20"/>
          <w:szCs w:val="20"/>
          <w:color w:val="auto"/>
        </w:rPr>
      </w:pPr>
      <w:r>
        <w:rPr>
          <w:rFonts w:ascii="Times New Roman" w:cs="Times New Roman" w:eastAsia="Times New Roman" w:hAnsi="Times New Roman"/>
          <w:sz w:val="18"/>
          <w:szCs w:val="18"/>
          <w:color w:val="auto"/>
        </w:rPr>
        <w:t>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2" w:lineRule="exact"/>
        <w:rPr>
          <w:sz w:val="20"/>
          <w:szCs w:val="20"/>
          <w:color w:val="auto"/>
        </w:rPr>
      </w:pPr>
    </w:p>
    <w:p>
      <w:pPr>
        <w:jc w:val="both"/>
        <w:ind w:left="1360" w:right="319" w:hanging="348"/>
        <w:spacing w:after="0" w:line="255" w:lineRule="auto"/>
        <w:tabs>
          <w:tab w:leader="none" w:pos="1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Post-Effective Amendment No. 7 to Registration Statement to be signed on its behalf by the undersigned, thereunto duly authorized in the City of Irvine, State of California on May 2, 2025.</w:t>
      </w:r>
    </w:p>
    <w:p>
      <w:pPr>
        <w:spacing w:after="0" w:line="6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27305</wp:posOffset>
            </wp:positionV>
            <wp:extent cx="205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Douglas Francis</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Douglas Francis and Susan Echard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 .</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7 on Form S-1 has been signed by the following persons in the capacities and on the dates indicated.</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8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21"/>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Douglas Francis</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2, 2025</w:t>
            </w:r>
          </w:p>
        </w:tc>
        <w:tc>
          <w:tcPr>
            <w:tcW w:w="0" w:type="dxa"/>
            <w:vAlign w:val="bottom"/>
          </w:tcPr>
          <w:p>
            <w:pPr>
              <w:spacing w:after="0"/>
              <w:rPr>
                <w:sz w:val="1"/>
                <w:szCs w:val="1"/>
                <w:color w:val="auto"/>
              </w:rPr>
            </w:pPr>
          </w:p>
        </w:tc>
      </w:tr>
      <w:tr>
        <w:trPr>
          <w:trHeight w:val="32"/>
        </w:trPr>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220" w:type="dxa"/>
            <w:vAlign w:val="bottom"/>
          </w:tcPr>
          <w:p>
            <w:pPr>
              <w:spacing w:after="0"/>
              <w:rPr>
                <w:sz w:val="19"/>
                <w:szCs w:val="19"/>
                <w:color w:val="auto"/>
              </w:rPr>
            </w:pPr>
          </w:p>
        </w:tc>
        <w:tc>
          <w:tcPr>
            <w:tcW w:w="34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Susan Echard</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2, 2025</w:t>
            </w:r>
          </w:p>
        </w:tc>
        <w:tc>
          <w:tcPr>
            <w:tcW w:w="0" w:type="dxa"/>
            <w:vAlign w:val="bottom"/>
          </w:tcPr>
          <w:p>
            <w:pPr>
              <w:spacing w:after="0"/>
              <w:rPr>
                <w:sz w:val="1"/>
                <w:szCs w:val="1"/>
                <w:color w:val="auto"/>
              </w:rPr>
            </w:pPr>
          </w:p>
        </w:tc>
      </w:tr>
      <w:tr>
        <w:trPr>
          <w:trHeight w:val="32"/>
        </w:trPr>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Susan Echard</w:t>
            </w:r>
          </w:p>
        </w:tc>
        <w:tc>
          <w:tcPr>
            <w:tcW w:w="22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2, 2025</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2, 2025</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2, 2025</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2, 2025</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2, 2025</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2, 2025</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Glen Ibbott</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00"/>
        <w:spacing w:after="0"/>
        <w:tabs>
          <w:tab w:leader="none" w:pos="820" w:val="left"/>
        </w:tabs>
        <w:rPr>
          <w:sz w:val="20"/>
          <w:szCs w:val="20"/>
          <w:color w:val="auto"/>
        </w:rPr>
      </w:pPr>
      <w:r>
        <w:rPr>
          <w:rFonts w:ascii="Times New Roman" w:cs="Times New Roman" w:eastAsia="Times New Roman" w:hAnsi="Times New Roman"/>
          <w:sz w:val="18"/>
          <w:szCs w:val="18"/>
          <w:color w:val="auto"/>
        </w:rPr>
        <w:t>*By:</w:t>
        <w:tab/>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26035</wp:posOffset>
            </wp:positionV>
            <wp:extent cx="2031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Name: Douglas Francis, Attorney-in-Fact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9019"/>
          </w:cols>
          <w:pgMar w:left="1440" w:top="263"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this Post-Effective Amendment No. 7 to Registration Statement on Form S-1 (No. 333-261466) of WM Technology, Inc. (the “Company”) of our report dated March 13, 2025, relating to the consolidated financial statements of the Company and the effectiveness of internal control over financial reporting of the Company as of December 31, 2024 (which report expresses an unqualified opinion on the consolidated financial statements and an adverse opinion on the effectiveness of internal control over financial reporting due to material weaknesses), appearing in the Annual Report on Form 10-K of the Company for the year ended December 31, 2024, filed with the Securities and Exchange Commission.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41"/>
    </w:lvl>
  </w:abstractNum>
  <w:abstractNum w:abstractNumId="1">
    <w:nsid w:val="1BEFD79F"/>
    <w:multiLevelType w:val="hybridMultilevel"/>
    <w:lvl w:ilvl="0">
      <w:lvlJc w:val="left"/>
      <w:lvlText w:val="%1"/>
      <w:numFmt w:val="decimal"/>
      <w:start w:val="4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lowerRoman"/>
      <w:start w:val="10"/>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4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04"/>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54E49EB4"/>
    <w:multiLevelType w:val="hybridMultilevel"/>
    <w:lvl w:ilvl="0">
      <w:lvlJc w:val="left"/>
      <w:lvlText w:val="(%1)"/>
      <w:numFmt w:val="lowerRoman"/>
      <w:start w:val="1"/>
    </w:lvl>
  </w:abstractNum>
  <w:abstractNum w:abstractNumId="26">
    <w:nsid w:val="71F32454"/>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27">
    <w:nsid w:val="2CA8861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77" Type="http://schemas.openxmlformats.org/officeDocument/2006/relationships/image" Target="media/image47.png"/><Relationship Id="rId91" Type="http://schemas.openxmlformats.org/officeDocument/2006/relationships/image" Target="media/image48.png"/><Relationship Id="rId92" Type="http://schemas.openxmlformats.org/officeDocument/2006/relationships/image" Target="media/image49.png"/><Relationship Id="rId94" Type="http://schemas.openxmlformats.org/officeDocument/2006/relationships/image" Target="media/image50.png"/><Relationship Id="rId95" Type="http://schemas.openxmlformats.org/officeDocument/2006/relationships/image" Target="media/image51.png"/><Relationship Id="rId96" Type="http://schemas.openxmlformats.org/officeDocument/2006/relationships/image" Target="media/image52.png"/><Relationship Id="rId97" Type="http://schemas.openxmlformats.org/officeDocument/2006/relationships/image" Target="media/image53.png"/><Relationship Id="rId98" Type="http://schemas.openxmlformats.org/officeDocument/2006/relationships/image" Target="media/image54.png"/><Relationship Id="rId99" Type="http://schemas.openxmlformats.org/officeDocument/2006/relationships/image" Target="media/image55.png"/><Relationship Id="rId100" Type="http://schemas.openxmlformats.org/officeDocument/2006/relationships/image" Target="media/image56.png"/><Relationship Id="rId101" Type="http://schemas.openxmlformats.org/officeDocument/2006/relationships/image" Target="media/image57.png"/><Relationship Id="rId49" Type="http://schemas.openxmlformats.org/officeDocument/2006/relationships/hyperlink" Target="https://www.sec.gov/ix?doc=/Archives/edgar/data/1779474/000177947425000007/maps-20241231.htm" TargetMode="External"/><Relationship Id="rId50" Type="http://schemas.openxmlformats.org/officeDocument/2006/relationships/hyperlink" Target="https://www.sec.gov/ix?doc=/Archives/edgar/data/1779474/000114036125016331/ny20043216x1_def14a.htm" TargetMode="External"/><Relationship Id="rId51" Type="http://schemas.openxmlformats.org/officeDocument/2006/relationships/hyperlink" Target="https://www.sec.gov/Archives/edgar/data/1779474/000177947422000010/exhibit45descriptionofsecu.htm" TargetMode="External"/><Relationship Id="rId57" Type="http://schemas.openxmlformats.org/officeDocument/2006/relationships/hyperlink" Target="https://www.sec.gov/Archives/edgar/data/1779474/000095010320024045/dp142700_ex0201.htm" TargetMode="External"/><Relationship Id="rId58" Type="http://schemas.openxmlformats.org/officeDocument/2006/relationships/hyperlink" Target="https://www.sec.gov/Archives/edgar/data/1779474/000114036121021785/brhc10025756_ex3-1.htm" TargetMode="External"/><Relationship Id="rId59" Type="http://schemas.openxmlformats.org/officeDocument/2006/relationships/hyperlink" Target="https://www.sec.gov/Archives/edgar/data/1779474/000114036121021785/brhc10025756_ex3-2.htm" TargetMode="External"/><Relationship Id="rId60" Type="http://schemas.openxmlformats.org/officeDocument/2006/relationships/hyperlink" Target="https://www.sec.gov/Archives/edgar/data/1779474/000114036121021785/brhc10025756_ex4-1.htm" TargetMode="External"/><Relationship Id="rId61" Type="http://schemas.openxmlformats.org/officeDocument/2006/relationships/hyperlink" Target="https://www.sec.gov/Archives/edgar/data/1779474/000114036121021785/brhc10025756_ex4-2.htm" TargetMode="External"/><Relationship Id="rId62" Type="http://schemas.openxmlformats.org/officeDocument/2006/relationships/hyperlink" Target="https://www.sec.gov/Archives/edgar/data/1779474/000095010319010751/dp111173_ex0401.htm" TargetMode="External"/><Relationship Id="rId63" Type="http://schemas.openxmlformats.org/officeDocument/2006/relationships/hyperlink" Target="https://www.sec.gov/Archives/edgar/data/1779474/000114036121040114/brhc10031383_ex5-1.htm" TargetMode="External"/><Relationship Id="rId64" Type="http://schemas.openxmlformats.org/officeDocument/2006/relationships/hyperlink" Target="https://www.sec.gov/Archives/edgar/data/1779474/000114036121021785/brhc10025756_ex10-1.htm" TargetMode="External"/><Relationship Id="rId65" Type="http://schemas.openxmlformats.org/officeDocument/2006/relationships/hyperlink" Target="https://www.sec.gov/Archives/edgar/data/1779474/000114036121021785/brhc10025756_ex10-2.htm" TargetMode="External"/><Relationship Id="rId66" Type="http://schemas.openxmlformats.org/officeDocument/2006/relationships/hyperlink" Target="https://www.sec.gov/Archives/edgar/data/1779474/000114036121021785/brhc10025756_ex10-3.htm" TargetMode="External"/><Relationship Id="rId67" Type="http://schemas.openxmlformats.org/officeDocument/2006/relationships/hyperlink" Target="https://www.sec.gov/Archives/edgar/data/1779474/000095010320024045/dp142700_ex1001.htm" TargetMode="External"/><Relationship Id="rId68" Type="http://schemas.openxmlformats.org/officeDocument/2006/relationships/hyperlink" Target="https://www.sec.gov/Archives/edgar/data/1779474/000114036121021785/brhc10025756_ex10-5.htm" TargetMode="External"/><Relationship Id="rId69" Type="http://schemas.openxmlformats.org/officeDocument/2006/relationships/hyperlink" Target="https://www.sec.gov/Archives/edgar/data/1779474/000114036121021785/brhc10025756_ex10-6.htm" TargetMode="External"/><Relationship Id="rId70" Type="http://schemas.openxmlformats.org/officeDocument/2006/relationships/hyperlink" Target="https://www.sec.gov/Archives/edgar/data/1779474/000114036121021785/brhc10025756_ex10-7.htm" TargetMode="External"/><Relationship Id="rId71" Type="http://schemas.openxmlformats.org/officeDocument/2006/relationships/hyperlink" Target="https://www.sec.gov/Archives/edgar/data/1779474/000114036121021785/brhc10025756_ex10-7a.htm" TargetMode="External"/><Relationship Id="rId72" Type="http://schemas.openxmlformats.org/officeDocument/2006/relationships/hyperlink" Target="https://www.sec.gov/Archives/edgar/data/1779474/000114036121021785/brhc10025756_ex10-7b.htm" TargetMode="External"/><Relationship Id="rId73" Type="http://schemas.openxmlformats.org/officeDocument/2006/relationships/hyperlink" Target="https://www.sec.gov/Archives/edgar/data/1779474/000114036121021785/brhc10025756_ex10-8.htm" TargetMode="External"/><Relationship Id="rId74" Type="http://schemas.openxmlformats.org/officeDocument/2006/relationships/hyperlink" Target="https://www.sec.gov/Archives/edgar/data/1779474/000114036121021785/brhc10025756_ex10-12.htm" TargetMode="External"/><Relationship Id="rId75" Type="http://schemas.openxmlformats.org/officeDocument/2006/relationships/hyperlink" Target="https://www.sec.gov/Archives/edgar/data/1779474/000114036121021785/brhc10025756_ex10-13.htm" TargetMode="External"/><Relationship Id="rId76" Type="http://schemas.openxmlformats.org/officeDocument/2006/relationships/hyperlink" Target="https://www.sec.gov/Archives/edgar/data/1779474/000114036121021785/brhc10025756_ex10-14.htm" TargetMode="External"/><Relationship Id="rId78" Type="http://schemas.openxmlformats.org/officeDocument/2006/relationships/hyperlink" Target="https://www.sec.gov/Archives/edgar/data/1779474/000114036121021785/brhc10025756_ex10-15.htm" TargetMode="External"/><Relationship Id="rId79" Type="http://schemas.openxmlformats.org/officeDocument/2006/relationships/hyperlink" Target="https://www.sec.gov/Archives/edgar/data/1779474/000114036121021785/brhc10025756_ex10-16.htm" TargetMode="External"/><Relationship Id="rId80" Type="http://schemas.openxmlformats.org/officeDocument/2006/relationships/hyperlink" Target="https://www.sec.gov/Archives/edgar/data/1779474/000177947424000062/a102fifthamendmenttoleaseb.htm" TargetMode="External"/><Relationship Id="rId81" Type="http://schemas.openxmlformats.org/officeDocument/2006/relationships/hyperlink" Target="https://www.sec.gov/Archives/edgar/data/1779474/000177947423000072/exhibit102amendedandrestat.htm" TargetMode="External"/><Relationship Id="rId82" Type="http://schemas.openxmlformats.org/officeDocument/2006/relationships/hyperlink" Target="https://www.sec.gov/Archives/edgar/data/1779474/000177947424000062/a101separationandreleaseag.htm" TargetMode="External"/><Relationship Id="rId83" Type="http://schemas.openxmlformats.org/officeDocument/2006/relationships/hyperlink" Target="https://www.sec.gov/Archives/edgar/data/1779474/000177947423000023/exhibit1019dgrazier_offerl.htm" TargetMode="External"/><Relationship Id="rId84" Type="http://schemas.openxmlformats.org/officeDocument/2006/relationships/hyperlink" Target="https://www.sec.gov/Archives/edgar/data/1779474/000177947424000062/a103offerofemployment-fran.htm" TargetMode="External"/><Relationship Id="rId85" Type="http://schemas.openxmlformats.org/officeDocument/2006/relationships/hyperlink" Target="https://www.sec.gov/Archives/edgar/data/1779474/000177947425000007/exhibit1019sarahgriffisoff.htm" TargetMode="External"/><Relationship Id="rId86" Type="http://schemas.openxmlformats.org/officeDocument/2006/relationships/hyperlink" Target="https://www.sec.gov/Archives/edgar/data/1779474/000177947424000023/exhibit1020briancamiresoff.htm" TargetMode="External"/><Relationship Id="rId87" Type="http://schemas.openxmlformats.org/officeDocument/2006/relationships/hyperlink" Target="https://www.sec.gov/Archives/edgar/data/1779474/000177947423000062/exhibit101q223.htm" TargetMode="External"/><Relationship Id="rId88" Type="http://schemas.openxmlformats.org/officeDocument/2006/relationships/hyperlink" Target="https://www.sec.gov/Archives/edgar/data/1779474/000177947424000023/exhibit1023seatonhillresou.htm" TargetMode="External"/><Relationship Id="rId89" Type="http://schemas.openxmlformats.org/officeDocument/2006/relationships/hyperlink" Target="https://www.sec.gov/Archives/edgar/data/1779474/000177947425000007/exhibit211listofsubsidiari.htm" TargetMode="External"/><Relationship Id="rId90" Type="http://schemas.openxmlformats.org/officeDocument/2006/relationships/hyperlink" Target="https://www.sec.gov/Archives/edgar/data/1779474/000114036121040114/forms1.htm#POWEROFATTORNEY" TargetMode="External"/><Relationship Id="rId93" Type="http://schemas.openxmlformats.org/officeDocument/2006/relationships/hyperlink" Target="https://www.sec.gov/ix?doc=/Archives/edgar/data/1779474/000114036121040114/form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2025-05-02T15:39:35Z</dcterms:created>
  <dcterms:modified xsi:type="dcterms:W3CDTF">2025-05-02T15:39:35Z</dcterms:modified>
</cp:coreProperties>
</file>