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1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333-261466</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Prospectus Supplement No. 3</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313055</wp:posOffset>
            </wp:positionV>
            <wp:extent cx="2571750"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This prospectus supplement updates and supplements the prospectus dated May 5, 2022 (the “Prospectus”), which forms a part of our Registration Statement on Form S-1, as amended (Registration No. 333-261466). This prospectus supplement is being filed to update and supplement the information in the Prospectus with the information contained in our Quarterly Report on Form 10-Q filed with the Securities and Exchange Commission on August 9, 2022 (the “Quarterly Report on Form 10-Q”). Accordingly, we have attached the Quarterly Report on Form 10-Q to this prospectus supplement.</w:t>
      </w:r>
    </w:p>
    <w:p>
      <w:pPr>
        <w:spacing w:after="0" w:line="208" w:lineRule="exact"/>
        <w:rPr>
          <w:sz w:val="24"/>
          <w:szCs w:val="24"/>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You should read this prospectus supplement in conjunction with the Prospectus, including any amendments or supplements to it. This prospectus supplement is not complete without, and may not be delivered or used except in conjunction with, the Prospectus, including any amendments or supplements to it. This prospectus supplement is qualified by reference to the Prospectus, except to the extent that the information provided by this prospectus supplement supersedes information contained in the Prospectus. You should not assume that the information provided in this prospectus supplement, the Prospectus or any prior prospectus supplement is accurate as of any date other than their respective dates. Neither the delivery of this prospectus supplement, the Prospectus or any prior prospectus supplement, nor any sale made hereunder or thereunder, shall under any circumstances create any implication that there has been no change in our affairs since the date of this prospectus supplement, or that the information contained in this prospectus supplement, the Prospectus or any prior prospectus supplement is correct as of any time after the date of that information.</w:t>
      </w:r>
    </w:p>
    <w:p>
      <w:pPr>
        <w:spacing w:after="0" w:line="214"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(“Nasdaq”) under the symbol “MAPS.” On August 9, 2022, the closing price of our Class A Common Stock was $3.57.</w:t>
      </w:r>
    </w:p>
    <w:p>
      <w:pPr>
        <w:spacing w:after="0" w:line="185" w:lineRule="exact"/>
        <w:rPr>
          <w:sz w:val="24"/>
          <w:szCs w:val="24"/>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SEE THE SECTION ENTITLED “RISK FACTORS” BEGINNING ON PAGE 5 OF THE PROSPECTUS, AS UPDATED AND SUPPLEMENTED UNDER SIMILAR HEADINGS IN ANY FURTHER AMENDMENTS OR SUPPLEMENTS TO THE PROSPECTUS, TO READ ABOUT FACTORS YOU SHOULD CONSIDER BEFORE BUYING OUR SECURITIES.</w:t>
      </w:r>
    </w:p>
    <w:p>
      <w:pPr>
        <w:spacing w:after="0" w:line="203"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tbl>
      <w:tblPr>
        <w:tblLayout w:type="fixed"/>
        <w:tblInd w:w="20" w:type="dxa"/>
        <w:tblCellMar>
          <w:top w:w="0" w:type="dxa"/>
          <w:left w:w="0" w:type="dxa"/>
          <w:bottom w:w="0" w:type="dxa"/>
          <w:right w:w="0" w:type="dxa"/>
        </w:tblCellMar>
      </w:tblPr>
      <w:tr>
        <w:trPr>
          <w:trHeight w:val="351"/>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29"/>
                <w:szCs w:val="29"/>
                <w:b w:val="1"/>
                <w:bCs w:val="1"/>
                <w:color w:val="auto"/>
                <w:w w:val="97"/>
              </w:rPr>
              <w:t>UNITED STATES</w:t>
            </w:r>
          </w:p>
        </w:tc>
      </w:tr>
      <w:tr>
        <w:trPr>
          <w:trHeight w:val="383"/>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29"/>
                <w:szCs w:val="29"/>
                <w:b w:val="1"/>
                <w:bCs w:val="1"/>
                <w:color w:val="auto"/>
                <w:w w:val="99"/>
              </w:rPr>
              <w:t>SECURITIES AND EXCHANGE COMMISSION</w:t>
            </w:r>
          </w:p>
        </w:tc>
      </w:tr>
      <w:tr>
        <w:trPr>
          <w:trHeight w:val="306"/>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r>
        <w:trPr>
          <w:trHeight w:val="417"/>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29"/>
                <w:szCs w:val="29"/>
                <w:b w:val="1"/>
                <w:bCs w:val="1"/>
                <w:color w:val="auto"/>
                <w:w w:val="99"/>
              </w:rPr>
              <w:t>FORM 10-Q</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r>
        <w:trPr>
          <w:trHeight w:val="381"/>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tc>
      </w:tr>
      <w:tr>
        <w:trPr>
          <w:trHeight w:val="271"/>
        </w:trPr>
        <w:tc>
          <w:tcPr>
            <w:tcW w:w="900" w:type="dxa"/>
            <w:vAlign w:val="bottom"/>
          </w:tcPr>
          <w:p>
            <w:pPr>
              <w:spacing w:after="0"/>
              <w:rPr>
                <w:sz w:val="23"/>
                <w:szCs w:val="23"/>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2022</w:t>
            </w:r>
          </w:p>
        </w:tc>
      </w:tr>
      <w:tr>
        <w:trPr>
          <w:trHeight w:val="279"/>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OR</w:t>
            </w:r>
          </w:p>
        </w:tc>
      </w:tr>
      <w:tr>
        <w:trPr>
          <w:trHeight w:val="381"/>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c>
      </w:tr>
      <w:tr>
        <w:trPr>
          <w:trHeight w:val="240"/>
        </w:trPr>
        <w:tc>
          <w:tcPr>
            <w:tcW w:w="900" w:type="dxa"/>
            <w:vAlign w:val="bottom"/>
          </w:tcPr>
          <w:p>
            <w:pPr>
              <w:spacing w:after="0"/>
              <w:rPr>
                <w:sz w:val="20"/>
                <w:szCs w:val="20"/>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For the transition period from ____ to ____</w:t>
            </w:r>
          </w:p>
        </w:tc>
      </w:tr>
      <w:tr>
        <w:trPr>
          <w:trHeight w:val="269"/>
        </w:trPr>
        <w:tc>
          <w:tcPr>
            <w:tcW w:w="900" w:type="dxa"/>
            <w:vAlign w:val="bottom"/>
          </w:tcPr>
          <w:p>
            <w:pPr>
              <w:spacing w:after="0"/>
              <w:rPr>
                <w:sz w:val="23"/>
                <w:szCs w:val="23"/>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Commission file number 001-39021</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bl>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29" w:lineRule="exact"/>
        <w:rPr>
          <w:sz w:val="24"/>
          <w:szCs w:val="24"/>
          <w:color w:val="auto"/>
        </w:rPr>
      </w:pPr>
    </w:p>
    <w:tbl>
      <w:tblPr>
        <w:tblLayout w:type="fixed"/>
        <w:tblInd w:w="900" w:type="dxa"/>
        <w:tblCellMar>
          <w:top w:w="0" w:type="dxa"/>
          <w:left w:w="0" w:type="dxa"/>
          <w:bottom w:w="0" w:type="dxa"/>
          <w:right w:w="0" w:type="dxa"/>
        </w:tblCellMar>
      </w:tblPr>
      <w:tr>
        <w:trPr>
          <w:trHeight w:val="190"/>
        </w:trPr>
        <w:tc>
          <w:tcPr>
            <w:tcW w:w="5080" w:type="dxa"/>
            <w:vAlign w:val="bottom"/>
          </w:tcPr>
          <w:p>
            <w:pPr>
              <w:jc w:val="center"/>
              <w:ind w:right="15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720" w:type="dxa"/>
            <w:vAlign w:val="bottom"/>
          </w:tcPr>
          <w:p>
            <w:pPr>
              <w:jc w:val="center"/>
              <w:ind w:left="1528"/>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216"/>
        </w:trPr>
        <w:tc>
          <w:tcPr>
            <w:tcW w:w="5080" w:type="dxa"/>
            <w:vAlign w:val="bottom"/>
          </w:tcPr>
          <w:p>
            <w:pPr>
              <w:jc w:val="center"/>
              <w:ind w:right="156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720" w:type="dxa"/>
            <w:vAlign w:val="bottom"/>
          </w:tcPr>
          <w:p>
            <w:pPr>
              <w:jc w:val="center"/>
              <w:ind w:left="156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42"/>
        </w:trPr>
        <w:tc>
          <w:tcPr>
            <w:tcW w:w="5080" w:type="dxa"/>
            <w:vAlign w:val="bottom"/>
          </w:tcPr>
          <w:p>
            <w:pPr>
              <w:jc w:val="center"/>
              <w:ind w:right="1568"/>
              <w:spacing w:after="0"/>
              <w:rPr>
                <w:sz w:val="20"/>
                <w:szCs w:val="20"/>
                <w:color w:val="auto"/>
              </w:rPr>
            </w:pPr>
            <w:r>
              <w:rPr>
                <w:rFonts w:ascii="Times New Roman" w:cs="Times New Roman" w:eastAsia="Times New Roman" w:hAnsi="Times New Roman"/>
                <w:sz w:val="14"/>
                <w:szCs w:val="14"/>
                <w:b w:val="1"/>
                <w:bCs w:val="1"/>
                <w:color w:val="auto"/>
              </w:rPr>
              <w:t>41 Discovery</w:t>
            </w:r>
          </w:p>
        </w:tc>
        <w:tc>
          <w:tcPr>
            <w:tcW w:w="3720" w:type="dxa"/>
            <w:vAlign w:val="bottom"/>
          </w:tcPr>
          <w:p>
            <w:pPr>
              <w:spacing w:after="0"/>
              <w:rPr>
                <w:sz w:val="21"/>
                <w:szCs w:val="21"/>
                <w:color w:val="auto"/>
              </w:rPr>
            </w:pPr>
          </w:p>
        </w:tc>
      </w:tr>
      <w:tr>
        <w:trPr>
          <w:trHeight w:val="190"/>
        </w:trPr>
        <w:tc>
          <w:tcPr>
            <w:tcW w:w="5080" w:type="dxa"/>
            <w:vAlign w:val="bottom"/>
          </w:tcPr>
          <w:p>
            <w:pPr>
              <w:jc w:val="center"/>
              <w:ind w:right="1568"/>
              <w:spacing w:after="0"/>
              <w:rPr>
                <w:sz w:val="20"/>
                <w:szCs w:val="20"/>
                <w:color w:val="auto"/>
              </w:rPr>
            </w:pPr>
            <w:r>
              <w:rPr>
                <w:rFonts w:ascii="Times New Roman" w:cs="Times New Roman" w:eastAsia="Times New Roman" w:hAnsi="Times New Roman"/>
                <w:sz w:val="14"/>
                <w:szCs w:val="14"/>
                <w:b w:val="1"/>
                <w:bCs w:val="1"/>
                <w:color w:val="auto"/>
              </w:rPr>
              <w:t>Irvine, California</w:t>
            </w:r>
          </w:p>
        </w:tc>
        <w:tc>
          <w:tcPr>
            <w:tcW w:w="3720" w:type="dxa"/>
            <w:vAlign w:val="bottom"/>
          </w:tcPr>
          <w:p>
            <w:pPr>
              <w:jc w:val="center"/>
              <w:ind w:left="1568"/>
              <w:spacing w:after="0"/>
              <w:rPr>
                <w:sz w:val="20"/>
                <w:szCs w:val="20"/>
                <w:color w:val="auto"/>
              </w:rPr>
            </w:pPr>
            <w:r>
              <w:rPr>
                <w:rFonts w:ascii="Times New Roman" w:cs="Times New Roman" w:eastAsia="Times New Roman" w:hAnsi="Times New Roman"/>
                <w:sz w:val="14"/>
                <w:szCs w:val="14"/>
                <w:b w:val="1"/>
                <w:bCs w:val="1"/>
                <w:color w:val="auto"/>
              </w:rPr>
              <w:t>92618</w:t>
            </w:r>
          </w:p>
        </w:tc>
      </w:tr>
      <w:tr>
        <w:trPr>
          <w:trHeight w:val="216"/>
        </w:trPr>
        <w:tc>
          <w:tcPr>
            <w:tcW w:w="5080" w:type="dxa"/>
            <w:vAlign w:val="bottom"/>
          </w:tcPr>
          <w:p>
            <w:pPr>
              <w:jc w:val="center"/>
              <w:ind w:right="15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720" w:type="dxa"/>
            <w:vAlign w:val="bottom"/>
          </w:tcPr>
          <w:p>
            <w:pPr>
              <w:jc w:val="center"/>
              <w:ind w:left="1568"/>
              <w:spacing w:after="0"/>
              <w:rPr>
                <w:sz w:val="20"/>
                <w:szCs w:val="20"/>
                <w:color w:val="auto"/>
              </w:rPr>
            </w:pPr>
            <w:r>
              <w:rPr>
                <w:rFonts w:ascii="Times New Roman" w:cs="Times New Roman" w:eastAsia="Times New Roman" w:hAnsi="Times New Roman"/>
                <w:sz w:val="14"/>
                <w:szCs w:val="14"/>
                <w:color w:val="auto"/>
              </w:rPr>
              <w:t>(Zip Code)</w:t>
            </w:r>
          </w:p>
        </w:tc>
      </w:tr>
    </w:tbl>
    <w:p>
      <w:pPr>
        <w:sectPr>
          <w:pgSz w:w="11900" w:h="16838" w:orient="portrait"/>
          <w:cols w:equalWidth="0" w:num="1">
            <w:col w:w="11240"/>
          </w:cols>
          <w:pgMar w:left="320" w:top="229" w:right="339" w:bottom="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(844) 933-3627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 telephone number, including area code)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2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1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186"/>
        </w:trPr>
        <w:tc>
          <w:tcPr>
            <w:tcW w:w="51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1920" w:type="dxa"/>
            <w:vAlign w:val="bottom"/>
          </w:tcPr>
          <w:p>
            <w:pPr>
              <w:jc w:val="center"/>
              <w:ind w:right="348"/>
              <w:spacing w:after="0"/>
              <w:rPr>
                <w:sz w:val="20"/>
                <w:szCs w:val="20"/>
                <w:color w:val="auto"/>
              </w:rPr>
            </w:pPr>
            <w:r>
              <w:rPr>
                <w:rFonts w:ascii="Times New Roman" w:cs="Times New Roman" w:eastAsia="Times New Roman" w:hAnsi="Times New Roman"/>
                <w:sz w:val="14"/>
                <w:szCs w:val="14"/>
                <w:color w:val="auto"/>
                <w:w w:val="99"/>
              </w:rPr>
              <w:t>MAPS</w:t>
            </w:r>
          </w:p>
        </w:tc>
        <w:tc>
          <w:tcPr>
            <w:tcW w:w="418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The Nasdaq Global Select Market</w:t>
            </w:r>
          </w:p>
        </w:tc>
      </w:tr>
      <w:tr>
        <w:trPr>
          <w:trHeight w:val="190"/>
        </w:trPr>
        <w:tc>
          <w:tcPr>
            <w:tcW w:w="51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Warrants, each whole warrant exercisable for one share of Class A Common Stock at</w:t>
            </w:r>
          </w:p>
        </w:tc>
        <w:tc>
          <w:tcPr>
            <w:tcW w:w="192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8"/>
        </w:trPr>
        <w:tc>
          <w:tcPr>
            <w:tcW w:w="51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an exercise price of $11.50 per share</w:t>
            </w:r>
          </w:p>
        </w:tc>
        <w:tc>
          <w:tcPr>
            <w:tcW w:w="1920" w:type="dxa"/>
            <w:vAlign w:val="bottom"/>
          </w:tcPr>
          <w:p>
            <w:pPr>
              <w:jc w:val="center"/>
              <w:ind w:right="348"/>
              <w:spacing w:after="0"/>
              <w:rPr>
                <w:sz w:val="20"/>
                <w:szCs w:val="20"/>
                <w:color w:val="auto"/>
              </w:rPr>
            </w:pPr>
            <w:r>
              <w:rPr>
                <w:rFonts w:ascii="Times New Roman" w:cs="Times New Roman" w:eastAsia="Times New Roman" w:hAnsi="Times New Roman"/>
                <w:sz w:val="14"/>
                <w:szCs w:val="14"/>
                <w:color w:val="auto"/>
              </w:rPr>
              <w:t>MAPSW</w:t>
            </w:r>
          </w:p>
        </w:tc>
        <w:tc>
          <w:tcPr>
            <w:tcW w:w="418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111" w:lineRule="exact"/>
        <w:rPr>
          <w:sz w:val="20"/>
          <w:szCs w:val="20"/>
          <w:color w:val="auto"/>
        </w:rPr>
      </w:pPr>
    </w:p>
    <w:p>
      <w:pPr>
        <w:jc w:val="both"/>
        <w:ind w:right="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2" w:lineRule="exact"/>
        <w:rPr>
          <w:sz w:val="20"/>
          <w:szCs w:val="20"/>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4" w:right="339" w:bottom="1440" w:gutter="0" w:footer="0" w:header="0"/>
        </w:sectPr>
      </w:pP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73" w:lineRule="exact"/>
        <w:rPr>
          <w:sz w:val="20"/>
          <w:szCs w:val="20"/>
          <w:color w:val="auto"/>
        </w:rPr>
      </w:pPr>
    </w:p>
    <w:p>
      <w:pPr>
        <w:sectPr>
          <w:pgSz w:w="11900" w:h="16838" w:orient="portrait"/>
          <w:cols w:equalWidth="0" w:num="6">
            <w:col w:w="2380" w:space="720"/>
            <w:col w:w="120" w:space="540"/>
            <w:col w:w="2360" w:space="720"/>
            <w:col w:w="140" w:space="520"/>
            <w:col w:w="2380" w:space="720"/>
            <w:col w:w="640"/>
          </w:cols>
          <w:pgMar w:left="320" w:top="114" w:right="339" w:bottom="1440" w:gutter="0" w:footer="0" w:header="0"/>
          <w:type w:val="continuous"/>
        </w:sectPr>
      </w:pPr>
    </w:p>
    <w:p>
      <w:pPr>
        <w:spacing w:after="0" w:line="21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0"/>
          <w:szCs w:val="20"/>
          <w:color w:val="auto"/>
        </w:rPr>
      </w:pPr>
    </w:p>
    <w:p>
      <w:pPr>
        <w:spacing w:after="0" w:line="161" w:lineRule="exact"/>
        <w:tabs>
          <w:tab w:leader="none" w:pos="6100" w:val="left"/>
          <w:tab w:leader="none" w:pos="67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August 5, 2022, there were 89,028,275 shares of the registrant’s Class A common stock outstanding and 56,274,066 shares of Class V common stock outstanding.</w:t>
      </w:r>
    </w:p>
    <w:p>
      <w:pPr>
        <w:sectPr>
          <w:pgSz w:w="11900" w:h="16838" w:orient="portrait"/>
          <w:cols w:equalWidth="0" w:num="1">
            <w:col w:w="11240"/>
          </w:cols>
          <w:pgMar w:left="320" w:top="114"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20" w:type="dxa"/>
            <w:vAlign w:val="bottom"/>
            <w:gridSpan w:val="10"/>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WM TECHNOLOGY, INC.</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gridSpan w:val="10"/>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8"/>
              </w:rPr>
              <w:t>Forward-Looking Statements</w:t>
            </w:r>
          </w:p>
        </w:tc>
        <w:tc>
          <w:tcPr>
            <w:tcW w:w="7120" w:type="dxa"/>
            <w:vAlign w:val="bottom"/>
            <w:gridSpan w:val="11"/>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Borders>
              <w:bottom w:val="single" w:sz="8" w:color="0000FF"/>
            </w:tcBorders>
            <w:gridSpan w:val="5"/>
            <w:vMerge w:val="continue"/>
          </w:tcPr>
          <w:p>
            <w:pPr>
              <w:spacing w:after="0"/>
              <w:rPr>
                <w:sz w:val="24"/>
                <w:szCs w:val="24"/>
                <w:color w:val="auto"/>
              </w:rPr>
            </w:pPr>
          </w:p>
        </w:tc>
        <w:tc>
          <w:tcPr>
            <w:tcW w:w="7120" w:type="dxa"/>
            <w:vAlign w:val="bottom"/>
            <w:gridSpan w:val="11"/>
            <w:vMerge w:val="continue"/>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03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EE"/>
                <w:w w:val="88"/>
              </w:rPr>
              <w:t>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EE"/>
                <w:w w:val="88"/>
              </w:rPr>
              <w:t>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June 30, 2022 and December 31, 2021</w:t>
            </w:r>
          </w:p>
        </w:tc>
        <w:tc>
          <w:tcPr>
            <w:tcW w:w="400" w:type="dxa"/>
            <w:vAlign w:val="bottom"/>
          </w:tcPr>
          <w:p>
            <w:pPr>
              <w:spacing w:after="0"/>
              <w:rPr>
                <w:sz w:val="20"/>
                <w:szCs w:val="20"/>
                <w:color w:val="auto"/>
              </w:rPr>
            </w:pPr>
          </w:p>
        </w:tc>
        <w:tc>
          <w:tcPr>
            <w:tcW w:w="8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88"/>
              </w:rPr>
              <w:t>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168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780" w:type="dxa"/>
            <w:vAlign w:val="bottom"/>
            <w:tcBorders>
              <w:bottom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Six Months Ended June 30, 2022 and 2021</w:t>
            </w:r>
          </w:p>
        </w:tc>
        <w:tc>
          <w:tcPr>
            <w:tcW w:w="480" w:type="dxa"/>
            <w:vAlign w:val="bottom"/>
            <w:gridSpan w:val="2"/>
          </w:tcPr>
          <w:p>
            <w:pPr>
              <w:jc w:val="center"/>
              <w:ind w:left="310"/>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7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for the Three and Six Months Ended June 30, 2022 and 2021</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EE"/>
                <w:w w:val="88"/>
              </w:rPr>
              <w:t>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3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2022 and 2021</w:t>
            </w:r>
          </w:p>
        </w:tc>
        <w:tc>
          <w:tcPr>
            <w:tcW w:w="400" w:type="dxa"/>
            <w:vAlign w:val="bottom"/>
          </w:tcPr>
          <w:p>
            <w:pPr>
              <w:spacing w:after="0"/>
              <w:rPr>
                <w:sz w:val="20"/>
                <w:szCs w:val="20"/>
                <w:color w:val="auto"/>
              </w:rPr>
            </w:pPr>
          </w:p>
        </w:tc>
        <w:tc>
          <w:tcPr>
            <w:tcW w:w="1460" w:type="dxa"/>
            <w:vAlign w:val="bottom"/>
            <w:gridSpan w:val="2"/>
          </w:tcPr>
          <w:p>
            <w:pPr>
              <w:spacing w:after="0"/>
              <w:rPr>
                <w:sz w:val="20"/>
                <w:szCs w:val="20"/>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EE"/>
                <w:w w:val="88"/>
              </w:rPr>
              <w:t>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380" w:type="dxa"/>
            <w:vAlign w:val="bottom"/>
            <w:gridSpan w:val="6"/>
          </w:tcPr>
          <w:p>
            <w:pPr>
              <w:spacing w:after="0"/>
              <w:rPr>
                <w:sz w:val="20"/>
                <w:szCs w:val="20"/>
                <w:color w:val="auto"/>
              </w:rPr>
            </w:pPr>
          </w:p>
        </w:tc>
        <w:tc>
          <w:tcPr>
            <w:tcW w:w="1860" w:type="dxa"/>
            <w:vAlign w:val="bottom"/>
            <w:gridSpan w:val="3"/>
          </w:tcPr>
          <w:p>
            <w:pPr>
              <w:spacing w:after="0"/>
              <w:rPr>
                <w:sz w:val="20"/>
                <w:szCs w:val="20"/>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EE"/>
                <w:w w:val="88"/>
              </w:rPr>
              <w:t>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EE"/>
                <w:w w:val="99"/>
              </w:rPr>
              <w:t>31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00" w:type="dxa"/>
            <w:vAlign w:val="bottom"/>
          </w:tcPr>
          <w:p>
            <w:pPr>
              <w:spacing w:after="0"/>
              <w:rPr>
                <w:sz w:val="20"/>
                <w:szCs w:val="20"/>
                <w:color w:val="auto"/>
              </w:rPr>
            </w:pP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47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202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600" w:type="dxa"/>
            <w:vAlign w:val="bottom"/>
            <w:gridSpan w:val="3"/>
          </w:tcPr>
          <w:p>
            <w:pPr>
              <w:spacing w:after="0"/>
              <w:rPr>
                <w:sz w:val="17"/>
                <w:szCs w:val="17"/>
                <w:color w:val="auto"/>
              </w:rPr>
            </w:pPr>
          </w:p>
        </w:tc>
        <w:tc>
          <w:tcPr>
            <w:tcW w:w="92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gridSpan w:val="3"/>
          </w:tcPr>
          <w:p>
            <w:pPr>
              <w:jc w:val="center"/>
              <w:ind w:left="250"/>
              <w:spacing w:after="0" w:line="196" w:lineRule="exact"/>
              <w:rPr>
                <w:sz w:val="20"/>
                <w:szCs w:val="20"/>
                <w:color w:val="auto"/>
              </w:rPr>
            </w:pPr>
            <w:r>
              <w:rPr>
                <w:rFonts w:ascii="Times New Roman" w:cs="Times New Roman" w:eastAsia="Times New Roman" w:hAnsi="Times New Roman"/>
                <w:sz w:val="18"/>
                <w:szCs w:val="18"/>
                <w:color w:val="0000EE"/>
                <w:w w:val="99"/>
              </w:rPr>
              <w:t>47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3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5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920" w:type="dxa"/>
            <w:vAlign w:val="bottom"/>
            <w:gridSpan w:val="10"/>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80" w:type="dxa"/>
            <w:vAlign w:val="bottom"/>
            <w:gridSpan w:val="1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16"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ind w:left="660" w:hanging="328"/>
        <w:spacing w:after="0" w:line="21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ind w:left="660" w:hanging="328"/>
        <w:spacing w:after="0" w:line="234"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ind w:left="660" w:hanging="328"/>
        <w:spacing w:after="0" w:line="234"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 sided digital network, including our ability to acquire and retain paying clients;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 and</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21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Annual Report on Form 10-K for the year ended December 31, 2021, filed with the SEC on February 25, 2022.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21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8"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67,777</w:t>
            </w: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98,934</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36,549</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152,097</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365,144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23,155</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39,377</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128,567</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233,204</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3)</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 and</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June 30, 2022 and December 31, 2021</w:t>
            </w:r>
          </w:p>
        </w:tc>
        <w:tc>
          <w:tcPr>
            <w:tcW w:w="280" w:type="dxa"/>
            <w:vAlign w:val="bottom"/>
          </w:tcPr>
          <w:p>
            <w:pPr>
              <w:spacing w:after="0"/>
              <w:rPr>
                <w:sz w:val="21"/>
                <w:szCs w:val="21"/>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 $0.0001 par value; 1,500,000,000 shares authorized; 88,836,328</w:t>
            </w: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shares issued and outstanding at June 30, 2022 and 65,677,361 shares issued and outstanding</w:t>
            </w: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at December 31, 2021</w:t>
            </w:r>
          </w:p>
        </w:tc>
        <w:tc>
          <w:tcPr>
            <w:tcW w:w="2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75"/>
        </w:trPr>
        <w:tc>
          <w:tcPr>
            <w:tcW w:w="72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V Common Stock - $0.0001 par value; 500,000,000 shares authorized, 56,466,013 shares</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issued and outstanding at June 30, 2022 and 65,502,347 shares issued and outstanding at</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2021</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61,369</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63,556</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68,384</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131,940</w:t>
            </w:r>
          </w:p>
        </w:tc>
        <w:tc>
          <w:tcPr>
            <w:tcW w:w="0" w:type="dxa"/>
            <w:vAlign w:val="bottom"/>
          </w:tcPr>
          <w:p>
            <w:pPr>
              <w:spacing w:after="0"/>
              <w:rPr>
                <w:sz w:val="1"/>
                <w:szCs w:val="1"/>
                <w:color w:val="auto"/>
              </w:rPr>
            </w:pPr>
          </w:p>
        </w:tc>
      </w:tr>
      <w:tr>
        <w:trPr>
          <w:trHeight w:val="223"/>
        </w:trPr>
        <w:tc>
          <w:tcPr>
            <w:tcW w:w="7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365,144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229"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360" w:type="dxa"/>
            <w:vAlign w:val="bottom"/>
            <w:gridSpan w:val="5"/>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WM TECHNOLOGY, INC. AND SUBSIDIARIES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00" w:type="dxa"/>
            <w:vAlign w:val="bottom"/>
            <w:gridSpan w:val="8"/>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360" w:type="dxa"/>
            <w:vAlign w:val="bottom"/>
            <w:gridSpan w:val="5"/>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data)</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4"/>
                <w:szCs w:val="24"/>
                <w:color w:val="auto"/>
              </w:rPr>
            </w:pPr>
          </w:p>
        </w:tc>
        <w:tc>
          <w:tcPr>
            <w:tcW w:w="22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23"/>
        </w:trPr>
        <w:tc>
          <w:tcPr>
            <w:tcW w:w="128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88,085</w:t>
            </w:r>
          </w:p>
        </w:tc>
      </w:tr>
      <w:tr>
        <w:trPr>
          <w:trHeight w:val="257"/>
        </w:trPr>
        <w:tc>
          <w:tcPr>
            <w:tcW w:w="474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r>
      <w:tr>
        <w:trPr>
          <w:trHeight w:val="229"/>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24,388</w:t>
            </w:r>
          </w:p>
        </w:tc>
      </w:tr>
      <w:tr>
        <w:trPr>
          <w:trHeight w:val="230"/>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w:t>
            </w:r>
          </w:p>
        </w:tc>
      </w:tr>
      <w:tr>
        <w:trPr>
          <w:trHeight w:val="229"/>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47,136</w:t>
            </w:r>
          </w:p>
        </w:tc>
      </w:tr>
      <w:tr>
        <w:trPr>
          <w:trHeight w:val="229"/>
        </w:trPr>
        <w:tc>
          <w:tcPr>
            <w:tcW w:w="4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23"/>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95,418</w:t>
            </w: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w:t>
            </w: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w:t>
            </w:r>
          </w:p>
        </w:tc>
      </w:tr>
      <w:tr>
        <w:trPr>
          <w:trHeight w:val="230"/>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r>
      <w:tr>
        <w:trPr>
          <w:trHeight w:val="223"/>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24,417</w:t>
            </w:r>
          </w:p>
        </w:tc>
      </w:tr>
      <w:tr>
        <w:trPr>
          <w:trHeight w:val="230"/>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w:t>
            </w:r>
          </w:p>
        </w:tc>
      </w:tr>
      <w:tr>
        <w:trPr>
          <w:trHeight w:val="229"/>
        </w:trPr>
        <w:tc>
          <w:tcPr>
            <w:tcW w:w="4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w:t>
            </w:r>
          </w:p>
        </w:tc>
      </w:tr>
      <w:tr>
        <w:trPr>
          <w:trHeight w:val="223"/>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16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86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8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70"/>
        </w:trPr>
        <w:tc>
          <w:tcPr>
            <w:tcW w:w="4740" w:type="dxa"/>
            <w:vAlign w:val="bottom"/>
            <w:gridSpan w:val="2"/>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86,425,352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63,738,563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79,476,383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63,738,563</w:t>
            </w:r>
          </w:p>
        </w:tc>
      </w:tr>
      <w:tr>
        <w:trPr>
          <w:trHeight w:val="234"/>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87,230,850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71,347,746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79,476,383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71,347,746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-3919855</wp:posOffset>
            </wp:positionV>
            <wp:extent cx="60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1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11"/>
          </w:tcPr>
          <w:p>
            <w:pPr>
              <w:ind w:left="200"/>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2022</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0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080" w:type="dxa"/>
            <w:vAlign w:val="bottom"/>
            <w:tcBorders>
              <w:bottom w:val="single" w:sz="8" w:color="auto"/>
            </w:tcBorders>
            <w:gridSpan w:val="2"/>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bottom w:val="single" w:sz="8" w:color="auto"/>
            </w:tcBorders>
            <w:gridSpan w:val="2"/>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9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65,677,361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65,502,347</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61,369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63,556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68,384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131,940</w:t>
            </w:r>
          </w:p>
        </w:tc>
        <w:tc>
          <w:tcPr>
            <w:tcW w:w="0" w:type="dxa"/>
            <w:vAlign w:val="bottom"/>
          </w:tcPr>
          <w:p>
            <w:pPr>
              <w:spacing w:after="0"/>
              <w:rPr>
                <w:sz w:val="1"/>
                <w:szCs w:val="1"/>
                <w:color w:val="auto"/>
              </w:rPr>
            </w:pPr>
          </w:p>
        </w:tc>
      </w:tr>
      <w:tr>
        <w:trPr>
          <w:trHeight w:val="195"/>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0" w:type="dxa"/>
            <w:vAlign w:val="bottom"/>
          </w:tcPr>
          <w:p>
            <w:pPr>
              <w:spacing w:after="0"/>
              <w:rPr>
                <w:sz w:val="1"/>
                <w:szCs w:val="1"/>
                <w:color w:val="auto"/>
              </w:rPr>
            </w:pPr>
          </w:p>
        </w:tc>
      </w:tr>
      <w:tr>
        <w:trPr>
          <w:trHeight w:val="146"/>
        </w:trPr>
        <w:tc>
          <w:tcPr>
            <w:tcW w:w="24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common stock - vesting of</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restricted stock units, net of shares</w:t>
            </w: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879,284</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withheld for taxes</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4,721,706</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12,836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12,836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15,889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28,725</w:t>
            </w:r>
          </w:p>
        </w:tc>
        <w:tc>
          <w:tcPr>
            <w:tcW w:w="0" w:type="dxa"/>
            <w:vAlign w:val="bottom"/>
          </w:tcPr>
          <w:p>
            <w:pPr>
              <w:spacing w:after="0"/>
              <w:rPr>
                <w:sz w:val="1"/>
                <w:szCs w:val="1"/>
                <w:color w:val="auto"/>
              </w:rPr>
            </w:pPr>
          </w:p>
        </w:tc>
      </w:tr>
      <w:tr>
        <w:trPr>
          <w:trHeight w:val="193"/>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(Note 6)</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Issuance of common stock - Class A</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4,295,574</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(4,295,574)</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Unit exchange</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Issuance of common stock - Class P</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7,525,045</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6,427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6,427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Unit exchange</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Issuance of common stock - warrants</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Impact of Tax Receivable Agreement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11,625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11,625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0" w:type="dxa"/>
            <w:vAlign w:val="bottom"/>
          </w:tcPr>
          <w:p>
            <w:pPr>
              <w:spacing w:after="0"/>
              <w:rPr>
                <w:sz w:val="1"/>
                <w:szCs w:val="1"/>
                <w:color w:val="auto"/>
              </w:rPr>
            </w:pPr>
          </w:p>
        </w:tc>
      </w:tr>
      <w:tr>
        <w:trPr>
          <w:trHeight w:val="193"/>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due to exchanges of Class A Units</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(31,233)</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83,098,990</w:t>
            </w: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61,206,773</w:t>
            </w: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43,970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47,476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91,460</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57,511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148,971</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8,613</w:t>
            </w:r>
          </w:p>
        </w:tc>
        <w:tc>
          <w:tcPr>
            <w:tcW w:w="0" w:type="dxa"/>
            <w:vAlign w:val="bottom"/>
          </w:tcPr>
          <w:p>
            <w:pPr>
              <w:spacing w:after="0"/>
              <w:rPr>
                <w:sz w:val="1"/>
                <w:szCs w:val="1"/>
                <w:color w:val="auto"/>
              </w:rPr>
            </w:pPr>
          </w:p>
        </w:tc>
      </w:tr>
      <w:tr>
        <w:trPr>
          <w:trHeight w:val="195"/>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0" w:type="dxa"/>
            <w:vAlign w:val="bottom"/>
          </w:tcPr>
          <w:p>
            <w:pPr>
              <w:spacing w:after="0"/>
              <w:rPr>
                <w:sz w:val="1"/>
                <w:szCs w:val="1"/>
                <w:color w:val="auto"/>
              </w:rPr>
            </w:pPr>
          </w:p>
        </w:tc>
      </w:tr>
      <w:tr>
        <w:trPr>
          <w:trHeight w:val="146"/>
        </w:trPr>
        <w:tc>
          <w:tcPr>
            <w:tcW w:w="24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common stock - vesting of</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543,118</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stock units</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Impact of Tax Receivable Agreement</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0" w:type="dxa"/>
            <w:vAlign w:val="bottom"/>
          </w:tcPr>
          <w:p>
            <w:pPr>
              <w:spacing w:after="0"/>
              <w:rPr>
                <w:sz w:val="1"/>
                <w:szCs w:val="1"/>
                <w:color w:val="auto"/>
              </w:rPr>
            </w:pPr>
          </w:p>
        </w:tc>
      </w:tr>
      <w:tr>
        <w:trPr>
          <w:trHeight w:val="193"/>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due to exchanges of Class A Units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Class A Common shares issued - Class</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4,740,760</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(4,740,760)</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4,436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 Unit exchange</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Class A Common shares issued - Class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453,460</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 Unit exchange</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19,848</w:t>
            </w:r>
          </w:p>
        </w:tc>
        <w:tc>
          <w:tcPr>
            <w:tcW w:w="0" w:type="dxa"/>
            <w:vAlign w:val="bottom"/>
          </w:tcPr>
          <w:p>
            <w:pPr>
              <w:spacing w:after="0"/>
              <w:rPr>
                <w:sz w:val="1"/>
                <w:szCs w:val="1"/>
                <w:color w:val="auto"/>
              </w:rPr>
            </w:pPr>
          </w:p>
        </w:tc>
      </w:tr>
      <w:tr>
        <w:trPr>
          <w:trHeight w:val="202"/>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88,836,328</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56,466,013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59,135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59,168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118,317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59,607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177,924</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229"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right="220"/>
        <w:spacing w:after="0" w:line="253" w:lineRule="auto"/>
        <w:rPr>
          <w:sz w:val="20"/>
          <w:szCs w:val="20"/>
          <w:color w:val="auto"/>
        </w:rPr>
      </w:pPr>
      <w:r>
        <w:rPr>
          <w:rFonts w:ascii="Times New Roman" w:cs="Times New Roman" w:eastAsia="Times New Roman" w:hAnsi="Times New Roman"/>
          <w:sz w:val="14"/>
          <w:szCs w:val="14"/>
          <w:b w:val="1"/>
          <w:bCs w:val="1"/>
          <w:color w:val="auto"/>
        </w:rPr>
        <w:t>As of December 31, 2020</w:t>
      </w:r>
    </w:p>
    <w:p>
      <w:pPr>
        <w:ind w:left="140" w:right="400"/>
        <w:spacing w:after="0" w:line="251" w:lineRule="auto"/>
        <w:rPr>
          <w:sz w:val="20"/>
          <w:szCs w:val="20"/>
          <w:color w:val="auto"/>
        </w:rPr>
      </w:pPr>
      <w:r>
        <w:rPr>
          <w:rFonts w:ascii="Times New Roman" w:cs="Times New Roman" w:eastAsia="Times New Roman" w:hAnsi="Times New Roman"/>
          <w:sz w:val="14"/>
          <w:szCs w:val="14"/>
          <w:color w:val="auto"/>
        </w:rPr>
        <w:t>Distributions to members</w:t>
      </w:r>
    </w:p>
    <w:p>
      <w:pPr>
        <w:spacing w:after="0" w:line="1" w:lineRule="exact"/>
        <w:rPr>
          <w:sz w:val="20"/>
          <w:szCs w:val="20"/>
          <w:color w:val="auto"/>
        </w:rPr>
      </w:pPr>
    </w:p>
    <w:p>
      <w:pPr>
        <w:ind w:left="140"/>
        <w:spacing w:after="0" w:line="251" w:lineRule="auto"/>
        <w:rPr>
          <w:sz w:val="20"/>
          <w:szCs w:val="20"/>
          <w:color w:val="auto"/>
        </w:rPr>
      </w:pPr>
      <w:r>
        <w:rPr>
          <w:rFonts w:ascii="Times New Roman" w:cs="Times New Roman" w:eastAsia="Times New Roman" w:hAnsi="Times New Roman"/>
          <w:sz w:val="14"/>
          <w:szCs w:val="14"/>
          <w:color w:val="auto"/>
        </w:rPr>
        <w:t>Repurchase of Class B Units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income</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2021</w:t>
      </w:r>
    </w:p>
    <w:p>
      <w:pPr>
        <w:spacing w:after="0" w:line="44" w:lineRule="exact"/>
        <w:rPr>
          <w:sz w:val="20"/>
          <w:szCs w:val="20"/>
          <w:color w:val="auto"/>
        </w:rPr>
      </w:pPr>
    </w:p>
    <w:p>
      <w:pPr>
        <w:ind w:left="140" w:right="500"/>
        <w:spacing w:after="0" w:line="251" w:lineRule="auto"/>
        <w:rPr>
          <w:sz w:val="20"/>
          <w:szCs w:val="20"/>
          <w:color w:val="auto"/>
        </w:rPr>
      </w:pPr>
      <w:r>
        <w:rPr>
          <w:rFonts w:ascii="Times New Roman" w:cs="Times New Roman" w:eastAsia="Times New Roman" w:hAnsi="Times New Roman"/>
          <w:sz w:val="14"/>
          <w:szCs w:val="14"/>
          <w:color w:val="auto"/>
        </w:rPr>
        <w:t>Share-based compensation</w:t>
      </w:r>
    </w:p>
    <w:p>
      <w:pPr>
        <w:spacing w:after="0" w:line="1" w:lineRule="exact"/>
        <w:rPr>
          <w:sz w:val="20"/>
          <w:szCs w:val="20"/>
          <w:color w:val="auto"/>
        </w:rPr>
      </w:pPr>
    </w:p>
    <w:p>
      <w:pPr>
        <w:ind w:left="140" w:right="400"/>
        <w:spacing w:after="0" w:line="251" w:lineRule="auto"/>
        <w:rPr>
          <w:sz w:val="20"/>
          <w:szCs w:val="20"/>
          <w:color w:val="auto"/>
        </w:rPr>
      </w:pPr>
      <w:r>
        <w:rPr>
          <w:rFonts w:ascii="Times New Roman" w:cs="Times New Roman" w:eastAsia="Times New Roman" w:hAnsi="Times New Roman"/>
          <w:sz w:val="14"/>
          <w:szCs w:val="14"/>
          <w:color w:val="auto"/>
        </w:rPr>
        <w:t>Distributions to members</w:t>
      </w:r>
    </w:p>
    <w:p>
      <w:pPr>
        <w:spacing w:after="0" w:line="1" w:lineRule="exact"/>
        <w:rPr>
          <w:sz w:val="20"/>
          <w:szCs w:val="20"/>
          <w:color w:val="auto"/>
        </w:rPr>
      </w:pPr>
    </w:p>
    <w:p>
      <w:pPr>
        <w:ind w:left="140"/>
        <w:spacing w:after="0" w:line="251" w:lineRule="auto"/>
        <w:rPr>
          <w:sz w:val="20"/>
          <w:szCs w:val="20"/>
          <w:color w:val="auto"/>
        </w:rPr>
      </w:pPr>
      <w:r>
        <w:rPr>
          <w:rFonts w:ascii="Times New Roman" w:cs="Times New Roman" w:eastAsia="Times New Roman" w:hAnsi="Times New Roman"/>
          <w:sz w:val="14"/>
          <w:szCs w:val="14"/>
          <w:color w:val="auto"/>
        </w:rPr>
        <w:t>Repurchase of Class B Units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Proceeds and shares</w:t>
      </w:r>
    </w:p>
    <w:p>
      <w:pPr>
        <w:spacing w:after="0" w:line="4" w:lineRule="exact"/>
        <w:rPr>
          <w:sz w:val="20"/>
          <w:szCs w:val="20"/>
          <w:color w:val="auto"/>
        </w:rPr>
      </w:pPr>
    </w:p>
    <w:p>
      <w:pPr>
        <w:jc w:val="both"/>
        <w:ind w:left="140" w:right="40"/>
        <w:spacing w:after="0" w:line="229" w:lineRule="auto"/>
        <w:rPr>
          <w:sz w:val="20"/>
          <w:szCs w:val="20"/>
          <w:color w:val="auto"/>
        </w:rPr>
      </w:pPr>
      <w:r>
        <w:rPr>
          <w:rFonts w:ascii="Times New Roman" w:cs="Times New Roman" w:eastAsia="Times New Roman" w:hAnsi="Times New Roman"/>
          <w:sz w:val="14"/>
          <w:szCs w:val="14"/>
          <w:color w:val="auto"/>
        </w:rPr>
        <w:t>issued in the Business Combination (Note 6)</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income</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9"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61893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0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00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100" w:type="dxa"/>
            <w:vAlign w:val="bottom"/>
          </w:tcPr>
          <w:p>
            <w:pPr>
              <w:spacing w:after="0"/>
              <w:rPr>
                <w:sz w:val="11"/>
                <w:szCs w:val="11"/>
                <w:color w:val="auto"/>
              </w:rPr>
            </w:pPr>
          </w:p>
        </w:tc>
        <w:tc>
          <w:tcPr>
            <w:tcW w:w="98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Members’</w:t>
            </w:r>
          </w:p>
        </w:tc>
        <w:tc>
          <w:tcPr>
            <w:tcW w:w="140" w:type="dxa"/>
            <w:vAlign w:val="bottom"/>
          </w:tcPr>
          <w:p>
            <w:pPr>
              <w:spacing w:after="0"/>
              <w:rPr>
                <w:sz w:val="12"/>
                <w:szCs w:val="12"/>
                <w:color w:val="auto"/>
              </w:rPr>
            </w:pPr>
          </w:p>
        </w:tc>
        <w:tc>
          <w:tcPr>
            <w:tcW w:w="10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29,271</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29,271</w:t>
            </w:r>
          </w:p>
        </w:tc>
        <w:tc>
          <w:tcPr>
            <w:tcW w:w="0" w:type="dxa"/>
            <w:vAlign w:val="bottom"/>
          </w:tcPr>
          <w:p>
            <w:pPr>
              <w:spacing w:after="0"/>
              <w:rPr>
                <w:sz w:val="1"/>
                <w:szCs w:val="1"/>
                <w:color w:val="auto"/>
              </w:rPr>
            </w:pPr>
          </w:p>
        </w:tc>
      </w:tr>
      <w:tr>
        <w:trPr>
          <w:trHeight w:val="33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(10,513)</w:t>
            </w:r>
          </w:p>
        </w:tc>
        <w:tc>
          <w:tcPr>
            <w:tcW w:w="0" w:type="dxa"/>
            <w:vAlign w:val="bottom"/>
          </w:tcPr>
          <w:p>
            <w:pPr>
              <w:spacing w:after="0"/>
              <w:rPr>
                <w:sz w:val="1"/>
                <w:szCs w:val="1"/>
                <w:color w:val="auto"/>
              </w:rPr>
            </w:pPr>
          </w:p>
        </w:tc>
      </w:tr>
      <w:tr>
        <w:trPr>
          <w:trHeight w:val="33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7,731</w:t>
            </w:r>
          </w:p>
        </w:tc>
        <w:tc>
          <w:tcPr>
            <w:tcW w:w="0" w:type="dxa"/>
            <w:vAlign w:val="bottom"/>
          </w:tcPr>
          <w:p>
            <w:pPr>
              <w:spacing w:after="0"/>
              <w:rPr>
                <w:sz w:val="1"/>
                <w:szCs w:val="1"/>
                <w:color w:val="auto"/>
              </w:rPr>
            </w:pPr>
          </w:p>
        </w:tc>
      </w:tr>
      <w:tr>
        <w:trPr>
          <w:trHeight w:val="2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26,383</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26,383</w:t>
            </w:r>
          </w:p>
        </w:tc>
        <w:tc>
          <w:tcPr>
            <w:tcW w:w="0" w:type="dxa"/>
            <w:vAlign w:val="bottom"/>
          </w:tcPr>
          <w:p>
            <w:pPr>
              <w:spacing w:after="0"/>
              <w:rPr>
                <w:sz w:val="1"/>
                <w:szCs w:val="1"/>
                <w:color w:val="auto"/>
              </w:rPr>
            </w:pPr>
          </w:p>
        </w:tc>
      </w:tr>
      <w:tr>
        <w:trPr>
          <w:trHeight w:val="32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19,433</w:t>
            </w:r>
          </w:p>
        </w:tc>
        <w:tc>
          <w:tcPr>
            <w:tcW w:w="0" w:type="dxa"/>
            <w:vAlign w:val="bottom"/>
          </w:tcPr>
          <w:p>
            <w:pPr>
              <w:spacing w:after="0"/>
              <w:rPr>
                <w:sz w:val="1"/>
                <w:szCs w:val="1"/>
                <w:color w:val="auto"/>
              </w:rPr>
            </w:pPr>
          </w:p>
        </w:tc>
      </w:tr>
      <w:tr>
        <w:trPr>
          <w:trHeight w:val="33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(7,597)</w:t>
            </w:r>
          </w:p>
        </w:tc>
        <w:tc>
          <w:tcPr>
            <w:tcW w:w="0" w:type="dxa"/>
            <w:vAlign w:val="bottom"/>
          </w:tcPr>
          <w:p>
            <w:pPr>
              <w:spacing w:after="0"/>
              <w:rPr>
                <w:sz w:val="1"/>
                <w:szCs w:val="1"/>
                <w:color w:val="auto"/>
              </w:rPr>
            </w:pPr>
          </w:p>
        </w:tc>
      </w:tr>
      <w:tr>
        <w:trPr>
          <w:trHeight w:val="33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0" w:type="dxa"/>
            <w:vAlign w:val="bottom"/>
          </w:tcPr>
          <w:p>
            <w:pPr>
              <w:spacing w:after="0"/>
              <w:rPr>
                <w:sz w:val="1"/>
                <w:szCs w:val="1"/>
                <w:color w:val="auto"/>
              </w:rPr>
            </w:pPr>
          </w:p>
        </w:tc>
      </w:tr>
      <w:tr>
        <w:trPr>
          <w:trHeight w:val="486"/>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63,738,563</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65,502,347</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(20,212)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(85,312)</w:t>
            </w: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16,837</w:t>
            </w:r>
          </w:p>
        </w:tc>
        <w:tc>
          <w:tcPr>
            <w:tcW w:w="0" w:type="dxa"/>
            <w:vAlign w:val="bottom"/>
          </w:tcPr>
          <w:p>
            <w:pPr>
              <w:spacing w:after="0"/>
              <w:rPr>
                <w:sz w:val="1"/>
                <w:szCs w:val="1"/>
                <w:color w:val="auto"/>
              </w:rPr>
            </w:pPr>
          </w:p>
        </w:tc>
      </w:tr>
      <w:tr>
        <w:trPr>
          <w:trHeight w:val="2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63,738,563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6"/>
                <w:szCs w:val="16"/>
                <w:color w:val="auto"/>
              </w:rPr>
            </w:pPr>
          </w:p>
        </w:tc>
        <w:tc>
          <w:tcPr>
            <w:tcW w:w="9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65,502,347</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(20,212)</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(14,950)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(20,765)</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(35,715)</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-2159635</wp:posOffset>
            </wp:positionV>
            <wp:extent cx="7132320"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-1731010</wp:posOffset>
            </wp:positionV>
            <wp:extent cx="7132320"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-1388110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-1036320</wp:posOffset>
            </wp:positionV>
            <wp:extent cx="713232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-607695</wp:posOffset>
            </wp:positionV>
            <wp:extent cx="71323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-170815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40" w:space="60"/>
            <w:col w:w="9740"/>
          </w:cols>
          <w:pgMar w:left="320" w:top="229"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0" w:type="dxa"/>
            <w:vAlign w:val="bottom"/>
            <w:tcBorders>
              <w:bottom w:val="single" w:sz="8" w:color="auto"/>
            </w:tcBorders>
          </w:tcPr>
          <w:p>
            <w:pPr>
              <w:spacing w:after="0"/>
              <w:rPr>
                <w:sz w:val="18"/>
                <w:szCs w:val="18"/>
                <w:color w:val="auto"/>
              </w:rPr>
            </w:pPr>
          </w:p>
        </w:tc>
      </w:tr>
      <w:tr>
        <w:trPr>
          <w:trHeight w:val="211"/>
        </w:trPr>
        <w:tc>
          <w:tcPr>
            <w:tcW w:w="7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r>
      <w:tr>
        <w:trPr>
          <w:trHeight w:val="19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(11,385)</w:t>
            </w:r>
          </w:p>
        </w:tc>
        <w:tc>
          <w:tcPr>
            <w:tcW w:w="10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24,568</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provided by operating activities: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(37,791)</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loss on right-of-use asset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19,433</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4,362</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r>
      <w:tr>
        <w:trPr>
          <w:trHeight w:val="20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16,539</w:t>
            </w:r>
          </w:p>
        </w:tc>
      </w:tr>
      <w:tr>
        <w:trPr>
          <w:trHeight w:val="253"/>
        </w:trPr>
        <w:tc>
          <w:tcPr>
            <w:tcW w:w="79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14"/>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8"/>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for acquisition holdback release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(10,267)</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w:t>
            </w:r>
          </w:p>
        </w:tc>
      </w:tr>
      <w:tr>
        <w:trPr>
          <w:trHeight w:val="199"/>
        </w:trPr>
        <w:tc>
          <w:tcPr>
            <w:tcW w:w="79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4"/>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8"/>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the Business Combination</w:t>
            </w:r>
          </w:p>
        </w:tc>
        <w:tc>
          <w:tcPr>
            <w:tcW w:w="9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80,284</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note payable</w:t>
            </w: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Distributions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(18,110)</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Class B Units</w:t>
            </w: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(5,565)</w:t>
            </w:r>
          </w:p>
        </w:tc>
      </w:tr>
      <w:tr>
        <w:trPr>
          <w:trHeight w:val="213"/>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Repayments of insurance premium financing</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-4319905</wp:posOffset>
            </wp:positionV>
            <wp:extent cx="59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(decrease) increase in cash</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 beginning of period</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 end of period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60" w:type="dxa"/>
            <w:vAlign w:val="bottom"/>
          </w:tcPr>
          <w:p>
            <w:pPr>
              <w:spacing w:after="0"/>
              <w:rPr>
                <w:sz w:val="18"/>
                <w:szCs w:val="18"/>
                <w:color w:val="auto"/>
              </w:rPr>
            </w:pPr>
          </w:p>
        </w:tc>
        <w:tc>
          <w:tcPr>
            <w:tcW w:w="102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rPr>
              <w:t>(20,173)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71,743</w:t>
            </w:r>
          </w:p>
        </w:tc>
      </w:tr>
      <w:tr>
        <w:trPr>
          <w:trHeight w:val="219"/>
        </w:trPr>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67,777</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19,919</w:t>
            </w:r>
          </w:p>
        </w:tc>
      </w:tr>
      <w:tr>
        <w:trPr>
          <w:trHeight w:val="210"/>
        </w:trPr>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47,604</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91,662</w:t>
            </w:r>
          </w:p>
        </w:tc>
      </w:tr>
      <w:tr>
        <w:trPr>
          <w:trHeight w:val="23"/>
        </w:trPr>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-453390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-179705</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229" w:right="339"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r>
      <w:tr>
        <w:trPr>
          <w:trHeight w:val="211"/>
        </w:trPr>
        <w:tc>
          <w:tcPr>
            <w:tcW w:w="79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r>
      <w:tr>
        <w:trPr>
          <w:trHeight w:val="19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activities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equity for acquisitions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28,725</w:t>
            </w:r>
          </w:p>
        </w:tc>
        <w:tc>
          <w:tcPr>
            <w:tcW w:w="1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 premium financing</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11,092</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capitalized for software development</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 assumed in connection with acquisition</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Holdback liability recognized in connection with acquisition</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assets included in accounts payable and accrued expenses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Warranty liability assumed from the Business Combination</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193,978</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receivable agreement liability recognized in connection with the Business Combination</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126,150</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assets recognized in connection with the Business Combination</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147,973</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assumed from the Business Combination</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-1508125</wp:posOffset>
            </wp:positionV>
            <wp:extent cx="59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Business and Organization</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WM Technology, Inc. (the “Company”) is one of the oldest and largest marketplace and technology solutions providers exclusively servicing the cannabis industry, primarily consumers, retailers, delivery services and brands in the United States state-legal and Canadian cannabis markets. The Company’s business primarily consists of its commerce-driven marketplace, Weedmaps, and its monthly subscription software offering, WM Business. The Company’s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the Company’s website and mobile apps, permitting product discovery, access to deals and discounts, and reservation of products for pickup by consumers or delivery to consumers by participating retailers. WM Business, the Company’s subscription package, is a comprehensive set of eCommerce and compliance software solutions catered towards cannabis retailers, delivery services and brands where clients receive access to a standard listing page and its suite of software solutions, including WM Orders, WM Dispatch, WM Store, WM Dashboard, WM Connectors (integrations and API platform), as well as access to its WM Exchange products, where available. The Company charges a monthly fee to clients for access to its WM Business subscription package and then offers other add-on products for additional fees, including its featured listings and its Sprout (client relationship management), Cannveya (delivery and logistics software) and Enlighten (software, digital signage services and multi-media offerings) solutions. The Company sells its WM Business offering in the United States, currently offers some of its WM Business solutions in Canada and has a limited number of non-monetized listings in several other countries including Austria, Germany, the Netherlands, Spain and Switzerland. The Company operates in the United States, Canada, and other foreign jurisdictions where medical and/or adult cannabis use is legal under state or applicable national law. The Company is headquartered in Irvine, California.</w:t>
      </w:r>
    </w:p>
    <w:p>
      <w:pPr>
        <w:spacing w:after="0" w:line="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summary of significant accounting policies presented below is designed to assist in understanding the Company’s condensed consolidated financial statements. Such condensed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86"/>
        <w:spacing w:after="0" w:line="271"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GAAP and applicable rules and regulations of the U.S.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2021, filed with the SEC on February 25, 2022. The condensed financial statements of the Company include all adjustments of a normal recurring nature which, in the opinion of management, are necessary for a fair statement of the Company’s financial position as of June 30, 2022, and results of its operations and its cash flows for the interim periods presented. The results of operations for the three and six months ended June 30, 2022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6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Accordingly, for accounting purposes, the Reverse Recapitalization was treated as the equivalent of Legacy WMH issuing stock for the net assets of Silver Spike, accompanied by a recapitalization.</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Legacy WMH was determined to be the accounting acquirer based on evaluation of the following facts and circumstances:</w:t>
      </w:r>
    </w:p>
    <w:p>
      <w:pPr>
        <w:spacing w:after="0" w:line="63" w:lineRule="exact"/>
        <w:rPr>
          <w:sz w:val="20"/>
          <w:szCs w:val="20"/>
          <w:color w:val="auto"/>
        </w:rPr>
      </w:pPr>
    </w:p>
    <w:p>
      <w:pPr>
        <w:ind w:left="1300" w:right="20" w:hanging="320"/>
        <w:spacing w:after="0" w:line="281"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Class A Unit holders, through their ownership of the Class V Common Stock, had the greatest voting interest in the Company with over 50% of the voting interest;</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selected the majority of the new board of directors of the Company;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senior management was the senior management of the Company;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was the larger entity based on historical operating activity and had the larger employee base.</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Thus, the financial statements included in this quarterly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WM Technology, Inc. and WM Holding Company, LLC, including their wholly and majority owned subsidiaries. In conformity with GAAP, all significant intercompany accounts and transactions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tax receivable agreement liability, revenue recognition, stock-based compensation, and the recognition and disclosure of contingent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Currently, the majority of U.S. states permit medical cannabis, and several permit adult use.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8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5" w:lineRule="exact"/>
        <w:rPr>
          <w:sz w:val="20"/>
          <w:szCs w:val="20"/>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Accounts receivable is recorded at the invoiced amount and does not bear interest.</w:t>
      </w:r>
    </w:p>
    <w:p>
      <w:pPr>
        <w:spacing w:after="0" w:line="115"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 Credit Losses</w:t>
      </w:r>
      <w:r>
        <w:rPr>
          <w:rFonts w:ascii="Times New Roman" w:cs="Times New Roman" w:eastAsia="Times New Roman" w:hAnsi="Times New Roman"/>
          <w:sz w:val="18"/>
          <w:szCs w:val="18"/>
          <w:color w:val="auto"/>
        </w:rPr>
        <w:t>, which is based on the expected losses rather than incurred losses. Under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loss model, lifetime expected credit losses are measured and recognized at each reporting date based on historical, current and forecast information.</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those trade receivables that have similar risk characteristics. For those trade receivables that do not share similar risk characteristics, the allowance for doubtful accounts is calculated on an individual basis. Risk characteristics relevant to the Company’s accounts receivable include balance of customer account and aging status.</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recorded a provision for doubtful accounts of $8.0 million and $5.2 million as of June 30, 2022 and December 31, 2021, respectively.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doubtful accounts: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beginning of period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6"/>
              </w:rPr>
              <w:t>675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5,169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6"/>
              </w:rPr>
              <w:t>914</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 to allowance</w:t>
            </w:r>
          </w:p>
        </w:tc>
        <w:tc>
          <w:tcPr>
            <w:tcW w:w="260" w:type="dxa"/>
            <w:vAlign w:val="bottom"/>
          </w:tcPr>
          <w:p>
            <w:pPr>
              <w:spacing w:after="0"/>
              <w:rPr>
                <w:sz w:val="19"/>
                <w:szCs w:val="19"/>
                <w:color w:val="auto"/>
              </w:rPr>
            </w:pPr>
          </w:p>
        </w:tc>
        <w:tc>
          <w:tcPr>
            <w:tcW w:w="12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6"/>
              </w:rPr>
              <w:t>545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4,691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6"/>
              </w:rPr>
              <w:t>660</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net of recoveries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(1,203)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7"/>
              </w:rPr>
              <w:t>(501)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(1,889)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(855)</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end of period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rPr>
              <w:t>7,971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6"/>
              </w:rPr>
              <w:t>719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8"/>
              </w:rPr>
              <w:t>7,971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6"/>
              </w:rPr>
              <w:t>719</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are accounted for at cost, less any impairment, plus or minus changes resulting from observable price changes in orderly transactions for an identical or similar investment of the same issuer. As of June 30, 2022 and December 31, 2021, the carrying value of the Company’s investments in equity securities without a readily determinable fair value was $6.5 million, which is recorded within Other assets on the Company’s condensed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five years for computer equipment, seven years for furniture and fixtures and five years for leasehold improvements.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if any, equals to the excess of the asset’s carrying value over its fair value is recognized.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classifies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if any, equals to the excess of the ROU asset’s carrying value over its fair value is recognized.</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Total net lease costs for the three and six months ended June 30, 2022 were $2.3 million and $4.8 million, respectively. Total lease costs for the three and six months ended June 30, 2021 were $3.1 million and $6.0 million, respectively.</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three and six months ended June 30, 2022, the Company recorded contra rent expense of $0.4 million and $0.8 million, respectively.</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recognized an impairment charge of $0.6 million and an impairment charge of $2.4 million for the three and six months ended and June 30, 2021 related to certain ROU assets reducing the carrying values of the lease assets to their estimated fair values. The fair values were estimated using an income approach based on management’s forecast of future cash flows expected to be derived based on the sublease market rent. The impairment charges are included in general and administrative expenses in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June 30, 2022,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8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 evaluated the Warrants under ASC 815-40 </w:t>
      </w:r>
      <w:r>
        <w:rPr>
          <w:rFonts w:ascii="Times New Roman" w:cs="Times New Roman" w:eastAsia="Times New Roman" w:hAnsi="Times New Roman"/>
          <w:sz w:val="18"/>
          <w:szCs w:val="18"/>
          <w:i w:val="1"/>
          <w:iCs w:val="1"/>
          <w:color w:val="auto"/>
        </w:rPr>
        <w:t>- Derivatives and Hedging - Contracts in Entity’s Own Equity</w:t>
      </w:r>
      <w:r>
        <w:rPr>
          <w:rFonts w:ascii="Times New Roman" w:cs="Times New Roman" w:eastAsia="Times New Roman" w:hAnsi="Times New Roman"/>
          <w:sz w:val="18"/>
          <w:szCs w:val="18"/>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operations at each reporting date.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and additional offerings for access to the Company’s Weedmaps platform and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For clients that pay in advance for listing and other services, the Company records deferred revenue and recognizes revenue over the applicable subscription term.</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offers WM Business subscriptions, which include access to the Weedmaps marketplace and certain SaaS solutions. As add-ons for additional fees, the Company offers other products, including featured listings, placements, promoted deals, nearby listings, other display advertising, client relationship management, digital menu, and delivery and logistics services. The Company’s WM Business subscriptions generally have one-month terms that automatically renew unless notice of cancellation is provided in advance.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major source: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680" w:type="dxa"/>
            <w:vAlign w:val="bottom"/>
          </w:tcPr>
          <w:p>
            <w:pPr>
              <w:spacing w:after="0"/>
              <w:rPr>
                <w:sz w:val="23"/>
                <w:szCs w:val="23"/>
                <w:color w:val="auto"/>
              </w:rPr>
            </w:pPr>
          </w:p>
        </w:tc>
        <w:tc>
          <w:tcPr>
            <w:tcW w:w="332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Pr>
          <w:p>
            <w:pPr>
              <w:spacing w:after="0"/>
              <w:rPr>
                <w:sz w:val="23"/>
                <w:szCs w:val="23"/>
                <w:color w:val="auto"/>
              </w:rPr>
            </w:pPr>
          </w:p>
        </w:tc>
        <w:tc>
          <w:tcPr>
            <w:tcW w:w="29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6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WM Business subscriptions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20,258</w:t>
            </w: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Featured listings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48,609</w:t>
            </w:r>
          </w:p>
        </w:tc>
      </w:tr>
      <w:tr>
        <w:trPr>
          <w:trHeight w:val="230"/>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Ad and SaaS solutions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19,218</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Deferred revenue as of December 31, 2021 of $8.1 million was fully recognized in the first quarter of fiscal year 2022, and the deferred revenue balance as of June 30, 2022 of $7.5 million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All revenues during the periods presented were recognized over time, as opposed to at a point in time. Substantially all of the revenue has been generated in the United States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inventory costs related to multi-media offerings.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Costs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Product development costs include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$5.4 million and $4.8 million for the three months ended June 30, 2022 and 2021, respectively, and $10.3 million and $7.8 million for the six months ended June 30, 2022 and 2021, respectively, and are included in sales and marketing expense in the accompanying condensed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under ASC 740 - Income Taxes. Under the guidance,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more-likely-than-not the deferred tax assets will not be realized.</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and tax law developments.</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For the three and six months ended June 30, 2022, the Company recorded an income tax benefit of $1.3 million and $3.1 million, respectively, and for the three and six months ended June 30, 2021 an income tax benefit of $0.4 million and $0.2 million was recorded. The income tax benefit for the three and six months quarter of 2022 was the result of the tax benefit of the Company’s pro rata share of losses and tax credits flowing through from WM Holding LLC. The tax benefit related to U.S. federal and state tax benefits from certain Business Combination-related expenses offset, in part, by income taxes recorded during the period ended March 31, 2021 as a result of an audit performed by the Canada Revenue Agency on prior years income taxes paid by the Company’s subsidiary, WM Canada Holdings, Inc. The effective tax rates differ from the federal statutory rate of 21% primarily due to the impact of warrant valuations, non-controlling interests represented by the portion of the flow-through income not subject to tax, permanent stock-based compensation and state taxes.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the Company acquired additional interest in WM Holding Company LLC (“LLC Interests”) in connection with the exchange of LLC Interests, and activity relating to its stock compensation plan. The Company recognized a deferred tax asset in the amount of $28.1 million associated with the basis difference in its investment in WM Holding Company LLC upon acquisition of these LLC Interests, some of which are related to the additional tax basis increases generated from expected future payments under the Tax Receivable Agreement (“TRA”), some of which are partially offset by the TRA liability amount of $14.2 million, and these amounts were recorded through equity.</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and its subsidiaries operate in one business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Stock awards are excluded from the calculation of diluted EPS in the event they are antidilutive or subject to performance conditions for which the necessary conditions have not been satisfied by the end of the reporting period. See Note 12 for additional information on dilutive securities.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ASU 2021-08, Business Combinations (Topic 805): Accounting for Contract Assets and Contract Liabilities from Contracts with Customers (“ASU 2021-08”). The amendments in ASU 2021-08 require that an entity recognize and measure contract assets and contract liabilities acquired in a business combination in accordance with Accounting Standards Codification (“ASC”) 606, Revenue from Contracts from Customers (“ASC 606”). At the acquisition date, an acquirer should account for the related revenue contracts in accordance with ASC 606 as if it had originated the contracts. To achieve this, an acquirer may assess how the acquiree applied ASC 606 to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determine what to record for the acquired revenue contracts. Generally, this should result in an acquirer recognizing and measuring the acquired contract assets and contract liabilities consistent with how they were recognized and measured in the acquiree’s financial statements (if the acquiree financial statements were prepared in accordance with generally accepted accounting principles). For public business entities, the amendments in ASU 2021-08 are effective for fiscal years beginning after December 15, 2022, including interim periods within those fiscal years. Early adoption of ASU 2021-08 is permitted, including adoption in an interim period. An entity that early adopts in an interim period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Company adopted this new guidance as of January 1, 2022. The adoption did not have a material impact on the Company’s condensed consolidated financial statements.</w:t>
      </w:r>
    </w:p>
    <w:p>
      <w:pPr>
        <w:spacing w:after="0" w:line="1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indicates the fair value hierarchy of the valuation inputs the Company utilized to determine such fair value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16,750</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r>
      <w:tr>
        <w:trPr>
          <w:trHeight w:val="223"/>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warrant liability</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27,460</w:t>
            </w:r>
          </w:p>
        </w:tc>
      </w:tr>
      <w:tr>
        <w:trPr>
          <w:trHeight w:val="20"/>
        </w:trPr>
        <w:tc>
          <w:tcPr>
            <w:tcW w:w="5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-624840</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-624840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-624840</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2022</w:t>
            </w: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60" w:type="dxa"/>
            <w:vAlign w:val="bottom"/>
          </w:tcPr>
          <w:p>
            <w:pPr>
              <w:spacing w:after="0"/>
              <w:rPr>
                <w:sz w:val="14"/>
                <w:szCs w:val="14"/>
                <w:color w:val="auto"/>
              </w:rPr>
            </w:pPr>
          </w:p>
        </w:tc>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Placement</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Placement</w:t>
            </w: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0" w:type="dxa"/>
            <w:vAlign w:val="bottom"/>
          </w:tcPr>
          <w:p>
            <w:pPr>
              <w:spacing w:after="0"/>
              <w:rPr>
                <w:sz w:val="1"/>
                <w:szCs w:val="1"/>
                <w:color w:val="auto"/>
              </w:rPr>
            </w:pPr>
          </w:p>
        </w:tc>
      </w:tr>
      <w:tr>
        <w:trPr>
          <w:trHeight w:val="225"/>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45,679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27,460</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(32,234)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(14,015)</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13,445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13,445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-488315</wp:posOffset>
            </wp:positionV>
            <wp:extent cx="59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-488315</wp:posOffset>
            </wp:positionV>
            <wp:extent cx="60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7"/>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2021</w:t>
            </w:r>
          </w:p>
        </w:tc>
        <w:tc>
          <w:tcPr>
            <w:tcW w:w="0" w:type="dxa"/>
            <w:vAlign w:val="bottom"/>
          </w:tcPr>
          <w:p>
            <w:pPr>
              <w:spacing w:after="0"/>
              <w:rPr>
                <w:sz w:val="1"/>
                <w:szCs w:val="1"/>
                <w:color w:val="auto"/>
              </w:rPr>
            </w:pPr>
          </w:p>
        </w:tc>
      </w:tr>
      <w:tr>
        <w:trPr>
          <w:trHeight w:val="169"/>
        </w:trPr>
        <w:tc>
          <w:tcPr>
            <w:tcW w:w="6760" w:type="dxa"/>
            <w:vAlign w:val="bottom"/>
          </w:tcPr>
          <w:p>
            <w:pPr>
              <w:spacing w:after="0"/>
              <w:rPr>
                <w:sz w:val="14"/>
                <w:szCs w:val="14"/>
                <w:color w:val="auto"/>
              </w:rPr>
            </w:pPr>
          </w:p>
        </w:tc>
        <w:tc>
          <w:tcPr>
            <w:tcW w:w="15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Public Warrants</w:t>
            </w:r>
          </w:p>
        </w:tc>
        <w:tc>
          <w:tcPr>
            <w:tcW w:w="15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Private Warrants</w:t>
            </w:r>
          </w:p>
        </w:tc>
        <w:tc>
          <w:tcPr>
            <w:tcW w:w="220" w:type="dxa"/>
            <w:vAlign w:val="bottom"/>
          </w:tcPr>
          <w:p>
            <w:pPr>
              <w:spacing w:after="0"/>
              <w:rPr>
                <w:sz w:val="14"/>
                <w:szCs w:val="14"/>
                <w:color w:val="auto"/>
              </w:rPr>
            </w:pPr>
          </w:p>
        </w:tc>
        <w:tc>
          <w:tcPr>
            <w:tcW w:w="122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Warrant</w:t>
            </w: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1"/>
                <w:szCs w:val="21"/>
                <w:color w:val="auto"/>
              </w:rPr>
            </w:pPr>
          </w:p>
        </w:tc>
        <w:tc>
          <w:tcPr>
            <w:tcW w:w="1520" w:type="dxa"/>
            <w:vAlign w:val="bottom"/>
            <w:gridSpan w:val="3"/>
            <w:vMerge w:val="continue"/>
          </w:tcPr>
          <w:p>
            <w:pPr>
              <w:spacing w:after="0"/>
              <w:rPr>
                <w:sz w:val="21"/>
                <w:szCs w:val="21"/>
                <w:color w:val="auto"/>
              </w:rPr>
            </w:pPr>
          </w:p>
        </w:tc>
        <w:tc>
          <w:tcPr>
            <w:tcW w:w="152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 acquired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193,978</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(37,791)</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79,375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156,187</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-633730</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-633730</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$8.1 million and $16.8 million as of June 30, 2022 and December 31, 2021, respectively.</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760" w:type="dxa"/>
            <w:vAlign w:val="bottom"/>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11.50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76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5.98</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(years)</w:t>
            </w:r>
          </w:p>
        </w:tc>
        <w:tc>
          <w:tcPr>
            <w:tcW w:w="1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bl>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of the Private Placement Warrants was $5.3 million and $10.7 million as of June 30, 2022 and December 31, 2021, respectively.</w:t>
      </w:r>
    </w:p>
    <w:p>
      <w:pPr>
        <w:spacing w:after="0" w:line="115"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Warrants were accounted for as liabilities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are presented within warrant liability on the accompanying condensed consolidated balance sheets. The warrant liabilities are measured at fair value at inception and on a recurring basis, with changes in fair value presented within change in fair value of warrant liability in the condensed consolidated statements of operations.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previously discussed in Note 1, on June 16, 2021, the Company consummated the Business Combination pursuant to the Merger Agreement.</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connection with the Closing, the following occurred:</w:t>
      </w:r>
    </w:p>
    <w:p>
      <w:pPr>
        <w:spacing w:after="0" w:line="11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Spike was domesticated and continues as a Delaware corporation, changing its name to “WM Technology,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transferred $455.2 million to the Legacy WMH equity holders as cash consideration.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WMH equity holders retained an aggregate of 65,502,347 Class A Units and 25,896,042 Class P Units.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65,502,347 shares of Class V Common Stock to Class A Unit holders, representing the same number of Class A Units retained by the Legacy WMH equity holders.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83"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Eyechronic</w:t>
      </w:r>
    </w:p>
    <w:p>
      <w:pPr>
        <w:spacing w:after="0" w:line="24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January 14, 2022, the Company acquired all the equity interests of Eyechronic LLC (“Eyechronic”) d/b/a Enlighten, a Delaware limited liability company and a provider of software, digital signage services and multi-media offerings to dispensaries and brands, for total consideration of approximately $29.4 million. The Company accounted for the Eyechronic acquisition as an acquisition of a business under ASC 805.</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acquired assets and liabilities of Eyechronic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components of consideration and the preliminary estimated fair value of assets acquired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9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consideration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0"/>
        </w:trPr>
        <w:tc>
          <w:tcPr>
            <w:tcW w:w="9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Share consideration </w:t>
            </w:r>
            <w:r>
              <w:rPr>
                <w:rFonts w:ascii="Times New Roman" w:cs="Times New Roman" w:eastAsia="Times New Roman" w:hAnsi="Times New Roman"/>
                <w:sz w:val="23"/>
                <w:szCs w:val="23"/>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28,725</w:t>
            </w:r>
          </w:p>
        </w:tc>
      </w:tr>
      <w:tr>
        <w:trPr>
          <w:trHeight w:val="248"/>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6" w:lineRule="exact"/>
        <w:rPr>
          <w:sz w:val="20"/>
          <w:szCs w:val="20"/>
          <w:color w:val="auto"/>
        </w:rPr>
      </w:pPr>
    </w:p>
    <w:p>
      <w:pPr>
        <w:ind w:left="340" w:right="20" w:hanging="251"/>
        <w:spacing w:after="0" w:line="234"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$0.2 million settlement of pre-existing accounts payable with seller and holdback of $0.1 million recorded within other current liabilities on the Company’s condensed consolidated balance sheets.</w:t>
      </w:r>
    </w:p>
    <w:p>
      <w:pPr>
        <w:spacing w:after="0" w:line="1" w:lineRule="exact"/>
        <w:rPr>
          <w:rFonts w:ascii="Times New Roman" w:cs="Times New Roman" w:eastAsia="Times New Roman" w:hAnsi="Times New Roman"/>
          <w:sz w:val="18"/>
          <w:szCs w:val="18"/>
          <w:color w:val="auto"/>
        </w:rPr>
      </w:pPr>
    </w:p>
    <w:p>
      <w:pPr>
        <w:ind w:left="340" w:hanging="251"/>
        <w:spacing w:after="0" w:line="233"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Assets Acquired and Liabilities Assumed:</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assets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r>
      <w:tr>
        <w:trPr>
          <w:trHeight w:val="23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 technology</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Order Backlog</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9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21,861</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30,008</w:t>
            </w:r>
          </w:p>
        </w:tc>
      </w:tr>
      <w:tr>
        <w:trPr>
          <w:trHeight w:val="237"/>
        </w:trPr>
        <w:tc>
          <w:tcPr>
            <w:tcW w:w="9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36"/>
        </w:trPr>
        <w:tc>
          <w:tcPr>
            <w:tcW w:w="98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29,422</w:t>
            </w: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the Company incurred transaction expenses associated with the Eyechronic acquisition of $0.1 million, which is included in general and administrative expenses in the condensed consolidated statements of operations.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revenue and operating loss from Eyechronic included the Company’s condensed consolidated statements of operations for the three and six months ended June 30, 2022 were not material. Pro forma revenue and earnings amounts on a combined basis have not been presented as they are not material to the Company’s historical pre-acquisition financial statements.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fair values of the trade name and software technology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these assets. Owning these intangible assets means that the underlying entity wouldn’t have to pay for the privilege of deploying those assets. Therefore, a portion of the acquired entity’s earnings, equal to the after-tax royalty that would have been paid for the use of the assets, can be attributed to the firm’s ownership. The fair values of the customer relationships and customer backlog assets were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Sprout</w:t>
      </w:r>
    </w:p>
    <w:p>
      <w:pPr>
        <w:spacing w:after="0" w:line="106"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 xml:space="preserve">On September 3, 2021, the Company acquired certain assets and liabilities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The acquired assets and liabilities of Sprout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consideration and the preliminary estimated fair value of assets acquired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3"/>
                <w:szCs w:val="23"/>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31,186</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Assets Acquired and Liabilities Assumed: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8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 technology</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0" w:type="dxa"/>
            <w:vAlign w:val="bottom"/>
          </w:tcPr>
          <w:p>
            <w:pPr>
              <w:spacing w:after="0"/>
              <w:rPr>
                <w:sz w:val="1"/>
                <w:szCs w:val="1"/>
                <w:color w:val="auto"/>
              </w:rPr>
            </w:pPr>
          </w:p>
        </w:tc>
      </w:tr>
      <w:tr>
        <w:trPr>
          <w:trHeight w:val="22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0" w:type="dxa"/>
            <w:vAlign w:val="bottom"/>
          </w:tcPr>
          <w:p>
            <w:pPr>
              <w:spacing w:after="0"/>
              <w:rPr>
                <w:sz w:val="1"/>
                <w:szCs w:val="1"/>
                <w:color w:val="auto"/>
              </w:rPr>
            </w:pPr>
          </w:p>
        </w:tc>
      </w:tr>
      <w:tr>
        <w:trPr>
          <w:trHeight w:val="237"/>
        </w:trPr>
        <w:tc>
          <w:tcPr>
            <w:tcW w:w="98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31,186</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6" w:lineRule="exact"/>
        <w:rPr>
          <w:sz w:val="20"/>
          <w:szCs w:val="20"/>
          <w:color w:val="auto"/>
        </w:rPr>
      </w:pPr>
    </w:p>
    <w:p>
      <w:pPr>
        <w:ind w:left="340" w:hanging="332"/>
        <w:spacing w:after="0" w:line="243"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share consideration issued in connection with the Spout acquisition was calculated based on 1,244,258 shares of Class A common stock issued multiplied by the share price on the closing date of $15.42.</w:t>
      </w:r>
    </w:p>
    <w:p>
      <w:pPr>
        <w:spacing w:after="0" w:line="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8"/>
          <w:szCs w:val="18"/>
          <w:color w:val="auto"/>
        </w:rPr>
        <w:t>The fair values of the trade name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the acquired entity’s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are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Transport Logistics Holding</w:t>
      </w:r>
    </w:p>
    <w:p>
      <w:pPr>
        <w:spacing w:after="0" w:line="1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acquired assets of TLH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components of consideration and the preliminary estimated fair value of assets acquired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consideration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3"/>
                <w:szCs w:val="23"/>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Assets Acquired: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8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acquired</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1"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holdback of $1.0 million, which was paid during the second quarter of 2022.</w:t>
      </w:r>
    </w:p>
    <w:p>
      <w:pPr>
        <w:ind w:left="980" w:hanging="324"/>
        <w:spacing w:after="0" w:line="243" w:lineRule="auto"/>
        <w:tabs>
          <w:tab w:leader="none" w:pos="9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share consideration issued in connection with the TLH acquisition was calculated based on 694,540 shares of Class A common stock issued multiplied by the share price on the closing date of $14.58.</w:t>
      </w:r>
    </w:p>
    <w:p>
      <w:pPr>
        <w:spacing w:after="0" w:line="33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combining operations. Goodwill recognized was allocated to the Company’s one operating segment and is generally deductible for tax purposes.</w:t>
      </w:r>
    </w:p>
    <w:p>
      <w:pPr>
        <w:spacing w:after="0" w:line="10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fair values of the trade name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the acquired entity’s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are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189"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changes in goodwill for the six months ended June 30, 2022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Goodwill</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45,295</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of Eyechronic</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gridSpan w:val="6"/>
            <w:vMerge w:val="restart"/>
          </w:tcPr>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as of June 30, 2022 and December 31, 2021 (in thousands):</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8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24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15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15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5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Gross Intangible</w:t>
            </w:r>
          </w:p>
        </w:tc>
        <w:tc>
          <w:tcPr>
            <w:tcW w:w="160" w:type="dxa"/>
            <w:vAlign w:val="bottom"/>
          </w:tcPr>
          <w:p>
            <w:pPr>
              <w:spacing w:after="0"/>
              <w:rPr>
                <w:sz w:val="15"/>
                <w:szCs w:val="15"/>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5"/>
                <w:szCs w:val="15"/>
                <w:color w:val="auto"/>
              </w:rPr>
            </w:pPr>
          </w:p>
        </w:tc>
        <w:tc>
          <w:tcPr>
            <w:tcW w:w="13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Net Intangible</w:t>
            </w: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6"/>
                <w:szCs w:val="16"/>
                <w:color w:val="auto"/>
              </w:rPr>
            </w:pPr>
          </w:p>
        </w:tc>
        <w:tc>
          <w:tcPr>
            <w:tcW w:w="15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5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Period (Years)</w:t>
            </w:r>
          </w:p>
        </w:tc>
        <w:tc>
          <w:tcPr>
            <w:tcW w:w="28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19"/>
                <w:szCs w:val="19"/>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domain names</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52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15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Gross Intangible</w:t>
            </w:r>
          </w:p>
        </w:tc>
        <w:tc>
          <w:tcPr>
            <w:tcW w:w="160" w:type="dxa"/>
            <w:vAlign w:val="bottom"/>
          </w:tcPr>
          <w:p>
            <w:pPr>
              <w:spacing w:after="0"/>
              <w:rPr>
                <w:sz w:val="15"/>
                <w:szCs w:val="15"/>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5"/>
                <w:szCs w:val="15"/>
                <w:color w:val="auto"/>
              </w:rPr>
            </w:pPr>
          </w:p>
        </w:tc>
        <w:tc>
          <w:tcPr>
            <w:tcW w:w="14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Intangible</w:t>
            </w: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5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5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c>
          <w:tcPr>
            <w:tcW w:w="30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19"/>
                <w:szCs w:val="19"/>
                <w:color w:val="auto"/>
              </w:rPr>
            </w:pP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domain names</w:t>
            </w: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for intangible assets was $0.8 million and $1.4 million during the three and six months ended June 30, 2022, respectively.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$0.2 million and $0.4 million for the three and six months ended June 30, 2021, respectively.</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June 30, 2022 is as follows (in thousands):</w:t>
      </w:r>
    </w:p>
    <w:p>
      <w:pPr>
        <w:sectPr>
          <w:pgSz w:w="11900" w:h="16838" w:orient="portrait"/>
          <w:cols w:equalWidth="0" w:num="1">
            <w:col w:w="11240"/>
          </w:cols>
          <w:pgMar w:left="320" w:top="121"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Remaining period in 2022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Accounts Payable and Accrued Expenses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2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29"/>
        </w:trPr>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30"/>
        </w:trPr>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29"/>
        </w:trPr>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30"/>
        </w:trPr>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34"/>
        </w:trPr>
        <w:tc>
          <w:tcPr>
            <w:tcW w:w="1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w:t>
            </w:r>
          </w:p>
        </w:tc>
      </w:tr>
      <w:tr>
        <w:trPr>
          <w:trHeight w:val="223"/>
        </w:trPr>
        <w:tc>
          <w:tcPr>
            <w:tcW w:w="126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11,259</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670" w:lineRule="exact"/>
        <w:rPr>
          <w:sz w:val="20"/>
          <w:szCs w:val="20"/>
          <w:color w:val="auto"/>
        </w:rPr>
      </w:pPr>
    </w:p>
    <w:p>
      <w:pPr>
        <w:sectPr>
          <w:pgSz w:w="11900" w:h="16838" w:orient="portrait"/>
          <w:cols w:equalWidth="0" w:num="2">
            <w:col w:w="7560" w:space="720"/>
            <w:col w:w="2960"/>
          </w:cols>
          <w:pgMar w:left="320" w:top="121" w:right="33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 as of June 30, 2022 and December 31, 2021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expenses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23"/>
        </w:trPr>
        <w:tc>
          <w:tcPr>
            <w:tcW w:w="7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23,155</w:t>
            </w: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-633730</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-633730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30, 2021, other accrued liabilities included short-term insurance premium financing of $4.5 million and $4.2 million, respectively.</w:t>
      </w:r>
    </w:p>
    <w:p>
      <w:pPr>
        <w:spacing w:after="0" w:line="158"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June 30, 2022, there were 12,499,973 Public Warrants outstanding and 7,000,000 Private Placement Warrants outstanding.</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concluded the Public Warrants and Private Placement Warrants, or the Warrants, meet the definition of a derivative under ASC 815-Derivatives and Hedging (as described in Note 2) and are recorded as liabilities. Upon the Closing, the fair value of the Warrants was recorded on the balance sheet. The fair value of the Warrants are remeasured as of each balance sheet date, which resulted in non-cash gains of $32.2 million and $14.0 million in the condensed consolidated statements of operations for the three and six months ended June 30, 2022 and a non-cash gain of $37.8 million in the condensed consolidated statements of operations for the three and six months ended June 30, 2021.</w:t>
      </w:r>
    </w:p>
    <w:p>
      <w:pPr>
        <w:spacing w:after="0" w:line="179"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0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June 30, 2022, there were no shares of preferred stock issued or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June 30, 2022, the noncontrolling interests owned 41.7%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w:t>
      </w:r>
    </w:p>
    <w:p>
      <w:pPr>
        <w:spacing w:after="0" w:line="176" w:lineRule="exact"/>
        <w:rPr>
          <w:sz w:val="20"/>
          <w:szCs w:val="20"/>
          <w:color w:val="auto"/>
        </w:rPr>
      </w:pPr>
    </w:p>
    <w:p>
      <w:pPr>
        <w:ind w:left="440" w:hanging="432"/>
        <w:spacing w:after="0"/>
        <w:tabs>
          <w:tab w:leader="none" w:pos="4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accounted for the issuance of Class A-3 and Class B Units issued under WM Holding Company, LLC’s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the Class P Unit activity for the six months ended June 30, 2022 is as follows:</w:t>
            </w:r>
          </w:p>
        </w:tc>
        <w:tc>
          <w:tcPr>
            <w:tcW w:w="2240" w:type="dxa"/>
            <w:vAlign w:val="bottom"/>
          </w:tcPr>
          <w:p>
            <w:pPr>
              <w:spacing w:after="0"/>
              <w:rPr>
                <w:sz w:val="20"/>
                <w:szCs w:val="20"/>
                <w:color w:val="auto"/>
              </w:rPr>
            </w:pPr>
          </w:p>
        </w:tc>
      </w:tr>
      <w:tr>
        <w:trPr>
          <w:trHeight w:val="364"/>
        </w:trPr>
        <w:tc>
          <w:tcPr>
            <w:tcW w:w="900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Number of Units</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Class P Units, December 31, 2021</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25,660,529</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(27,891)</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(9,892,357)</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Class P Units, June 30, 2022</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15,740,281</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49"/>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June 30,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14,575,755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June 30, 2022, unrecognized stock-based compensation expense for non-vested Class P Units was $2.9 million, which is expected to be recognized over a weighted-average period of 1.7 years. For the three and six months ended June 30, 2022, the Company recorded stock-based compensation expense for the Class P Units of $0.6 million and $1.3 million, respectively. For the three and six months ended June 30, 2021, the Company recorded stock-based compensation expense for the Class P Units of $19.4 million, which represented the life-to-date expense on the Class P Units through June 30, 2021. Due to the Business Combination completed in the second quarter of 2021, certain limitations on exercisability related to the Class P Units were removed. The stock-based compensation during the 2021 period also included a one-time incremental expense of $4.1 million related to an award modification as a result of an advisory agreement entered into with a former executive.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June 30, 2022, 25,768,971 shares of Class 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June 30, 2022, 11,662,673 shares of Class A Common Stock are available for future issuance.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six months ended June 30, 2022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22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5,829,881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9"/>
              </w:rPr>
              <w:t>5,976,006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99"/>
              </w:rPr>
              <w:t>(855,788)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w w:val="99"/>
              </w:rPr>
              <w:t>(705,915)</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10,244,184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2022, unrecognized stock-based compensation expense for non-vested RSUs was $75.9 million, which is expected to be recognized over a weighted-average period of 3.0 years. For the three and six months ended June 30, 2022, the Company recorded stock-based compensation expense for the RSUs of $5.6 million and $10.6 million, respectively.</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PRSU activity for the six months ended June 30, 2022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8"/>
                <w:szCs w:val="18"/>
                <w:color w:val="auto"/>
              </w:rPr>
            </w:pPr>
          </w:p>
        </w:tc>
        <w:tc>
          <w:tcPr>
            <w:tcW w:w="2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 PRSUs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2022, unrecognized stock-based compensation expense for non-vested PRSUs was $11.4 million, which is expected to be recognized over a weighted-average period of 1.5 years. For the three and six months ended June 30, 2022, the Company recorded stock-based compensation expense for the PRSUs of $1.9 million and $3.8 million,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accompanying condensed consolidated statements of operations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16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7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0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w:t>
            </w:r>
          </w:p>
        </w:tc>
      </w:tr>
      <w:tr>
        <w:trPr>
          <w:trHeight w:val="223"/>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19,433</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19,433</w:t>
            </w:r>
          </w:p>
        </w:tc>
      </w:tr>
      <w:tr>
        <w:trPr>
          <w:trHeight w:val="21"/>
        </w:trPr>
        <w:tc>
          <w:tcPr>
            <w:tcW w:w="5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-933450</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-933450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68"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condensed consolidated financial statements. Therefore, net earnings per share information has not been presented for periods prior to the Business Combination on June 16,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computation of income (loss) per share attributable to WM Technology, Inc. and weighted-average shares of the Company’s Class A Common Stock outstanding are as follows for the three and six months ended June 30, 2022 and June 30, 2021 (amounts in thousands, except for share and per share amounts):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20" w:type="dxa"/>
            <w:vAlign w:val="bottom"/>
          </w:tcPr>
          <w:p>
            <w:pPr>
              <w:spacing w:after="0"/>
              <w:rPr>
                <w:sz w:val="17"/>
                <w:szCs w:val="17"/>
                <w:color w:val="auto"/>
              </w:rPr>
            </w:pPr>
          </w:p>
        </w:tc>
        <w:tc>
          <w:tcPr>
            <w:tcW w:w="2220" w:type="dxa"/>
            <w:vAlign w:val="bottom"/>
            <w:gridSpan w:val="4"/>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43"/>
        </w:trPr>
        <w:tc>
          <w:tcPr>
            <w:tcW w:w="6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WMH prior to the Business Combination</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0" w:type="dxa"/>
            <w:vAlign w:val="bottom"/>
          </w:tcPr>
          <w:p>
            <w:pPr>
              <w:spacing w:after="0"/>
              <w:rPr>
                <w:sz w:val="1"/>
                <w:szCs w:val="1"/>
                <w:color w:val="auto"/>
              </w:rPr>
            </w:pPr>
          </w:p>
        </w:tc>
      </w:tr>
      <w:tr>
        <w:trPr>
          <w:trHeight w:val="175"/>
        </w:trPr>
        <w:tc>
          <w:tcPr>
            <w:tcW w:w="6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 noncontrolling interests after the Business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Combination</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WM Technology, Inc. Class A Common Stock - basic</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Public and Private Placement Warrants, net of amounts attributable to noncontrolling</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0" w:type="dxa"/>
            <w:vAlign w:val="bottom"/>
          </w:tcPr>
          <w:p>
            <w:pPr>
              <w:spacing w:after="0"/>
              <w:rPr>
                <w:sz w:val="1"/>
                <w:szCs w:val="1"/>
                <w:color w:val="auto"/>
              </w:rPr>
            </w:pPr>
          </w:p>
        </w:tc>
      </w:tr>
      <w:tr>
        <w:trPr>
          <w:trHeight w:val="156"/>
        </w:trPr>
        <w:tc>
          <w:tcPr>
            <w:tcW w:w="64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WM Technology, Inc. Class A Common Stock -</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(11,798)</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(11,798)</w:t>
            </w:r>
          </w:p>
        </w:tc>
        <w:tc>
          <w:tcPr>
            <w:tcW w:w="0" w:type="dxa"/>
            <w:vAlign w:val="bottom"/>
          </w:tcPr>
          <w:p>
            <w:pPr>
              <w:spacing w:after="0"/>
              <w:rPr>
                <w:sz w:val="1"/>
                <w:szCs w:val="1"/>
                <w:color w:val="auto"/>
              </w:rPr>
            </w:pPr>
          </w:p>
        </w:tc>
      </w:tr>
      <w:tr>
        <w:trPr>
          <w:trHeight w:val="221"/>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of shares of Class A Common Stock outstanding - basic</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86,425,352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63,738,563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79,476,383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63,738,563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4,877,681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4,877,681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2,731,502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2,731,502</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of shares of Class A Common Stock outstanding - diluted</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87,230,850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71,347,746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79,476,383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71,347,746</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 - basic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 -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as their effect would have been anti-dilutive: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324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2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8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Units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56,466,013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65,502,347</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56,466,013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65,502,347</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P Units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15,740,281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25,679,121</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15,740,281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25,679,121</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10,244,184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2,437,500</w:t>
            </w:r>
          </w:p>
        </w:tc>
        <w:tc>
          <w:tcPr>
            <w:tcW w:w="10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2,437,500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to a member of the board of directors.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$69,095. As of June 30, 2022, the security deposit for the sublease of approximately $0.1 million is included in other long-term liabilities on the accompanying condensed balance sheets. For the three and six months ended June 30, 2022, income on the sublease was approximately $0.1 million and this amount is netted with rent expense and included in general and administrative expenses on the accompanying condensed statements of operations.</w:t>
      </w:r>
    </w:p>
    <w:p>
      <w:pPr>
        <w:spacing w:after="0" w:line="183"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decrease costs and maintain a streamlined organization to support its business, the Company committed to a reduction in force that resulted in the termination of approximately 10% of the Company’s workforce on August 4, 2022. In connection with the reduction in force, the Company currently estimates it will incur between approximately $2 million and $3 million of costs, consisting primarily of cash severance costs, which the Company expects to recognize in the third quarter of 2022. The estimates of costs and expenses that the Company expects to incur in connection with the workforce reduction are subject to a number of assumptions and actual results may differ. The Company may also incur additional costs not currently contemplated due to events that may occur as a result of, or that are associated with, the workforce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1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the related notes to those statements included in Item 1 “Financial Statements” in this Quarterly Report on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included elsewhere herein and in our Annual Report on Form 10-K for the year ended December 31,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Quarterly Report on Form 10-Q, unless the context requires otherwise, references to the “Company,” “we,” “us,” and “our,” and similar references refer to WM Technology, Inc, and its subsidiaries following the Business Combination and to Legacy WMH prior to the Business Combination.</w:t>
      </w:r>
    </w:p>
    <w:p>
      <w:pPr>
        <w:spacing w:after="0" w:line="7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primarily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WM Connectors (integrations and API platform), as well as access to our WM Exchange products, where available. We charge a monthly fee to clients for access to our WM Business subscription package and then offer other add-on products for additional fees, including our featured listings and our Sprout (customer relationship management), Cannveya (delivery and logistics software) and Enlighten (software, digital signage services and multi-media offerings) solutions. We sell our WM Business offering in the United States, currently offer some of our WM Business solutions in Canada (including a third party integration that enables our clients to accept payments from consumers, currently available only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8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patients and customers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grown the Weedmaps marketplace to become the premier destination for cannabis consumers to discover and browse information regarding cannabis and cannabis products with 17.4 million monthly active users (“MAUs”) as of June 30, 2022 on the demand side and 5,537 and 5,282 average monthly paying business clients during the three and six months ended June 30, 2022, respectively, on the supply-side of our marketplace, see “— Monthly Active Users” below for additional information regarding MAUs. These paying clients include retailers, brands and other client types (such as doctors). Further, these clients, who can choose to purchase multiple listings solutions for each business, had purchased over 9,400 listing pages as of June 30, 2022 (of the over 17,600 listing pages on the marketplace). The Weedmaps marketplace provides consumers with information regarding cannabis retailers and brands, as well as the strain, pricing, and other information regarding locally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available cannabis products, through our website and mobile apps, permitting product discovery and order-ahead for pickup or delivery by participating retailers. Our weedmaps.com 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and Public Company Costs</w:t>
      </w:r>
    </w:p>
    <w:p>
      <w:pPr>
        <w:spacing w:after="0" w:line="25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2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 Legacy WMH. The net assets of Silver Spike were recognized at historical cost (which are consistent with carrying value), with no goodwill or other intangible assets recorded.</w:t>
      </w:r>
    </w:p>
    <w:p>
      <w:pPr>
        <w:spacing w:after="0" w:line="21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5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3"/>
                <w:szCs w:val="23"/>
                <w:color w:val="auto"/>
              </w:rPr>
            </w:pPr>
          </w:p>
        </w:tc>
        <w:tc>
          <w:tcPr>
            <w:tcW w:w="27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980" w:type="dxa"/>
            <w:vAlign w:val="bottom"/>
            <w:gridSpan w:val="8"/>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(dollars in thousands, except for revenue per paying client)</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58,294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115,746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88,085</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19,848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w:t>
            </w:r>
          </w:p>
        </w:tc>
      </w:tr>
      <w:tr>
        <w:trPr>
          <w:trHeight w:val="33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20,996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26,407</w:t>
            </w:r>
          </w:p>
        </w:tc>
      </w:tr>
      <w:tr>
        <w:trPr>
          <w:trHeight w:val="33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8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17,477</w:t>
            </w:r>
          </w:p>
        </w:tc>
      </w:tr>
      <w:tr>
        <w:trPr>
          <w:trHeight w:val="33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revenue per paying client</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r>
      <w:tr>
        <w:trPr>
          <w:trHeight w:val="37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5,537</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5,282</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r>
      <w:tr>
        <w:trPr>
          <w:trHeight w:val="37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MAUs (in thousands)</w:t>
            </w:r>
            <w:r>
              <w:rPr>
                <w:rFonts w:ascii="Times New Roman" w:cs="Times New Roman" w:eastAsia="Times New Roman" w:hAnsi="Times New Roman"/>
                <w:sz w:val="23"/>
                <w:szCs w:val="23"/>
                <w:color w:val="auto"/>
                <w:vertAlign w:val="superscript"/>
              </w:rPr>
              <w:t>(4)</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17,402</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17,402</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r>
      <w:tr>
        <w:trPr>
          <w:trHeight w:val="3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7" w:lineRule="exact"/>
        <w:rPr>
          <w:sz w:val="20"/>
          <w:szCs w:val="20"/>
          <w:color w:val="auto"/>
        </w:rPr>
      </w:pPr>
    </w:p>
    <w:p>
      <w:pPr>
        <w:ind w:left="340" w:right="20" w:hanging="332"/>
        <w:spacing w:after="0" w:line="249"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further information about how we calculate EBITDA and Adjusted EBITDA as well as limitations of its use and a reconciliation of EBITDA and Adjusted EBITDA to net income, see “—EBITDA and Adjusted EBITDA” below.</w:t>
      </w:r>
    </w:p>
    <w:p>
      <w:pPr>
        <w:ind w:left="340" w:right="20" w:hanging="332"/>
        <w:spacing w:after="0" w:line="228"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monthly revenue per paying client is defined as the average monthly revenue for any particular period divided by the average monthly paying clients in the same respective period.</w:t>
      </w:r>
    </w:p>
    <w:p>
      <w:pPr>
        <w:spacing w:after="0" w:line="1" w:lineRule="exact"/>
        <w:rPr>
          <w:rFonts w:ascii="Times New Roman" w:cs="Times New Roman" w:eastAsia="Times New Roman" w:hAnsi="Times New Roman"/>
          <w:sz w:val="16"/>
          <w:szCs w:val="16"/>
          <w:color w:val="auto"/>
        </w:rPr>
      </w:pPr>
    </w:p>
    <w:p>
      <w:pPr>
        <w:ind w:left="340" w:hanging="332"/>
        <w:spacing w:after="0" w:line="237"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monthly paying clients are defined as the average of the number of paying clients billed in a month across a particular period (and for which services were provided).</w:t>
      </w:r>
    </w:p>
    <w:p>
      <w:pPr>
        <w:spacing w:after="0" w:line="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“—Monthly Active Users” below for additional information regarding MAUs.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offer WM Business subscriptions, which include access to the Weedmaps marketplace and certain SaaS solutions. As add-ons for additional fees, we offer other products, including featured listings, placements, promoted deals, nearby listings, other display advertising, customer relationship management, digital menus, and delivery and logistics services. Our WM Business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For clients that pay us in advance for listing and other services we record deferred revenue and recognize revenue over the applicable subscription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bonuses, transaction costs, legal settlements and other non-cash, unusual and/or infrequent costs in the case of Adjusted EBITDA. Below we have provided a reconciliation of net (loss) income (the most directly comparable GAAP financial measure) to EBITDA and from EBITDA to Adjusted EBITDA.</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40" w:lineRule="exact"/>
        <w:rPr>
          <w:sz w:val="20"/>
          <w:szCs w:val="20"/>
          <w:color w:val="auto"/>
        </w:rPr>
      </w:pPr>
    </w:p>
    <w:p>
      <w:pPr>
        <w:jc w:val="both"/>
        <w:ind w:left="820" w:hanging="326"/>
        <w:spacing w:after="0" w:line="250"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5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11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and our other GAAP results.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22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net income (loss) to non-GAAP EBITDA and Adjusted EBITDA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3"/>
                <w:szCs w:val="23"/>
                <w:color w:val="auto"/>
              </w:rPr>
            </w:pPr>
          </w:p>
        </w:tc>
        <w:tc>
          <w:tcPr>
            <w:tcW w:w="28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24,568</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26,407</w:t>
            </w:r>
          </w:p>
        </w:tc>
      </w:tr>
      <w:tr>
        <w:trPr>
          <w:trHeight w:val="23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w:t>
            </w:r>
          </w:p>
        </w:tc>
      </w:tr>
      <w:tr>
        <w:trPr>
          <w:trHeight w:val="23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related bonuses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transaction costs</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r>
      <w:tr>
        <w:trPr>
          <w:trHeight w:val="229"/>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17,477</w:t>
            </w: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Revenue Per Paying Client</w:t>
      </w:r>
    </w:p>
    <w:p>
      <w:pPr>
        <w:spacing w:after="0" w:line="25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26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7"/>
                <w:szCs w:val="17"/>
                <w:color w:val="auto"/>
              </w:rPr>
            </w:pPr>
          </w:p>
        </w:tc>
        <w:tc>
          <w:tcPr>
            <w:tcW w:w="2540" w:type="dxa"/>
            <w:vAlign w:val="bottom"/>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revenue per paying client</w:t>
            </w:r>
          </w:p>
        </w:tc>
        <w:tc>
          <w:tcPr>
            <w:tcW w:w="76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3,509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Paying Clients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Average monthly paying clients for the three months ended June 30, 2022 increased approximately 31% to 5,537 average monthly paying clients from 4,221 average monthly paying clients in the same period in 2021. Average monthly paying clients for the six months ended June 30, 2022 increased approximately 30% to 5,282 average monthly paying clients from 4,068 average monthly paying clients in the same period in 2021. The increase in average monthly paying clients in the three and six months ended June 30, 2022 as compared to the same periods in 2021 was primarily due to broad increases throughout our Featured Listing product, WM Business subscription offering and other ad solutions.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26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8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5,282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Active Users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any given period, we calculate our monthly active users by determining the total number of unique users who opened our Weedmaps mobile app or gained access to our Weedmaps.com website during the final calendar month of the period. This number has been reported as Monthly Active Users (“MAUs”). This statistic includes users who gain access to the website through paid advertising channels. In the second quarter of 2022, our board of directors received an internal complaint regarding the calculation, definition, and reporting of our MAUs. In response, the board of directors formed a special committee (the “Special Committee”) of independent directors to conduct an internal investigation with the assistance of outside counsel. As a result of this internal investigation, we have determined to provide the following information.</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229"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we have previously disclosed, one of the ways in which we acquire users is through paid advertising. To an increasing degree over time, growth of our monthly active users, reported as MAUs, has been driven by the purchase of pop-under advertisements, which are marketing advertisements on third party websites that automatically present our platform on users’ screens in certain circumstances. Our internal data suggests that the vast majority of users who are directed to weedmaps.com via pop-under advertisements close the site without clicking on any links. Based on management’s review, users whose access to the website resulted from these pop-under advertisements represented approximately 65% of our MAUs as of June 30, 2022, and 54%, 50% and 54% of our MAUs as of March 31, 2022, December 31, 2021 and September 30, 2021, respectively.</w:t>
      </w:r>
    </w:p>
    <w:p>
      <w:pPr>
        <w:spacing w:after="0" w:line="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has utilized pop-under advertisements, and other digital marketing strategies, based on the belief that they have provided a cost-effective means of promoting awareness of the weedmaps.com website and Weedmaps mobile apps. However, we expect to shift our marketing spend in the coming months to rely less on the use of pop-under advertisements.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there are inherent limitations on the ability of online platforms to identify unique, rather than repeat, users across sessions. In particular, incognito browsing, usage across devices or mobile and internet platforms, blocking or deleting cookies and IP addresses or other similar methods employed by users limits our ability to identify unique users and, as a result, we believe it is likely that our MAUs may include a significant number of repeat underlying users.</w:t>
      </w:r>
    </w:p>
    <w:p>
      <w:pPr>
        <w:spacing w:after="0" w:line="7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Prior to and in the course of the internal investigation described above, we have continued to review user engagement metrics to determine which metrics may be most useful for investors in evaluating our evolving business and quarterly results of operations, and we intend to update investors on those efforts in connection with the results of operations for the quarter ending September 30, 2022.</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information described above and currently under further review by the Special Committee is not expected to affect our financial results under GAAP or the reporting or disclosure of any currently disclosed non-GAAP financial metric.</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196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40" w:type="dxa"/>
            <w:vAlign w:val="bottom"/>
          </w:tcPr>
          <w:p>
            <w:pPr>
              <w:spacing w:after="0"/>
              <w:rPr>
                <w:sz w:val="16"/>
                <w:szCs w:val="16"/>
                <w:color w:val="auto"/>
              </w:rPr>
            </w:pPr>
          </w:p>
        </w:tc>
      </w:tr>
      <w:tr>
        <w:trPr>
          <w:trHeight w:val="37"/>
        </w:trPr>
        <w:tc>
          <w:tcPr>
            <w:tcW w:w="83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90"/>
        </w:trPr>
        <w:tc>
          <w:tcPr>
            <w:tcW w:w="83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MAUs (in thousands)</w:t>
            </w: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17,402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information regarding risks associated with relying on certain metrics, including MAUs, see “Part II—Item 1A. Risk Factors”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of Our Two-Sided Weedmaps Marketplace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Retention of Our Paying Clients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Our monthly net dollar retention, which is defined as total revenue from clients in a given month who were paying clients in the immediately preceding month, averaged at 98% in the first half of 2022.</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the effects of the coronavirus (COVID-19) pandemic and Russia’s initiation of military action against Ukraine. Increasing prices in the component materials for the goods or services of our clients may impact their ability to maintain or increase their spend with us and their ability to pay their invoices on time. Rapid and significant changes in commodity prices, such as fuel, may negatively affect our revenue if our clients are unable to mitigate inflationary increases through various customer pricing actions and cost reduction initiatives. This could also negatively impact our net dollar retention and collections on our accounts receivable.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Maturation of Cannabis Markets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greater growth as more jurisdictions legalize cannabis for medical and/or adult-use and the regulatory environment continues to develop. Thirty-eight U.S. states, the District of Columbia, Puerto Rico, and several U.S. territories have legalized some form of whole-plant cannabis cultivation, sales, and use for certain medical purposes. Nineteen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also have a significant opportunity to monetize transactions originating from users engaging with a retailer on the Weedmaps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intend to continue to make focused organic and inorganic investments to grow our revenue and scale operations to support that growth.</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and evolve our current listings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software offerings to our brand clients, among other areas. We anticipate undertaking such investments in order to be positioned to capitalize on the rapidly expanding cannabis market.</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January 14, 2022, we acquired Eyechronic LLC (“Eyechronic”) d/b/a Enlighten, a Delaware limited liability company and a provider of software, digital signage services and multi-media offerings to dispensaries and brands. We are continuing to integrate Eyechronic and our other acquisitions and will continue to invest in them appropriately to scale during this fiscal year 2022.</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September 3, 2021, the Company acquired certain assets of the Sprout business (“Sprout"), a leading, cloud-based customer relationship management (“CRM”) and marketing platform for the cannabis industry.</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September 29, 2021, the Company acquired all of the equity interests of Transport Logistics Holding Company, LLC (“TLH”),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operating expenses and capital expenditures fluctuate over time, we may accordingly experience short-term, negative impacts to our operating results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offer WM Business subscriptions, which include access to the Weedmaps marketplace and certain SaaS solutions. As add-ons for additional fees, we offer other products, including featured listings, placements, promoted deals, nearby listings, other display advertising, customer relationship management, digital menus, and delivery and logistics services. Our WM Business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For clients that pay us in advance for listing and other services we record deferred revenue and recognize revenue over the applicable subscription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Cost of revenues primarily consists of web hosting, internet service, credit card processing costs and inventory costs related to multi-media offerings.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primarily consist of depreciation on computer equipment, furniture and fixtures, leasehold improvements, capitalized software development costs and amortization of purchased intangibles. We expect depreciation and amortization expenses to increase on an absolute basis for the foreseeable future as we scale our business.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3"/>
                <w:szCs w:val="23"/>
                <w:color w:val="auto"/>
              </w:rPr>
            </w:pPr>
          </w:p>
        </w:tc>
        <w:tc>
          <w:tcPr>
            <w:tcW w:w="27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88,085</w:t>
            </w:r>
          </w:p>
        </w:tc>
      </w:tr>
      <w:tr>
        <w:trPr>
          <w:trHeight w:val="256"/>
        </w:trPr>
        <w:tc>
          <w:tcPr>
            <w:tcW w:w="5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24,388</w:t>
            </w: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w:t>
            </w: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47,136</w:t>
            </w:r>
          </w:p>
        </w:tc>
      </w:tr>
      <w:tr>
        <w:trPr>
          <w:trHeight w:val="230"/>
        </w:trPr>
        <w:tc>
          <w:tcPr>
            <w:tcW w:w="5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95,418</w:t>
            </w:r>
          </w:p>
        </w:tc>
      </w:tr>
      <w:tr>
        <w:trPr>
          <w:trHeight w:val="22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w:t>
            </w: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r>
      <w:tr>
        <w:trPr>
          <w:trHeight w:val="22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24,417</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w:t>
            </w: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w:t>
            </w: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820" w:type="dxa"/>
            <w:vAlign w:val="bottom"/>
          </w:tcPr>
          <w:p>
            <w:pPr>
              <w:spacing w:after="0"/>
              <w:rPr>
                <w:sz w:val="23"/>
                <w:szCs w:val="23"/>
                <w:color w:val="auto"/>
              </w:rPr>
            </w:pPr>
          </w:p>
        </w:tc>
        <w:tc>
          <w:tcPr>
            <w:tcW w:w="32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7"/>
        </w:trPr>
        <w:tc>
          <w:tcPr>
            <w:tcW w:w="4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5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5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48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2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 income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5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
        </w:trPr>
        <w:tc>
          <w:tcPr>
            <w:tcW w:w="48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884"/>
        </w:trPr>
        <w:tc>
          <w:tcPr>
            <w:tcW w:w="580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39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2022 and 2021</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60" w:type="dxa"/>
            <w:vAlign w:val="bottom"/>
          </w:tcPr>
          <w:p>
            <w:pPr>
              <w:spacing w:after="0"/>
              <w:rPr>
                <w:sz w:val="24"/>
                <w:szCs w:val="24"/>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Pr>
          <w:p>
            <w:pPr>
              <w:spacing w:after="0"/>
              <w:rPr>
                <w:sz w:val="24"/>
                <w:szCs w:val="24"/>
                <w:color w:val="auto"/>
              </w:rPr>
            </w:pPr>
          </w:p>
        </w:tc>
      </w:tr>
      <w:tr>
        <w:trPr>
          <w:trHeight w:val="223"/>
        </w:trPr>
        <w:tc>
          <w:tcPr>
            <w:tcW w:w="46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58,294</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11,363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1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Total revenues increased by $11.4 million, or 24% for the three months ended June 30, 2022 compared to the same period in 2021. The increase was primarily driven by a 31% increase in average monthly paying clients. Our growth in average monthly paying clients primarily reflects growth in our featured listing product of $3.8 million, WM Business subscription offering of $0.9 million and other ad and SaaS solutions of $6.6 million, which includes revenues attributable to companies we acquired since the second quarter of 2021. For the three months ended June 30, 2022, featured listing product, WM Business subscription offering and other ad and SaaS solutions represented 51%, 20% and 29% of our total revenues,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9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3,858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1,950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6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revenues was $3.9 million for the three months ended June 30, 2022 compared to $1.9 million for the same period in 2021. The increase was primarily related to an increase of $1.6 million attributable to inventory costs of certain advertising revenue as well as the cost of revenue attributable to a company we acquired in the third quarter of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05"/>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Pr>
          <w:p>
            <w:pPr>
              <w:spacing w:after="0"/>
              <w:rPr>
                <w:sz w:val="24"/>
                <w:szCs w:val="24"/>
                <w:color w:val="auto"/>
              </w:rPr>
            </w:pPr>
          </w:p>
        </w:tc>
      </w:tr>
      <w:tr>
        <w:trPr>
          <w:trHeight w:val="223"/>
        </w:trPr>
        <w:tc>
          <w:tcPr>
            <w:tcW w:w="49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22,123</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15,271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6,852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Sales and marketing expenses increased by $6.9 million, or 45% for the three months ended June 30, 2022 compared to the same period in 2021. The increase was primarily due to increases in personnel-related costs of $4.9 million, branding and advertising costs of $1.0 million, outside services costs of $0.8 million, website advertising expense of $0.3 million as more advertising options become available in the cannabis industry, and travel and entertainment expense of $0.5 million, offset by a decrease in event expense of $1.0 million. The increase in personnel-related costs was attributable to increased headcount and a $0.8 million of bonus expense related to future bonus payouts in connection with prior acquisitions, offset by a decrease in stock-based compensation expense of $1.8 million due to additional stock-based compensation expense recognized in the 2021 period as a result of the Business Combination.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5"/>
        </w:trPr>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13,263</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10,271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2,992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Product development expenses increased by $3.0 million, or 29% for the three months ended June 30, 2022 compared to the same period in 2021. This increase was primarily due to an increase in personnel-related costs of $7.0 million and an increase in outside services of $0.6 million, offset by capitalized software costs of $4.6 million. The increase in personnel</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229"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costs was primarily due to increases in salaries and wages of $4.8 million and an increase in bonus expense of $1.4 million.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5"/>
        </w:trPr>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6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46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29,610</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33,770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(4,160)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$4.2 million, or 12% for the three months ended June 30, 2022 compared to the same period in 2021. This decrease was primarily due to decreases in personnel-related costs of $9.5 million and impairment of right-of-use assets of $1.8 million, offset by increases in insurance costs of $2.2 million for additional insurance coverage as a public company, software costs of $1.2 million, bad debt expense of $1.4 million and professional fees of $2.3 million. The decrease in personnel-related costs includes a decrease in stock-based compensation expense of $9.1 million as a result of the additional stock-based compensation expense recognized in the 2021 period as a result of the Business Combination.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4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2,458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1,470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and amortization expenses increased $1.5 million, or 149% for the three months ended June 30, 2022 compared to the same period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increase was primarily due to increases in capitalized software amortization of $0.9 million and amortization of intangible assets of $0.3 million.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5"/>
        </w:trPr>
        <w:tc>
          <w:tcPr>
            <w:tcW w:w="4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23"/>
        </w:trPr>
        <w:tc>
          <w:tcPr>
            <w:tcW w:w="4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32,234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37,791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(5,557)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490"/>
              <w:spacing w:after="0"/>
              <w:rPr>
                <w:sz w:val="20"/>
                <w:szCs w:val="20"/>
                <w:color w:val="auto"/>
              </w:rPr>
            </w:pPr>
            <w:r>
              <w:rPr>
                <w:rFonts w:ascii="Times New Roman" w:cs="Times New Roman" w:eastAsia="Times New Roman" w:hAnsi="Times New Roman"/>
                <w:sz w:val="18"/>
                <w:szCs w:val="18"/>
                <w:color w:val="auto"/>
              </w:rPr>
              <w:t>5,391</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31,722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(166)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0" w:lineRule="exact"/>
        <w:rPr>
          <w:sz w:val="20"/>
          <w:szCs w:val="20"/>
          <w:color w:val="auto"/>
        </w:rPr>
      </w:pPr>
    </w:p>
    <w:p>
      <w:pPr>
        <w:spacing w:after="0" w:line="2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(expense), net decreased by $0.2 million for the three months ended June 30, 2022 compared to the same period in 2021. The decrease in other income was primarily due to comparatively unfavorable changes in fair value of warrant liability of $5.6 million, offset by a decrease in other expense, net of $5.4 million primarily attributable to transaction costs of $5.5 million recognized in the 2021 period related to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2022 and 2021</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5"/>
        </w:trPr>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4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Pr>
          <w:p>
            <w:pPr>
              <w:spacing w:after="0"/>
              <w:rPr>
                <w:sz w:val="24"/>
                <w:szCs w:val="24"/>
                <w:color w:val="auto"/>
              </w:rPr>
            </w:pPr>
          </w:p>
        </w:tc>
      </w:tr>
      <w:tr>
        <w:trPr>
          <w:trHeight w:val="223"/>
        </w:trPr>
        <w:tc>
          <w:tcPr>
            <w:tcW w:w="47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115,746</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27,661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1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Total revenues increased by $27.7 million, or 31%, for the six months ended June 30, 2022 compared to the same period in 2021. The increase was driven by a 30% increase in average monthly paying clients. Our growth in average monthly revenue per paying client and average monthly paying clients primarily reflects growth in our featured listing product of $11.5 million, WM Business subscription offering of $2.7 million and other ad and SaaS solutions of $13.4 million, which includes revenues attributable to companies we acquired since the second quarter of 2021. For the six months ended June 30, 2022, featured listing product, WM Business subscription offering and other ad and SaaS solutions represented 52%, 20% and 28% of our total revenues,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4"/>
        </w:trPr>
        <w:tc>
          <w:tcPr>
            <w:tcW w:w="4240" w:type="dxa"/>
            <w:vAlign w:val="bottom"/>
          </w:tcPr>
          <w:p>
            <w:pPr>
              <w:spacing w:after="0"/>
              <w:rPr>
                <w:sz w:val="24"/>
                <w:szCs w:val="24"/>
                <w:color w:val="auto"/>
              </w:rPr>
            </w:pPr>
          </w:p>
        </w:tc>
        <w:tc>
          <w:tcPr>
            <w:tcW w:w="27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Borders>
              <w:bottom w:val="single" w:sz="8" w:color="auto"/>
            </w:tcBorders>
          </w:tcPr>
          <w:p>
            <w:pPr>
              <w:spacing w:after="0"/>
              <w:rPr>
                <w:sz w:val="24"/>
                <w:szCs w:val="24"/>
                <w:color w:val="auto"/>
              </w:rPr>
            </w:pPr>
          </w:p>
        </w:tc>
      </w:tr>
      <w:tr>
        <w:trPr>
          <w:trHeight w:val="223"/>
        </w:trPr>
        <w:tc>
          <w:tcPr>
            <w:tcW w:w="4240" w:type="dxa"/>
            <w:vAlign w:val="bottom"/>
          </w:tcPr>
          <w:p>
            <w:pPr>
              <w:spacing w:after="0"/>
              <w:rPr>
                <w:sz w:val="19"/>
                <w:szCs w:val="19"/>
                <w:color w:val="auto"/>
              </w:rPr>
            </w:pPr>
          </w:p>
        </w:tc>
        <w:tc>
          <w:tcPr>
            <w:tcW w:w="10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8"/>
              </w:rPr>
              <w:t>7,598</w:t>
            </w:r>
          </w:p>
        </w:tc>
        <w:tc>
          <w:tcPr>
            <w:tcW w:w="10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3,765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3,833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6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revenues increased by $3.8 million, or 102%, for the six months ended June 30, 2022 compared to the same period in 2021. The increase was primarily related to an increase of $3.1 million attributable to inventory costs of certain advertising revenue as well as the cost of revenue attributable to a company we acquired in the third quarter of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5"/>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2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4"/>
                <w:szCs w:val="24"/>
                <w:color w:val="auto"/>
              </w:rPr>
            </w:pPr>
          </w:p>
        </w:tc>
      </w:tr>
      <w:tr>
        <w:trPr>
          <w:trHeight w:val="223"/>
        </w:trPr>
        <w:tc>
          <w:tcPr>
            <w:tcW w:w="45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44,005</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24,388</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19,617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$19.6 million, or 80%, for the six months ended June 30, 2022 compared to the same period in 2021. The increase was primarily due to increases in personnel-related costs of $13.8 million, outside services costs of $2.6 million, branding and advertising expense of $1.5 million and website advertising expense of $1.3 million. The increase in personnel-related costs was primarily due to increased headcount, including increases in salaries and wages of $8.6 million and bonus expense of $4.1 million, which includes $2.0 million of expense related to future bonus payouts in connection with prior acquisitions.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5"/>
        </w:trPr>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80" w:type="dxa"/>
            <w:vAlign w:val="bottom"/>
          </w:tcPr>
          <w:p>
            <w:pPr>
              <w:spacing w:after="0"/>
              <w:rPr>
                <w:sz w:val="24"/>
                <w:szCs w:val="24"/>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r>
      <w:tr>
        <w:trPr>
          <w:trHeight w:val="223"/>
        </w:trPr>
        <w:tc>
          <w:tcPr>
            <w:tcW w:w="44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 expenses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26,353</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18,139</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8,214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4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Product development expenses increased by $8.2 million, or 45% for the six months ended June 30, 2022 compared to the same period in 2021. The increase was primarily due to increases in personnel-related costs of $14.9 million and outside services costs of $1.4 million, offset by an increase in capitalized software development costs of $8.3 million. The increase in personnel-related costs was primarily due to increases in salaries, wages and bonus of $11.9 million, due to increased headcount, and stock-based compensation costs of $1.9 million driven by the issuance of restricted stock units to our employees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229"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half of 2021 and the first half of 2022. Bonus expense for the first half of 2022 includes $0.7 million of expense related to future bonus payouts in connection with prior acquisitions.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4"/>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0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4"/>
                <w:szCs w:val="24"/>
                <w:color w:val="auto"/>
              </w:rPr>
            </w:pPr>
          </w:p>
        </w:tc>
      </w:tr>
      <w:tr>
        <w:trPr>
          <w:trHeight w:val="223"/>
        </w:trPr>
        <w:tc>
          <w:tcPr>
            <w:tcW w:w="46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58,665</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47,136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11,529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66" w:lineRule="exact"/>
        <w:rPr>
          <w:sz w:val="20"/>
          <w:szCs w:val="20"/>
          <w:color w:val="auto"/>
        </w:rPr>
      </w:pPr>
    </w:p>
    <w:p>
      <w:pPr>
        <w:jc w:val="both"/>
        <w:ind w:firstLine="486"/>
        <w:spacing w:after="0" w:line="238" w:lineRule="auto"/>
        <w:rPr>
          <w:sz w:val="20"/>
          <w:szCs w:val="20"/>
          <w:color w:val="auto"/>
        </w:rPr>
      </w:pPr>
      <w:r>
        <w:rPr>
          <w:rFonts w:ascii="Times New Roman" w:cs="Times New Roman" w:eastAsia="Times New Roman" w:hAnsi="Times New Roman"/>
          <w:sz w:val="18"/>
          <w:szCs w:val="18"/>
          <w:color w:val="auto"/>
        </w:rPr>
        <w:t>General and administrative expenses increased by $11.5 million, or 24%, for the six months ended June 30, 2022 compared to the same period in 2021. This increase was primarily due to increases in salaries and wages of $2.7 million, insurance costs of $5.4 million as a result of additional insurance coverage as a public company, bad debt expense of $4.0 million due to higher reserves for past due balances, professional services of $3.5 million and software expense of $2.6 million. These increases were partially offset by a decrease in stock-based compensation expense of $4.8 million and a decrease in impairment loss on right-of-use assets of $1.8 million. The decrease in stock-based compensation expense was a result of additional stock-based compensation expense recognized in the 2021 period in connection with the Business Combination.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4"/>
        </w:trPr>
        <w:tc>
          <w:tcPr>
            <w:tcW w:w="4540" w:type="dxa"/>
            <w:vAlign w:val="bottom"/>
          </w:tcPr>
          <w:p>
            <w:pPr>
              <w:spacing w:after="0"/>
              <w:rPr>
                <w:sz w:val="24"/>
                <w:szCs w:val="24"/>
                <w:color w:val="auto"/>
              </w:rPr>
            </w:pPr>
          </w:p>
        </w:tc>
        <w:tc>
          <w:tcPr>
            <w:tcW w:w="28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spacing w:after="0"/>
              <w:rPr>
                <w:sz w:val="24"/>
                <w:szCs w:val="24"/>
                <w:color w:val="auto"/>
              </w:rPr>
            </w:pPr>
          </w:p>
        </w:tc>
      </w:tr>
      <w:tr>
        <w:trPr>
          <w:trHeight w:val="223"/>
        </w:trPr>
        <w:tc>
          <w:tcPr>
            <w:tcW w:w="4540" w:type="dxa"/>
            <w:vAlign w:val="bottom"/>
          </w:tcPr>
          <w:p>
            <w:pPr>
              <w:spacing w:after="0"/>
              <w:rPr>
                <w:sz w:val="19"/>
                <w:szCs w:val="19"/>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8"/>
              </w:rPr>
              <w:t>6,403</w:t>
            </w:r>
          </w:p>
        </w:tc>
        <w:tc>
          <w:tcPr>
            <w:tcW w:w="108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1,990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4,413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increased $4.4 million for the six months ended June 30, 2022 compared to the same period in 2021. The increase was primarily due to increases in capitalized software amortization of $2.6 million, fixed asset depreciation of $0.9 million and intangible asset amortization of $0.9 million. Capitalized software amortization included accelerated depreciation of $1.1 million related to discontinued product features of WM Retail in the first quarter of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 net</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4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8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Pr>
          <w:p>
            <w:pPr>
              <w:spacing w:after="0"/>
              <w:rPr>
                <w:sz w:val="22"/>
                <w:szCs w:val="22"/>
                <w:color w:val="auto"/>
              </w:rPr>
            </w:pPr>
          </w:p>
        </w:tc>
      </w:tr>
      <w:tr>
        <w:trPr>
          <w:trHeight w:val="223"/>
        </w:trPr>
        <w:tc>
          <w:tcPr>
            <w:tcW w:w="43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37,791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(23,776)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(6,041)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ind w:right="530"/>
              <w:spacing w:after="0"/>
              <w:rPr>
                <w:sz w:val="20"/>
                <w:szCs w:val="20"/>
                <w:color w:val="auto"/>
              </w:rPr>
            </w:pPr>
            <w:r>
              <w:rPr>
                <w:rFonts w:ascii="Times New Roman" w:cs="Times New Roman" w:eastAsia="Times New Roman" w:hAnsi="Times New Roman"/>
                <w:sz w:val="18"/>
                <w:szCs w:val="18"/>
                <w:color w:val="auto"/>
              </w:rPr>
              <w:t>4,861</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31,750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(18,915)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(expense) income, net decreased by $18.9 million for the six months ended June 30, 2022 compared to the same period in 2021. The decrease in other (expense) income, net was primarily due to comparatively unfavorable changes in fair value of warrant liability of $23.8 million, which was partially offset by a decrease in other expense, net of $4.9 million, primarily attributable to transaction costs of $5.5 million recognized in the 2021 period related to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24"/>
        </w:trPr>
        <w:tc>
          <w:tcPr>
            <w:tcW w:w="92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5"/>
        </w:trPr>
        <w:tc>
          <w:tcPr>
            <w:tcW w:w="7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60" w:type="dxa"/>
            <w:vAlign w:val="bottom"/>
            <w:gridSpan w:val="3"/>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47,604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67,777</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27,305</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45,462</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61,134</w:t>
            </w:r>
          </w:p>
        </w:tc>
      </w:tr>
    </w:tbl>
    <w:p>
      <w:pPr>
        <w:spacing w:after="0" w:line="1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June 30, 2022, we had cash of $47.6 million. During the second quarter of 2021, we completed the Business Combination, resulting in proceeds of approximately $80.0 million. Our funds are being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64"/>
        </w:trPr>
        <w:tc>
          <w:tcPr>
            <w:tcW w:w="8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Pr>
          <w:p>
            <w:pPr>
              <w:spacing w:after="0"/>
              <w:rPr>
                <w:sz w:val="19"/>
                <w:szCs w:val="19"/>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16,539</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56,040</w:t>
            </w:r>
          </w:p>
        </w:tc>
      </w:tr>
    </w:tbl>
    <w:p>
      <w:pPr>
        <w:spacing w:after="0" w:line="2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and amortization, change in fair value of warrant liability, impairment charges, stock-based compensation, provision for doubtful accounts, deferred taxes and the effect of changes in working capital.</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was $3.8 million, which resulted from a net loss of $11.4 million, together with net cash outflows of $2.6 million from changes in operating assets and liabilities, and non-cash items of $10.2 million, consisting of depreciation and amortization of $6.4 million, fair value of warrant liability of $14.0 million, stock-based compensation of $15.6 million, deferred income taxes of $3.1 million, provision for doubtful accounts of $4.7 million and impairment loss on right-of-use asset of $0.6 million. Net cash outflows from changes in operating assets and liabilities were primarily due to an increase in accounts receivable of $13.6 million, partially offset by a decrease in prepaid expenses and other assets of $2.9 million and an increase in accounts payable and accrued expenses of $8.9 million. The changes in operating assets and liabilities are mostly due to fluctuations in timing of cash receipts and payments.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2021 was $16.5 million, which resulted from net income of approximately $24.6 million, together with net cash inflows of approximately $5.7 million from changes in operating assets and liabilities, and non-cash items of $13.7 million, consisting of depreciation and amortization of $2.0 million, fair value of warrant liability of $37.8 million, stock-based compensation of $19.4 million, impairment loss on right-of-use asset of $2.4 million, provision for doubtful accounts of $0.7 million and deferred income taxes of $0.4 million. The net cash</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229"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inflows from changes in operating assets and liabilities were primarily due to a decrease in prepaid expenses and other current assets of $4.4 million, an increase in accounts payable and accrued expenses of $1.7 million, an increase in deferred revenue of $1.7 million. These changes were partially offset by an increase in accounts receivables of $2.1 million. The changes in operating assets and liabilities are mostly due to fluctuations in timing of cash receipts and payments.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2022 was $10.3 million, which resulted from $8.6 million cash paid for purchases of property and equipment, including certain capitalized software development costs, net cash paid for acquisition of $0.7 million and cash paid for an acquisition holdback release of $1.0 million.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used in investing activities for the six months ended June 30, 2021 was $0.8 million for purchases of property and equipment.</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Net Cash (Used in) Provided by Financing Activities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Cash outflows from financing activities for the six months ended June 30, 2022 was $6.1 million, which primarily consists of repayments of insurance premium financing of $4.3 million and distributions of $1.8 million to the Unit holders other than the Company.</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2021 was $56.0 million, which resulted from proceeds from the Business Combination of $80.3 million, distributions of $18.1 million, repurchase of Class B Units of $5.6 million and repayments of insurance premium financing of $0.4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income taxes, stock-based compensation, capitalized software development costs,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to our condensed consolidated financial statements included herein.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and additional offerings for access to the Weedmaps platform and SaaS solutions.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We exclude sales taxes and other similar taxes from the measurement of the transaction price. The determination of the performance obligations and the timing of satisfaction of such obligations either over time or at a point-in-time requires us to make significant judgement and estimates.</w:t>
      </w:r>
    </w:p>
    <w:p>
      <w:pPr>
        <w:spacing w:after="0" w:line="81"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Substantially all of our revenue is generated by providing standard listing subscription services and other paid listing subscriptions services, including featured listings, placements, promoted deals, nearby listings, other display advertising as well as customer relationship management and delivery and logistic services. These arrangements are recognized over-time, generally during a month-to-month subscription period as the products are provided.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WM Technology, Inc. is subject to U.S. federal income taxes, in addition to state and local income taxes with respect to its allocable share of any taxable income of WMH LLC following the Business Combination. The Company is also subject to taxes in foreign jurisdictions. Any taxable income or loss generated by WMH LLC is passed through to and included in the taxable income or loss of its members, including WM Technology, Inc. following the Business Combination, on a pro rata basis. WM Technology, Inc. is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 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 Our calculation of the TRA asset and liability requires estimates of its future qualified taxable income over the term of the TRA as a basis to determine if the related tax benefits are expected to be realized. As of June 30, 2022, total net deferred tax assets and TRA liability were $183.2 million and $142.7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three and six months ended June 30, 2022, we recognized stock-based compensation expense of $8.1 million and $15.6 million, respectively, and for the three and six months ended June 30, 2021, we recognized stock-based compensation expense of $19.4 million. See Note 11 to our condensed consolidated financial statements included herein.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capitalize certain costs related to the development and enhancement of the Weedmaps platform and SaaS solutions. In accordance with authoritative guidance, we began to capitalize these costs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judgement, assumptions and estimates related to the timing and amount of recognized capitalized software development costs. For the three and six months ended June 30, 2022, we capitalized $4.5 million and $8.6 million of costs related to the development of software applications,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See Note 2 to our consolidated financial statements included herein.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486"/>
        <w:spacing w:after="0" w:line="271" w:lineRule="auto"/>
        <w:rPr>
          <w:sz w:val="20"/>
          <w:szCs w:val="20"/>
          <w:color w:val="auto"/>
        </w:rPr>
      </w:pPr>
      <w:r>
        <w:rPr>
          <w:rFonts w:ascii="Times New Roman" w:cs="Times New Roman" w:eastAsia="Times New Roman" w:hAnsi="Times New Roman"/>
          <w:sz w:val="17"/>
          <w:szCs w:val="17"/>
          <w:color w:val="auto"/>
        </w:rPr>
        <w:t xml:space="preserve">In connection with the Business Combination, we assumed 12,499,993 Public Warrants and 7,000,000 Private Placement Warrants. As of June 30, 2022, 12,499,973 of the Public Warrants and all of the Private Placement Warrants remained outstanding . The warrants are measured at fair value under ASC 820 -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The fair value of the Public Warrants is classified as Level 1 financial instruments and is based on 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June 30, 2022 and December 31, 2021, warranty liability was $13.4 million and $27.5 million, respectively. See Note 4 to our condensed consolidated financial statements included herein.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 included herein.</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 As of June 30, 2022, we did not have any cash equivalents.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we only hold cash and, our portfolio’s fair value is insensitive to interest rate changes. In future periods, we will continue to evaluate our investment policy in order to ensure that we continue to meet our overall objectives.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Other than as set forth in the note above titled “</w:t>
      </w:r>
      <w:r>
        <w:rPr>
          <w:rFonts w:ascii="Times New Roman" w:cs="Times New Roman" w:eastAsia="Times New Roman" w:hAnsi="Times New Roman"/>
          <w:sz w:val="18"/>
          <w:szCs w:val="18"/>
          <w:i w:val="1"/>
          <w:iCs w:val="1"/>
          <w:color w:val="auto"/>
        </w:rPr>
        <w:t>Growth and Retention of Our Paying Clients</w:t>
      </w:r>
      <w:r>
        <w:rPr>
          <w:rFonts w:ascii="Times New Roman" w:cs="Times New Roman" w:eastAsia="Times New Roman" w:hAnsi="Times New Roman"/>
          <w:sz w:val="18"/>
          <w:szCs w:val="18"/>
          <w:color w:val="auto"/>
        </w:rPr>
        <w:t>”, 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Under the supervision and with the participation of our management, including our Chief Executive Officer and Chief Financial Officer, we evaluated the effectiveness of our disclosure controls and procedures (as defined in Rules 13a-15(e) and 15d-15(e) under the Exchange Act) as of June 30, 2022. Based upon that evaluation, our Chief Executive Officer and Chief Financial Officer concluded that our disclosure controls and procedures were effective as of the end of the period covered by this report.</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229"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than execution of the material weakness remediation activities described below, there has been no change in our internal control over financial reporting (as defined in Rules 13a-15(f) and 15d-15(f) under the Exchange Act), during the three months ended June 30, 2022 that has materially affected, or is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Disclosed Material Weakness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previously identified and disclosed in our 2021 Annual Report, as well as in our Quarterly Report on Form 10-Q filed for the quarter ended March 31, 2022, a material weakness in our operation of controls over the classification and accounting for the private placement warrants and public warrants (collectively, the “warrants”), which were initially issued by Silver Spike Acquisition Corp in connection with its initial public offering and assumed by the Company in connection with the consummation of the Business Combination. As of June 30, 2022, Management has completed the implementation of our remediation efforts of the material weakness related to accounting for the warrants.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Our remediation efforts included demonstrating our ability to effectively operate our controls and enhancing our control design to require the formalized consideration of obtaining additional technical guidance in connection with evaluating significant or unusual transactions. These additional considerations include items such as obtaining additional accounting pronouncements or performing consultations with third party accounting specialists, authoritative bodies or regulators.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set forth under "Commitment and Contingencies—Litigation" in Note 3 of the notes to the condensed consolidated financial statements included in Part I, Item 1 of this Quarterly Report on Form 10-Q is incorporated by reference into this Item 1.</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Investment in our securities involves risk. An investor or potential investor should consider the risks summarized below and under the caption “Risk Factors” in Part I, Item 1A of our Annual Report on Form 10-K for the year ended December 31, 2021 (our “2021 Form 10-K”) and the risk factor discussed below when making investment decisions regarding our securities. Except for the risk factor discussed below, we do not believe that there have been any material changes to the risk factors disclosed our 2021 Form 10-K.</w:t>
      </w:r>
    </w:p>
    <w:p>
      <w:pPr>
        <w:spacing w:after="0" w:line="6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performance metrics, including MAUs,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202"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 statistics could include a significant number of repeat underlying users.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205" w:lineRule="exact"/>
        <w:rPr>
          <w:sz w:val="20"/>
          <w:szCs w:val="20"/>
          <w:color w:val="auto"/>
        </w:rPr>
      </w:pPr>
    </w:p>
    <w:p>
      <w:pPr>
        <w:ind w:right="40" w:firstLine="486"/>
        <w:spacing w:after="0" w:line="250" w:lineRule="auto"/>
        <w:rPr>
          <w:sz w:val="20"/>
          <w:szCs w:val="20"/>
          <w:color w:val="auto"/>
        </w:rPr>
      </w:pPr>
      <w:r>
        <w:rPr>
          <w:rFonts w:ascii="Times New Roman" w:cs="Times New Roman" w:eastAsia="Times New Roman" w:hAnsi="Times New Roman"/>
          <w:sz w:val="18"/>
          <w:szCs w:val="18"/>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drive engagement on our platform, as well as changes to our user engagement and advertising strategy and practices, pose risks to our business.</w:t>
      </w:r>
    </w:p>
    <w:p>
      <w:pPr>
        <w:spacing w:after="0" w:line="185" w:lineRule="exact"/>
        <w:rPr>
          <w:sz w:val="20"/>
          <w:szCs w:val="20"/>
          <w:color w:val="auto"/>
        </w:rPr>
      </w:pPr>
    </w:p>
    <w:p>
      <w:pPr>
        <w:jc w:val="both"/>
        <w:ind w:firstLine="324"/>
        <w:spacing w:after="0" w:line="227" w:lineRule="auto"/>
        <w:rPr>
          <w:sz w:val="20"/>
          <w:szCs w:val="20"/>
          <w:color w:val="auto"/>
        </w:rPr>
      </w:pPr>
      <w:r>
        <w:rPr>
          <w:rFonts w:ascii="Times New Roman" w:cs="Times New Roman" w:eastAsia="Times New Roman" w:hAnsi="Times New Roman"/>
          <w:sz w:val="18"/>
          <w:szCs w:val="18"/>
          <w:color w:val="auto"/>
        </w:rPr>
        <w:t>Our clients use our products and services as they believe the value received from paying for our products and services justifies the cost of those services. We believe the overall level of engagement of our users with our clients is critical to our success and our long-term financial performance. As we evolve our user engagement and advertising strategy and practices, we may not be successful in improving user engagement in a cost-efficient manner, or at all. Certain operating decisions, including the likelihood of decreased usage of pop-under advertisements, may significantly decrease our reported user engagement and/or traffic, increase the cost of generating user engagement and/or traffic or decrease our overall success rate in promoting engagement on our platform. Declining user growth, engagement or traffic could make us less attractive to our clients, which may seriously harm our business. In addition, we continue to compete with other companies to attract and retain consumer attention. A number of factors have affected and could potentially negatively affect our reported user engagement and/or traffic and our overall user engagement with our clients, including if:</w:t>
      </w:r>
    </w:p>
    <w:p>
      <w:pPr>
        <w:spacing w:after="0" w:line="202" w:lineRule="exact"/>
        <w:rPr>
          <w:sz w:val="20"/>
          <w:szCs w:val="20"/>
          <w:color w:val="auto"/>
        </w:rPr>
      </w:pPr>
    </w:p>
    <w:p>
      <w:pPr>
        <w:ind w:left="660" w:right="500" w:hanging="328"/>
        <w:spacing w:after="0" w:line="24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to entice consumers to use our products and services, or our consumers don’t have the ability to maximize the consumer experience;</w:t>
      </w: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convince consumers and clients of the value and usefulness of our platform and services;</w:t>
      </w:r>
    </w:p>
    <w:p>
      <w:pPr>
        <w:ind w:left="660" w:right="540" w:hanging="328"/>
        <w:spacing w:after="0" w:line="22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find cost-effective marketing channels or other strategies to drive traffic to our website, including replacing any pop-under advertisements that we have or may discontinue;</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fail to operate effectively on the iOS or Android mobile operating systems;</w:t>
      </w: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continue to develop products that work with a variety of mobile operating systems, networks, and smartphones;</w:t>
      </w:r>
    </w:p>
    <w:p>
      <w:pPr>
        <w:ind w:left="660" w:right="200" w:hanging="328"/>
        <w:spacing w:after="0" w:line="22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because of the decisions we make regarding the type and frequency of advertisements that we display or the structure and design of our products;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engage more with competing platforms or products at the expense of ours or those of our clients;</w:t>
      </w: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manner in which we promote engagement or traffic is seen by consumers or clients as unappealing or harm our brand image or reputation;</w:t>
      </w: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concerns about the privacy implications, safety, or security of our products;</w:t>
      </w:r>
    </w:p>
    <w:p>
      <w:pPr>
        <w:ind w:left="660" w:right="380" w:hanging="328"/>
        <w:spacing w:after="0" w:line="229"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subject to increased regulatory scrutiny or approvals, or there are changes in our products that are mandated or prompted by legislation, regulatory authorities, executive actions, or litigation, including settlements or consent decrees, that adversely affect the consumer experience;</w:t>
      </w:r>
    </w:p>
    <w:p>
      <w:pPr>
        <w:spacing w:after="0" w:line="1" w:lineRule="exact"/>
        <w:rPr>
          <w:rFonts w:ascii="Times New Roman" w:cs="Times New Roman" w:eastAsia="Times New Roman" w:hAnsi="Times New Roman"/>
          <w:sz w:val="18"/>
          <w:szCs w:val="18"/>
          <w:color w:val="auto"/>
        </w:rPr>
      </w:pPr>
    </w:p>
    <w:p>
      <w:pPr>
        <w:ind w:left="660" w:right="520" w:hanging="328"/>
        <w:spacing w:after="0" w:line="23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frustrate the consumer experience, including by providers that host our platforms, particularly if those problems prevent us from delivering our product experience in a fast and reliable manner;</w:t>
      </w:r>
    </w:p>
    <w:p>
      <w:pPr>
        <w:spacing w:after="0" w:line="1" w:lineRule="exact"/>
        <w:rPr>
          <w:rFonts w:ascii="Times New Roman" w:cs="Times New Roman" w:eastAsia="Times New Roman" w:hAnsi="Times New Roman"/>
          <w:sz w:val="18"/>
          <w:szCs w:val="18"/>
          <w:color w:val="auto"/>
        </w:rPr>
      </w:pPr>
    </w:p>
    <w:p>
      <w:pPr>
        <w:ind w:left="660" w:right="220" w:hanging="328"/>
        <w:spacing w:after="0" w:line="22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other companies in our industry segment are the subject of adverse media reports or other negative publicity, some of which may be inaccurate or include confidential information that we are unable to correct or retract; or</w:t>
      </w:r>
    </w:p>
    <w:p>
      <w:pPr>
        <w:spacing w:after="0" w:line="1" w:lineRule="exact"/>
        <w:rPr>
          <w:rFonts w:ascii="Times New Roman" w:cs="Times New Roman" w:eastAsia="Times New Roman" w:hAnsi="Times New Roman"/>
          <w:sz w:val="18"/>
          <w:szCs w:val="18"/>
          <w:color w:val="auto"/>
        </w:rPr>
      </w:pPr>
    </w:p>
    <w:p>
      <w:pPr>
        <w:ind w:left="660" w:right="560" w:hanging="328"/>
        <w:spacing w:after="0" w:line="24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reduce consumer activity on our website or our applications by making it easier for our consumers to interact directly with our clients.</w:t>
      </w:r>
    </w:p>
    <w:p>
      <w:pPr>
        <w:spacing w:after="0" w:line="209"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Any decrease to consumer retention, growth, or engagement could render our products less attractive to consumers, advertisers, or partners, and could seriously harm our business.</w:t>
      </w:r>
    </w:p>
    <w:p>
      <w:pPr>
        <w:spacing w:after="0" w:line="18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185" w:lineRule="exact"/>
        <w:rPr>
          <w:sz w:val="20"/>
          <w:szCs w:val="20"/>
          <w:color w:val="auto"/>
        </w:rPr>
      </w:pPr>
    </w:p>
    <w:p>
      <w:pPr>
        <w:jc w:val="both"/>
        <w:ind w:firstLine="486"/>
        <w:spacing w:after="0" w:line="229" w:lineRule="auto"/>
        <w:rPr>
          <w:sz w:val="20"/>
          <w:szCs w:val="20"/>
          <w:color w:val="auto"/>
        </w:rPr>
      </w:pPr>
      <w:r>
        <w:rPr>
          <w:rFonts w:ascii="Times New Roman" w:cs="Times New Roman" w:eastAsia="Times New Roman" w:hAnsi="Times New Roman"/>
          <w:sz w:val="18"/>
          <w:szCs w:val="18"/>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201"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Additionally, we have made acquisitions recently and may make additional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213" w:lineRule="exact"/>
        <w:rPr>
          <w:sz w:val="20"/>
          <w:szCs w:val="20"/>
          <w:color w:val="auto"/>
        </w:rPr>
      </w:pPr>
    </w:p>
    <w:p>
      <w:pPr>
        <w:jc w:val="both"/>
        <w:ind w:left="660" w:hanging="328"/>
        <w:spacing w:after="0" w:line="261" w:lineRule="auto"/>
        <w:tabs>
          <w:tab w:leader="none" w:pos="7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25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 the acquired business lose customers or contractual partners who no longer wish to do business with the acquired business once we acquire it;</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sales for both us and the company we acquired due to uncertainty about continuity and effectiveness of products or support from either company;</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or may be unable to, successfully sell any acquired products;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involve the entry into geographic or business markets in which we have little or no prior experience or where competitors have stronger market positions;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strain on our financial and managerial controls and reporting systems and procedures;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known and unknown liabilities associated with an acquired company;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such acquisitions, such debt may subject us to material restrictions on our ability to conduct our business as well as financial maintenance covenants;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charges related to potential write-downs of acquired assets or goodwill in future acquisitions;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issue a significant amount of equity or convertible debt securities in connection with future acquisitions, existing equity holders may be diluted and earnings per share may decrease; and</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varying intellectual property protection strategies and other activities of an acquired company.</w:t>
      </w:r>
    </w:p>
    <w:p>
      <w:pPr>
        <w:spacing w:after="0" w:line="220"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95" w:lineRule="exact"/>
        <w:rPr>
          <w:sz w:val="20"/>
          <w:szCs w:val="20"/>
          <w:color w:val="auto"/>
        </w:rPr>
      </w:pPr>
    </w:p>
    <w:p>
      <w:pPr>
        <w:jc w:val="both"/>
        <w:ind w:right="20"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of our Class A Common Stock may be sold into the market in the near future. This could cause the market price of our Class A Common Stock to drop significantly, even if our business is doing well.</w:t>
      </w:r>
    </w:p>
    <w:p>
      <w:pPr>
        <w:spacing w:after="0" w:line="185" w:lineRule="exact"/>
        <w:rPr>
          <w:sz w:val="20"/>
          <w:szCs w:val="20"/>
          <w:color w:val="auto"/>
        </w:rPr>
      </w:pPr>
    </w:p>
    <w:p>
      <w:pPr>
        <w:jc w:val="both"/>
        <w:ind w:firstLine="486"/>
        <w:spacing w:after="0" w:line="232"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199" w:lineRule="exact"/>
        <w:rPr>
          <w:sz w:val="20"/>
          <w:szCs w:val="20"/>
          <w:color w:val="auto"/>
        </w:rPr>
      </w:pPr>
    </w:p>
    <w:p>
      <w:pPr>
        <w:jc w:val="both"/>
        <w:ind w:firstLine="486"/>
        <w:spacing w:after="0" w:line="229" w:lineRule="auto"/>
        <w:rPr>
          <w:sz w:val="20"/>
          <w:szCs w:val="20"/>
          <w:color w:val="auto"/>
        </w:rPr>
      </w:pPr>
      <w:r>
        <w:rPr>
          <w:rFonts w:ascii="Times New Roman" w:cs="Times New Roman" w:eastAsia="Times New Roman" w:hAnsi="Times New Roman"/>
          <w:sz w:val="18"/>
          <w:szCs w:val="18"/>
          <w:color w:val="auto"/>
        </w:rPr>
        <w:t>To the extent our Warrants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Securityholders, subject to certain restrictions on transfer until the termination of applicable lock-up periods, could increase the volatility of the market price of our Class A Common Stock or adversely affect the market price of our Class A Common Stock.”</w:t>
      </w:r>
    </w:p>
    <w:p>
      <w:pPr>
        <w:spacing w:after="0" w:line="1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Quarterly Report on Form 10-Q.</w:t>
      </w:r>
    </w:p>
    <w:p>
      <w:pPr>
        <w:sectPr>
          <w:pgSz w:w="11900" w:h="16838" w:orient="portrait"/>
          <w:cols w:equalWidth="0" w:num="1">
            <w:col w:w="11220"/>
          </w:cols>
          <w:pgMar w:left="320" w:top="229" w:right="359" w:bottom="1440" w:gutter="0" w:footer="0" w:header="0"/>
        </w:sectPr>
      </w:pP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19685</wp:posOffset>
            </wp:positionV>
            <wp:extent cx="7132320"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Certificate of Incorporation of the Company, dated June 15, 2021 (incorporated by reference to Exhibit 3.1 to the Current Report on Form 8-K filed on June 21, 2021).</w:t>
      </w:r>
    </w:p>
    <w:p>
      <w:pPr>
        <w:spacing w:after="0" w:line="266" w:lineRule="auto"/>
        <w:rPr>
          <w:sz w:val="20"/>
          <w:szCs w:val="20"/>
          <w:color w:val="auto"/>
        </w:rPr>
      </w:pPr>
      <w:r>
        <w:rPr>
          <w:rFonts w:ascii="Times New Roman" w:cs="Times New Roman" w:eastAsia="Times New Roman" w:hAnsi="Times New Roman"/>
          <w:sz w:val="18"/>
          <w:szCs w:val="18"/>
          <w:color w:val="auto"/>
        </w:rPr>
        <w:t>Amended and Restated Bylaws of the Company, dated June 16, 2021 (incorporated by reference to Exhibit 3.2 to the Current report on Form 8-K filed on June 21, 2021).</w:t>
      </w:r>
    </w:p>
    <w:p>
      <w:pPr>
        <w:spacing w:after="0" w:line="266" w:lineRule="auto"/>
        <w:rPr>
          <w:sz w:val="20"/>
          <w:szCs w:val="20"/>
          <w:color w:val="auto"/>
        </w:rPr>
      </w:pPr>
      <w:r>
        <w:rPr>
          <w:rFonts w:ascii="Times New Roman" w:cs="Times New Roman" w:eastAsia="Times New Roman" w:hAnsi="Times New Roman"/>
          <w:sz w:val="18"/>
          <w:szCs w:val="18"/>
          <w:color w:val="auto"/>
        </w:rPr>
        <w:t>Certification of the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-287655</wp:posOffset>
            </wp:positionV>
            <wp:extent cx="7132320"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20"/>
        <w:spacing w:after="0" w:line="266" w:lineRule="auto"/>
        <w:rPr>
          <w:sz w:val="20"/>
          <w:szCs w:val="20"/>
          <w:color w:val="auto"/>
        </w:rPr>
      </w:pPr>
      <w:r>
        <w:rPr>
          <w:rFonts w:ascii="Times New Roman" w:cs="Times New Roman" w:eastAsia="Times New Roman" w:hAnsi="Times New Roman"/>
          <w:sz w:val="18"/>
          <w:szCs w:val="18"/>
          <w:color w:val="auto"/>
        </w:rPr>
        <w:t>Certification of the Principal Financial Officer pursuant to Rules 13a-14(a) and 15d-14(a) under the Securities Exchange Act of 1934, as adopted pursuant to Section 302 of the Sarbanes-Oxley Act of 2002</w:t>
      </w:r>
    </w:p>
    <w:p>
      <w:pPr>
        <w:ind w:right="20"/>
        <w:spacing w:after="0" w:line="266" w:lineRule="auto"/>
        <w:rPr>
          <w:sz w:val="20"/>
          <w:szCs w:val="20"/>
          <w:color w:val="auto"/>
        </w:rPr>
      </w:pPr>
      <w:r>
        <w:rPr>
          <w:rFonts w:ascii="Times New Roman" w:cs="Times New Roman" w:eastAsia="Times New Roman" w:hAnsi="Times New Roman"/>
          <w:sz w:val="18"/>
          <w:szCs w:val="18"/>
          <w:color w:val="auto"/>
        </w:rPr>
        <w:t>Certifications of the Principal Executive Officer and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-287655</wp:posOffset>
            </wp:positionV>
            <wp:extent cx="7132320"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 within the Inline XBRL document)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-127635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900" w:space="320"/>
            <w:col w:w="10000"/>
          </w:cols>
          <w:pgMar w:left="320" w:top="229" w:right="35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Indicates management contract or compensatory plan, contract or agreement.</w:t>
      </w:r>
    </w:p>
    <w:p>
      <w:pPr>
        <w:spacing w:after="0" w:line="50" w:lineRule="exact"/>
        <w:rPr>
          <w:sz w:val="20"/>
          <w:szCs w:val="20"/>
          <w:color w:val="auto"/>
        </w:rPr>
      </w:pPr>
    </w:p>
    <w:p>
      <w:pPr>
        <w:jc w:val="both"/>
        <w:ind w:left="1220" w:hanging="226"/>
        <w:spacing w:after="0" w:line="245" w:lineRule="auto"/>
        <w:tabs>
          <w:tab w:leader="none" w:pos="1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229" w:right="3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620" w:type="dxa"/>
            <w:vAlign w:val="bottom"/>
            <w:gridSpan w:val="3"/>
          </w:tcPr>
          <w:p>
            <w:pPr>
              <w:ind w:left="2340"/>
              <w:spacing w:after="0"/>
              <w:rPr>
                <w:sz w:val="20"/>
                <w:szCs w:val="20"/>
                <w:color w:val="auto"/>
              </w:rPr>
            </w:pPr>
            <w:r>
              <w:rPr>
                <w:rFonts w:ascii="Times New Roman" w:cs="Times New Roman" w:eastAsia="Times New Roman" w:hAnsi="Times New Roman"/>
                <w:sz w:val="18"/>
                <w:szCs w:val="18"/>
                <w:b w:val="1"/>
                <w:bCs w:val="1"/>
                <w:color w:val="auto"/>
              </w:rPr>
              <w:t>WM TECHNOLOGY, INC.</w:t>
            </w:r>
          </w:p>
        </w:tc>
      </w:tr>
      <w:tr>
        <w:trPr>
          <w:trHeight w:val="74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August 9, 2022</w:t>
            </w:r>
          </w:p>
        </w:tc>
        <w:tc>
          <w:tcPr>
            <w:tcW w:w="27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Christopher Beals</w:t>
            </w:r>
          </w:p>
        </w:tc>
      </w:tr>
      <w:tr>
        <w:trPr>
          <w:trHeight w:val="218"/>
        </w:trPr>
        <w:tc>
          <w:tcPr>
            <w:tcW w:w="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Christopher Beals</w:t>
            </w:r>
          </w:p>
        </w:tc>
      </w:tr>
      <w:tr>
        <w:trPr>
          <w:trHeight w:val="228"/>
        </w:trPr>
        <w:tc>
          <w:tcPr>
            <w:tcW w:w="5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5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9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August 9, 2022</w:t>
            </w:r>
          </w:p>
        </w:tc>
        <w:tc>
          <w:tcPr>
            <w:tcW w:w="27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Arden Lee</w:t>
            </w:r>
          </w:p>
        </w:tc>
      </w:tr>
      <w:tr>
        <w:trPr>
          <w:trHeight w:val="218"/>
        </w:trPr>
        <w:tc>
          <w:tcPr>
            <w:tcW w:w="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Arden Lee</w:t>
            </w:r>
          </w:p>
        </w:tc>
      </w:tr>
      <w:tr>
        <w:trPr>
          <w:trHeight w:val="228"/>
        </w:trPr>
        <w:tc>
          <w:tcPr>
            <w:tcW w:w="5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2"/>
        </w:trPr>
        <w:tc>
          <w:tcPr>
            <w:tcW w:w="5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4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tc>
      </w:tr>
      <w:tr>
        <w:trPr>
          <w:trHeight w:val="236"/>
        </w:trPr>
        <w:tc>
          <w:tcPr>
            <w:tcW w:w="5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Officer)</w:t>
            </w:r>
          </w:p>
        </w:tc>
      </w:tr>
      <w:tr>
        <w:trPr>
          <w:trHeight w:val="911"/>
        </w:trPr>
        <w:tc>
          <w:tcPr>
            <w:tcW w:w="5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5"/>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6"/>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1."/>
      <w:numFmt w:val="decimal"/>
      <w:start w:val="10"/>
    </w:lvl>
  </w:abstractNum>
  <w:abstractNum w:abstractNumId="13">
    <w:nsid w:val="3F2DBA31"/>
    <w:multiLevelType w:val="hybridMultilevel"/>
    <w:lvl w:ilvl="0">
      <w:lvlJc w:val="left"/>
      <w:lvlText w:val="%1."/>
      <w:numFmt w:val="decimal"/>
      <w:start w:val="11"/>
    </w:lvl>
  </w:abstractNum>
  <w:abstractNum w:abstractNumId="14">
    <w:nsid w:val="7C83E458"/>
    <w:multiLevelType w:val="hybridMultilevel"/>
    <w:lvl w:ilvl="0">
      <w:lvlJc w:val="left"/>
      <w:lvlText w:val="%1."/>
      <w:numFmt w:val="decimal"/>
      <w:start w:val="12"/>
    </w:lvl>
  </w:abstractNum>
  <w:abstractNum w:abstractNumId="15">
    <w:nsid w:val="257130A3"/>
    <w:multiLevelType w:val="hybridMultilevel"/>
    <w:lvl w:ilvl="0">
      <w:lvlJc w:val="left"/>
      <w:lvlText w:val="%1."/>
      <w:numFmt w:val="decimal"/>
      <w:start w:val="13"/>
    </w:lvl>
  </w:abstractNum>
  <w:abstractNum w:abstractNumId="16">
    <w:nsid w:val="62BBD95A"/>
    <w:multiLevelType w:val="hybridMultilevel"/>
    <w:lvl w:ilvl="0">
      <w:lvlJc w:val="left"/>
      <w:lvlText w:val="%1."/>
      <w:numFmt w:val="decimal"/>
      <w:start w:val="14"/>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2022-08-10T05:07:14Z</dcterms:created>
  <dcterms:modified xsi:type="dcterms:W3CDTF">2022-08-10T05:07:14Z</dcterms:modified>
</cp:coreProperties>
</file>