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 SECURITIES AND EXCHANGE COMMISSION</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Washington, D.C. 20549</w:t>
      </w:r>
    </w:p>
    <w:p>
      <w:pPr>
        <w:spacing w:after="0" w:line="19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259" w:lineRule="exact"/>
        <w:rPr>
          <w:sz w:val="24"/>
          <w:szCs w:val="24"/>
          <w:color w:val="auto"/>
        </w:rPr>
      </w:pPr>
    </w:p>
    <w:p>
      <w:pPr>
        <w:spacing w:after="0"/>
        <w:rPr>
          <w:sz w:val="20"/>
          <w:szCs w:val="20"/>
          <w:color w:val="auto"/>
        </w:rPr>
      </w:pPr>
      <w:r>
        <w:rPr>
          <w:rFonts w:ascii="Arial" w:cs="Arial" w:eastAsia="Arial" w:hAnsi="Arial"/>
          <w:sz w:val="22"/>
          <w:szCs w:val="22"/>
          <w:color w:val="auto"/>
        </w:rPr>
        <w:t>(Mark One)</w:t>
      </w:r>
    </w:p>
    <w:p>
      <w:pPr>
        <w:spacing w:after="0" w:line="6" w:lineRule="exact"/>
        <w:rPr>
          <w:sz w:val="24"/>
          <w:szCs w:val="24"/>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w:t>
      </w:r>
    </w:p>
    <w:p>
      <w:pPr>
        <w:spacing w:after="0" w:line="236" w:lineRule="exact"/>
        <w:rPr>
          <w:sz w:val="24"/>
          <w:szCs w:val="24"/>
          <w:color w:val="auto"/>
        </w:rPr>
      </w:pPr>
    </w:p>
    <w:p>
      <w:pPr>
        <w:spacing w:after="0"/>
        <w:rPr>
          <w:sz w:val="20"/>
          <w:szCs w:val="20"/>
          <w:color w:val="auto"/>
        </w:rPr>
      </w:pPr>
      <w:r>
        <w:rPr>
          <w:rFonts w:ascii="Arial" w:cs="Arial" w:eastAsia="Arial" w:hAnsi="Arial"/>
          <w:sz w:val="22"/>
          <w:szCs w:val="22"/>
          <w:color w:val="auto"/>
        </w:rPr>
        <w:t>For the fiscal year ended December 31, 2019</w:t>
      </w:r>
    </w:p>
    <w:p>
      <w:pPr>
        <w:spacing w:after="0" w:line="227"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OR</w:t>
      </w:r>
    </w:p>
    <w:p>
      <w:pPr>
        <w:spacing w:after="0" w:line="242" w:lineRule="exact"/>
        <w:rPr>
          <w:sz w:val="24"/>
          <w:szCs w:val="24"/>
          <w:color w:val="auto"/>
        </w:rPr>
      </w:pPr>
    </w:p>
    <w:p>
      <w:pPr>
        <w:ind w:left="420" w:hanging="412"/>
        <w:spacing w:after="0"/>
        <w:tabs>
          <w:tab w:leader="none" w:pos="42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49" w:lineRule="exact"/>
        <w:rPr>
          <w:sz w:val="24"/>
          <w:szCs w:val="24"/>
          <w:color w:val="auto"/>
        </w:rPr>
      </w:pPr>
    </w:p>
    <w:p>
      <w:pPr>
        <w:spacing w:after="0"/>
        <w:tabs>
          <w:tab w:leader="none" w:pos="3580" w:val="left"/>
          <w:tab w:leader="none" w:pos="4720" w:val="left"/>
        </w:tabs>
        <w:rPr>
          <w:sz w:val="20"/>
          <w:szCs w:val="20"/>
          <w:color w:val="auto"/>
        </w:rPr>
      </w:pPr>
      <w:r>
        <w:rPr>
          <w:rFonts w:ascii="Arial" w:cs="Arial" w:eastAsia="Arial" w:hAnsi="Arial"/>
          <w:sz w:val="22"/>
          <w:szCs w:val="22"/>
          <w:color w:val="auto"/>
        </w:rPr>
        <w:t>For the transition period from</w:t>
      </w:r>
      <w:r>
        <w:rPr>
          <w:sz w:val="20"/>
          <w:szCs w:val="20"/>
          <w:color w:val="auto"/>
        </w:rPr>
        <w:tab/>
      </w:r>
      <w:r>
        <w:rPr>
          <w:rFonts w:ascii="Arial" w:cs="Arial" w:eastAsia="Arial" w:hAnsi="Arial"/>
          <w:sz w:val="22"/>
          <w:szCs w:val="22"/>
          <w:color w:val="auto"/>
        </w:rPr>
        <w:t>to</w:t>
      </w:r>
      <w:r>
        <w:rPr>
          <w:sz w:val="20"/>
          <w:szCs w:val="20"/>
          <w:color w:val="auto"/>
        </w:rPr>
        <w:tab/>
      </w:r>
      <w:r>
        <w:rPr>
          <w:rFonts w:ascii="Arial" w:cs="Arial" w:eastAsia="Arial" w:hAnsi="Arial"/>
          <w:sz w:val="21"/>
          <w:szCs w:val="21"/>
          <w:color w:val="auto"/>
        </w:rPr>
        <w:t>.</w:t>
      </w:r>
    </w:p>
    <w:p>
      <w:pPr>
        <w:spacing w:after="0" w:line="22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Commission File Number 001-39021</w:t>
      </w:r>
    </w:p>
    <w:p>
      <w:pPr>
        <w:spacing w:after="0" w:line="21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SILVER SPIKE ACQUISITION CORP.</w:t>
      </w:r>
    </w:p>
    <w:p>
      <w:pPr>
        <w:spacing w:after="0" w:line="45"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(Exact Name of Registrant as Specified in Its Charter)</w:t>
      </w:r>
    </w:p>
    <w:p>
      <w:pPr>
        <w:spacing w:after="0" w:line="218" w:lineRule="exact"/>
        <w:rPr>
          <w:sz w:val="24"/>
          <w:szCs w:val="24"/>
          <w:color w:val="auto"/>
        </w:rPr>
      </w:pPr>
    </w:p>
    <w:tbl>
      <w:tblPr>
        <w:tblLayout w:type="fixed"/>
        <w:tblInd w:w="560" w:type="dxa"/>
        <w:tblCellMar>
          <w:top w:w="0" w:type="dxa"/>
          <w:left w:w="0" w:type="dxa"/>
          <w:bottom w:w="0" w:type="dxa"/>
          <w:right w:w="0" w:type="dxa"/>
        </w:tblCellMar>
      </w:tblPr>
      <w:tr>
        <w:trPr>
          <w:trHeight w:val="220"/>
        </w:trPr>
        <w:tc>
          <w:tcPr>
            <w:tcW w:w="5520" w:type="dxa"/>
            <w:vAlign w:val="bottom"/>
          </w:tcPr>
          <w:p>
            <w:pPr>
              <w:jc w:val="center"/>
              <w:ind w:right="1030"/>
              <w:spacing w:after="0"/>
              <w:rPr>
                <w:sz w:val="20"/>
                <w:szCs w:val="20"/>
                <w:color w:val="auto"/>
              </w:rPr>
            </w:pPr>
            <w:r>
              <w:rPr>
                <w:rFonts w:ascii="Arial" w:cs="Arial" w:eastAsia="Arial" w:hAnsi="Arial"/>
                <w:sz w:val="18"/>
                <w:szCs w:val="18"/>
                <w:b w:val="1"/>
                <w:bCs w:val="1"/>
                <w:color w:val="auto"/>
                <w:w w:val="90"/>
              </w:rPr>
              <w:t>Cayman Islands</w:t>
            </w:r>
          </w:p>
        </w:tc>
        <w:tc>
          <w:tcPr>
            <w:tcW w:w="3720" w:type="dxa"/>
            <w:vAlign w:val="bottom"/>
          </w:tcPr>
          <w:p>
            <w:pPr>
              <w:ind w:left="2180"/>
              <w:spacing w:after="0"/>
              <w:rPr>
                <w:sz w:val="20"/>
                <w:szCs w:val="20"/>
                <w:color w:val="auto"/>
              </w:rPr>
            </w:pPr>
            <w:r>
              <w:rPr>
                <w:rFonts w:ascii="Arial" w:cs="Arial" w:eastAsia="Arial" w:hAnsi="Arial"/>
                <w:sz w:val="18"/>
                <w:szCs w:val="18"/>
                <w:b w:val="1"/>
                <w:bCs w:val="1"/>
                <w:color w:val="auto"/>
              </w:rPr>
              <w:t>N/A</w:t>
            </w:r>
          </w:p>
        </w:tc>
      </w:tr>
      <w:tr>
        <w:trPr>
          <w:trHeight w:val="230"/>
        </w:trPr>
        <w:tc>
          <w:tcPr>
            <w:tcW w:w="5520" w:type="dxa"/>
            <w:vAlign w:val="bottom"/>
          </w:tcPr>
          <w:p>
            <w:pPr>
              <w:jc w:val="center"/>
              <w:ind w:right="103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3720" w:type="dxa"/>
            <w:vAlign w:val="bottom"/>
          </w:tcPr>
          <w:p>
            <w:pPr>
              <w:jc w:val="center"/>
              <w:ind w:left="1010"/>
              <w:spacing w:after="0"/>
              <w:rPr>
                <w:sz w:val="20"/>
                <w:szCs w:val="20"/>
                <w:color w:val="auto"/>
              </w:rPr>
            </w:pPr>
            <w:r>
              <w:rPr>
                <w:rFonts w:ascii="Arial" w:cs="Arial" w:eastAsia="Arial" w:hAnsi="Arial"/>
                <w:sz w:val="18"/>
                <w:szCs w:val="18"/>
                <w:color w:val="auto"/>
                <w:w w:val="94"/>
              </w:rPr>
              <w:t>(I.R.S. Employer Identification No.)</w:t>
            </w:r>
          </w:p>
        </w:tc>
      </w:tr>
      <w:tr>
        <w:trPr>
          <w:trHeight w:val="441"/>
        </w:trPr>
        <w:tc>
          <w:tcPr>
            <w:tcW w:w="5520" w:type="dxa"/>
            <w:vAlign w:val="bottom"/>
          </w:tcPr>
          <w:p>
            <w:pPr>
              <w:jc w:val="center"/>
              <w:ind w:right="1010"/>
              <w:spacing w:after="0"/>
              <w:rPr>
                <w:sz w:val="20"/>
                <w:szCs w:val="20"/>
                <w:color w:val="auto"/>
              </w:rPr>
            </w:pPr>
            <w:r>
              <w:rPr>
                <w:rFonts w:ascii="Arial" w:cs="Arial" w:eastAsia="Arial" w:hAnsi="Arial"/>
                <w:sz w:val="18"/>
                <w:szCs w:val="18"/>
                <w:b w:val="1"/>
                <w:bCs w:val="1"/>
                <w:color w:val="auto"/>
                <w:w w:val="89"/>
              </w:rPr>
              <w:t>600 Madison Ave, 17</w:t>
            </w:r>
            <w:r>
              <w:rPr>
                <w:rFonts w:ascii="Arial" w:cs="Arial" w:eastAsia="Arial" w:hAnsi="Arial"/>
                <w:sz w:val="29"/>
                <w:szCs w:val="29"/>
                <w:b w:val="1"/>
                <w:bCs w:val="1"/>
                <w:color w:val="auto"/>
                <w:w w:val="89"/>
                <w:vertAlign w:val="superscript"/>
              </w:rPr>
              <w:t>th</w:t>
            </w:r>
            <w:r>
              <w:rPr>
                <w:rFonts w:ascii="Arial" w:cs="Arial" w:eastAsia="Arial" w:hAnsi="Arial"/>
                <w:sz w:val="18"/>
                <w:szCs w:val="18"/>
                <w:b w:val="1"/>
                <w:bCs w:val="1"/>
                <w:color w:val="auto"/>
                <w:w w:val="89"/>
              </w:rPr>
              <w:t xml:space="preserve"> Floor</w:t>
            </w:r>
          </w:p>
        </w:tc>
        <w:tc>
          <w:tcPr>
            <w:tcW w:w="3720" w:type="dxa"/>
            <w:vAlign w:val="bottom"/>
          </w:tcPr>
          <w:p>
            <w:pPr>
              <w:spacing w:after="0"/>
              <w:rPr>
                <w:sz w:val="24"/>
                <w:szCs w:val="24"/>
                <w:color w:val="auto"/>
              </w:rPr>
            </w:pPr>
          </w:p>
        </w:tc>
      </w:tr>
      <w:tr>
        <w:trPr>
          <w:trHeight w:val="220"/>
        </w:trPr>
        <w:tc>
          <w:tcPr>
            <w:tcW w:w="5520" w:type="dxa"/>
            <w:vAlign w:val="bottom"/>
          </w:tcPr>
          <w:p>
            <w:pPr>
              <w:jc w:val="center"/>
              <w:ind w:right="1030"/>
              <w:spacing w:after="0"/>
              <w:rPr>
                <w:sz w:val="20"/>
                <w:szCs w:val="20"/>
                <w:color w:val="auto"/>
              </w:rPr>
            </w:pPr>
            <w:r>
              <w:rPr>
                <w:rFonts w:ascii="Arial" w:cs="Arial" w:eastAsia="Arial" w:hAnsi="Arial"/>
                <w:sz w:val="18"/>
                <w:szCs w:val="18"/>
                <w:b w:val="1"/>
                <w:bCs w:val="1"/>
                <w:color w:val="auto"/>
                <w:w w:val="95"/>
              </w:rPr>
              <w:t>New York, NY</w:t>
            </w:r>
          </w:p>
        </w:tc>
        <w:tc>
          <w:tcPr>
            <w:tcW w:w="3720" w:type="dxa"/>
            <w:vAlign w:val="bottom"/>
          </w:tcPr>
          <w:p>
            <w:pPr>
              <w:jc w:val="center"/>
              <w:ind w:left="1010"/>
              <w:spacing w:after="0"/>
              <w:rPr>
                <w:sz w:val="20"/>
                <w:szCs w:val="20"/>
                <w:color w:val="auto"/>
              </w:rPr>
            </w:pPr>
            <w:r>
              <w:rPr>
                <w:rFonts w:ascii="Arial" w:cs="Arial" w:eastAsia="Arial" w:hAnsi="Arial"/>
                <w:sz w:val="18"/>
                <w:szCs w:val="18"/>
                <w:b w:val="1"/>
                <w:bCs w:val="1"/>
                <w:color w:val="auto"/>
                <w:w w:val="91"/>
              </w:rPr>
              <w:t>10022</w:t>
            </w:r>
          </w:p>
        </w:tc>
      </w:tr>
      <w:tr>
        <w:trPr>
          <w:trHeight w:val="230"/>
        </w:trPr>
        <w:tc>
          <w:tcPr>
            <w:tcW w:w="5520" w:type="dxa"/>
            <w:vAlign w:val="bottom"/>
          </w:tcPr>
          <w:p>
            <w:pPr>
              <w:jc w:val="center"/>
              <w:ind w:right="1030"/>
              <w:spacing w:after="0"/>
              <w:rPr>
                <w:sz w:val="20"/>
                <w:szCs w:val="20"/>
                <w:color w:val="auto"/>
              </w:rPr>
            </w:pPr>
            <w:r>
              <w:rPr>
                <w:rFonts w:ascii="Arial" w:cs="Arial" w:eastAsia="Arial" w:hAnsi="Arial"/>
                <w:sz w:val="18"/>
                <w:szCs w:val="18"/>
                <w:color w:val="auto"/>
                <w:w w:val="92"/>
              </w:rPr>
              <w:t>(Address of Principal Executive Offices)</w:t>
            </w:r>
          </w:p>
        </w:tc>
        <w:tc>
          <w:tcPr>
            <w:tcW w:w="3720" w:type="dxa"/>
            <w:vAlign w:val="bottom"/>
          </w:tcPr>
          <w:p>
            <w:pPr>
              <w:jc w:val="center"/>
              <w:ind w:left="1030"/>
              <w:spacing w:after="0"/>
              <w:rPr>
                <w:sz w:val="20"/>
                <w:szCs w:val="20"/>
                <w:color w:val="auto"/>
              </w:rPr>
            </w:pPr>
            <w:r>
              <w:rPr>
                <w:rFonts w:ascii="Arial" w:cs="Arial" w:eastAsia="Arial" w:hAnsi="Arial"/>
                <w:sz w:val="18"/>
                <w:szCs w:val="18"/>
                <w:color w:val="auto"/>
                <w:w w:val="93"/>
              </w:rPr>
              <w:t>Zip Code</w:t>
            </w:r>
          </w:p>
        </w:tc>
      </w:tr>
    </w:tbl>
    <w:p>
      <w:pPr>
        <w:spacing w:after="0" w:line="222"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Registrant’s telephone number, including area code: +1 212-905-4923</w:t>
      </w:r>
    </w:p>
    <w:p>
      <w:pPr>
        <w:spacing w:after="0" w:line="23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Securities registered pursuant to Section 12(b) of the Act:</w:t>
      </w:r>
    </w:p>
    <w:p>
      <w:pPr>
        <w:spacing w:after="0" w:line="236" w:lineRule="exact"/>
        <w:rPr>
          <w:sz w:val="24"/>
          <w:szCs w:val="24"/>
          <w:color w:val="auto"/>
        </w:rPr>
      </w:pPr>
    </w:p>
    <w:tbl>
      <w:tblPr>
        <w:tblLayout w:type="fixed"/>
        <w:tblInd w:w="0" w:type="dxa"/>
        <w:tblCellMar>
          <w:top w:w="0" w:type="dxa"/>
          <w:left w:w="0" w:type="dxa"/>
          <w:bottom w:w="0" w:type="dxa"/>
          <w:right w:w="0" w:type="dxa"/>
        </w:tblCellMar>
      </w:tblPr>
      <w:tr>
        <w:trPr>
          <w:trHeight w:val="255"/>
        </w:trPr>
        <w:tc>
          <w:tcPr>
            <w:tcW w:w="37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Title of Each Class</w:t>
            </w:r>
          </w:p>
        </w:tc>
        <w:tc>
          <w:tcPr>
            <w:tcW w:w="34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Trading Symbol(s)</w:t>
            </w:r>
          </w:p>
        </w:tc>
        <w:tc>
          <w:tcPr>
            <w:tcW w:w="4040" w:type="dxa"/>
            <w:vAlign w:val="bottom"/>
          </w:tcPr>
          <w:p>
            <w:pPr>
              <w:jc w:val="center"/>
              <w:spacing w:after="0"/>
              <w:rPr>
                <w:sz w:val="20"/>
                <w:szCs w:val="20"/>
                <w:color w:val="auto"/>
              </w:rPr>
            </w:pPr>
            <w:r>
              <w:rPr>
                <w:rFonts w:ascii="Arial" w:cs="Arial" w:eastAsia="Arial" w:hAnsi="Arial"/>
                <w:sz w:val="18"/>
                <w:szCs w:val="18"/>
                <w:b w:val="1"/>
                <w:bCs w:val="1"/>
                <w:color w:val="auto"/>
                <w:w w:val="89"/>
              </w:rPr>
              <w:t>Name of Each Exchange on Which Registered</w:t>
            </w:r>
          </w:p>
        </w:tc>
      </w:tr>
      <w:tr>
        <w:trPr>
          <w:trHeight w:val="202"/>
        </w:trPr>
        <w:tc>
          <w:tcPr>
            <w:tcW w:w="362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89"/>
              </w:rPr>
              <w:t>Class A ordinary shares, par value $0.0001 per</w:t>
            </w:r>
          </w:p>
        </w:tc>
        <w:tc>
          <w:tcPr>
            <w:tcW w:w="120" w:type="dxa"/>
            <w:vAlign w:val="bottom"/>
          </w:tcPr>
          <w:p>
            <w:pPr>
              <w:spacing w:after="0"/>
              <w:rPr>
                <w:sz w:val="17"/>
                <w:szCs w:val="17"/>
                <w:color w:val="auto"/>
              </w:rPr>
            </w:pPr>
          </w:p>
        </w:tc>
        <w:tc>
          <w:tcPr>
            <w:tcW w:w="336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87"/>
              </w:rPr>
              <w:t>SSPK</w:t>
            </w:r>
          </w:p>
        </w:tc>
        <w:tc>
          <w:tcPr>
            <w:tcW w:w="100" w:type="dxa"/>
            <w:vAlign w:val="bottom"/>
          </w:tcPr>
          <w:p>
            <w:pPr>
              <w:spacing w:after="0"/>
              <w:rPr>
                <w:sz w:val="17"/>
                <w:szCs w:val="17"/>
                <w:color w:val="auto"/>
              </w:rPr>
            </w:pPr>
          </w:p>
        </w:tc>
        <w:tc>
          <w:tcPr>
            <w:tcW w:w="404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2"/>
              </w:rPr>
              <w:t>The Nasdaq Stock Market LLC</w:t>
            </w:r>
          </w:p>
        </w:tc>
      </w:tr>
      <w:tr>
        <w:trPr>
          <w:trHeight w:val="216"/>
        </w:trPr>
        <w:tc>
          <w:tcPr>
            <w:tcW w:w="3740" w:type="dxa"/>
            <w:vAlign w:val="bottom"/>
            <w:gridSpan w:val="2"/>
          </w:tcPr>
          <w:p>
            <w:pPr>
              <w:jc w:val="center"/>
              <w:ind w:right="120"/>
              <w:spacing w:after="0"/>
              <w:rPr>
                <w:sz w:val="20"/>
                <w:szCs w:val="20"/>
                <w:color w:val="auto"/>
              </w:rPr>
            </w:pPr>
            <w:r>
              <w:rPr>
                <w:rFonts w:ascii="Arial" w:cs="Arial" w:eastAsia="Arial" w:hAnsi="Arial"/>
                <w:sz w:val="18"/>
                <w:szCs w:val="18"/>
                <w:color w:val="auto"/>
                <w:w w:val="84"/>
              </w:rPr>
              <w:t>share</w:t>
            </w:r>
          </w:p>
        </w:tc>
        <w:tc>
          <w:tcPr>
            <w:tcW w:w="3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40" w:type="dxa"/>
            <w:vAlign w:val="bottom"/>
          </w:tcPr>
          <w:p>
            <w:pPr>
              <w:spacing w:after="0"/>
              <w:rPr>
                <w:sz w:val="18"/>
                <w:szCs w:val="18"/>
                <w:color w:val="auto"/>
              </w:rPr>
            </w:pPr>
          </w:p>
        </w:tc>
      </w:tr>
      <w:tr>
        <w:trPr>
          <w:trHeight w:val="216"/>
        </w:trPr>
        <w:tc>
          <w:tcPr>
            <w:tcW w:w="374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Redeemable warrants, each warrant exercisable</w:t>
            </w:r>
          </w:p>
        </w:tc>
        <w:tc>
          <w:tcPr>
            <w:tcW w:w="346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SSPKW</w:t>
            </w:r>
          </w:p>
        </w:tc>
        <w:tc>
          <w:tcPr>
            <w:tcW w:w="4040" w:type="dxa"/>
            <w:vAlign w:val="bottom"/>
          </w:tcPr>
          <w:p>
            <w:pPr>
              <w:jc w:val="center"/>
              <w:spacing w:after="0"/>
              <w:rPr>
                <w:sz w:val="20"/>
                <w:szCs w:val="20"/>
                <w:color w:val="auto"/>
              </w:rPr>
            </w:pPr>
            <w:r>
              <w:rPr>
                <w:rFonts w:ascii="Arial" w:cs="Arial" w:eastAsia="Arial" w:hAnsi="Arial"/>
                <w:sz w:val="18"/>
                <w:szCs w:val="18"/>
                <w:color w:val="auto"/>
                <w:w w:val="92"/>
              </w:rPr>
              <w:t>The Nasdaq Stock Market LLC</w:t>
            </w:r>
          </w:p>
        </w:tc>
      </w:tr>
      <w:tr>
        <w:trPr>
          <w:trHeight w:val="216"/>
        </w:trPr>
        <w:tc>
          <w:tcPr>
            <w:tcW w:w="374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for one Class A ordinary share at an exercise</w:t>
            </w:r>
          </w:p>
        </w:tc>
        <w:tc>
          <w:tcPr>
            <w:tcW w:w="3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40" w:type="dxa"/>
            <w:vAlign w:val="bottom"/>
          </w:tcPr>
          <w:p>
            <w:pPr>
              <w:spacing w:after="0"/>
              <w:rPr>
                <w:sz w:val="18"/>
                <w:szCs w:val="18"/>
                <w:color w:val="auto"/>
              </w:rPr>
            </w:pPr>
          </w:p>
        </w:tc>
      </w:tr>
      <w:tr>
        <w:trPr>
          <w:trHeight w:val="216"/>
        </w:trPr>
        <w:tc>
          <w:tcPr>
            <w:tcW w:w="374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price of $11.50</w:t>
            </w:r>
          </w:p>
        </w:tc>
        <w:tc>
          <w:tcPr>
            <w:tcW w:w="3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40" w:type="dxa"/>
            <w:vAlign w:val="bottom"/>
          </w:tcPr>
          <w:p>
            <w:pPr>
              <w:spacing w:after="0"/>
              <w:rPr>
                <w:sz w:val="18"/>
                <w:szCs w:val="18"/>
                <w:color w:val="auto"/>
              </w:rPr>
            </w:pPr>
          </w:p>
        </w:tc>
      </w:tr>
      <w:tr>
        <w:trPr>
          <w:trHeight w:val="216"/>
        </w:trPr>
        <w:tc>
          <w:tcPr>
            <w:tcW w:w="374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Units, each consisting of one Class A ordinary</w:t>
            </w:r>
          </w:p>
        </w:tc>
        <w:tc>
          <w:tcPr>
            <w:tcW w:w="346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SSPKU</w:t>
            </w:r>
          </w:p>
        </w:tc>
        <w:tc>
          <w:tcPr>
            <w:tcW w:w="4040" w:type="dxa"/>
            <w:vAlign w:val="bottom"/>
          </w:tcPr>
          <w:p>
            <w:pPr>
              <w:jc w:val="center"/>
              <w:spacing w:after="0"/>
              <w:rPr>
                <w:sz w:val="20"/>
                <w:szCs w:val="20"/>
                <w:color w:val="auto"/>
              </w:rPr>
            </w:pPr>
            <w:r>
              <w:rPr>
                <w:rFonts w:ascii="Arial" w:cs="Arial" w:eastAsia="Arial" w:hAnsi="Arial"/>
                <w:sz w:val="18"/>
                <w:szCs w:val="18"/>
                <w:color w:val="auto"/>
                <w:w w:val="92"/>
              </w:rPr>
              <w:t>The Nasdaq Stock Market LLC</w:t>
            </w:r>
          </w:p>
        </w:tc>
      </w:tr>
      <w:tr>
        <w:trPr>
          <w:trHeight w:val="230"/>
        </w:trPr>
        <w:tc>
          <w:tcPr>
            <w:tcW w:w="374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share and one redeemable warrant</w:t>
            </w:r>
          </w:p>
        </w:tc>
        <w:tc>
          <w:tcPr>
            <w:tcW w:w="3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40" w:type="dxa"/>
            <w:vAlign w:val="bottom"/>
          </w:tcPr>
          <w:p>
            <w:pPr>
              <w:spacing w:after="0"/>
              <w:rPr>
                <w:sz w:val="20"/>
                <w:szCs w:val="20"/>
                <w:color w:val="auto"/>
              </w:rPr>
            </w:pPr>
          </w:p>
        </w:tc>
      </w:tr>
    </w:tbl>
    <w:p>
      <w:pPr>
        <w:spacing w:after="0" w:line="222"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Securities registered pursuant to Section 12(g) of the Act:</w:t>
      </w:r>
    </w:p>
    <w:p>
      <w:pPr>
        <w:spacing w:after="0" w:line="207" w:lineRule="exact"/>
        <w:rPr>
          <w:sz w:val="24"/>
          <w:szCs w:val="24"/>
          <w:color w:val="auto"/>
        </w:rPr>
      </w:pPr>
    </w:p>
    <w:p>
      <w:pPr>
        <w:ind w:right="100"/>
        <w:spacing w:after="0" w:line="298" w:lineRule="exact"/>
        <w:rPr>
          <w:sz w:val="20"/>
          <w:szCs w:val="20"/>
          <w:color w:val="auto"/>
        </w:rPr>
      </w:pPr>
      <w:r>
        <w:rPr>
          <w:rFonts w:ascii="Arial" w:cs="Arial" w:eastAsia="Arial" w:hAnsi="Arial"/>
          <w:sz w:val="22"/>
          <w:szCs w:val="22"/>
          <w:color w:val="auto"/>
        </w:rPr>
        <w:t xml:space="preserve">Indicate by check mark if the Registrant is a well-known seasoned issuer, as defined in Rule 405 of the Securities Act. Yes </w:t>
      </w:r>
      <w:r>
        <w:rPr>
          <w:rFonts w:ascii="MS PGothic" w:cs="MS PGothic" w:eastAsia="MS PGothic" w:hAnsi="MS PGothic"/>
          <w:sz w:val="22"/>
          <w:szCs w:val="22"/>
          <w:color w:val="auto"/>
        </w:rPr>
        <w:t>☐</w:t>
      </w:r>
      <w:r>
        <w:rPr>
          <w:rFonts w:ascii="Arial" w:cs="Arial" w:eastAsia="Arial" w:hAnsi="Arial"/>
          <w:sz w:val="22"/>
          <w:szCs w:val="22"/>
          <w:color w:val="auto"/>
        </w:rPr>
        <w:t xml:space="preserve"> No </w:t>
      </w:r>
      <w:r>
        <w:rPr>
          <w:rFonts w:ascii="MS PGothic" w:cs="MS PGothic" w:eastAsia="MS PGothic" w:hAnsi="MS PGothic"/>
          <w:sz w:val="22"/>
          <w:szCs w:val="22"/>
          <w:color w:val="auto"/>
        </w:rPr>
        <w:t>☒</w:t>
      </w:r>
    </w:p>
    <w:p>
      <w:pPr>
        <w:spacing w:after="0" w:line="162" w:lineRule="exact"/>
        <w:rPr>
          <w:sz w:val="24"/>
          <w:szCs w:val="24"/>
          <w:color w:val="auto"/>
        </w:rPr>
      </w:pPr>
    </w:p>
    <w:p>
      <w:pPr>
        <w:spacing w:after="0" w:line="219" w:lineRule="exact"/>
        <w:rPr>
          <w:sz w:val="20"/>
          <w:szCs w:val="20"/>
          <w:color w:val="auto"/>
        </w:rPr>
      </w:pPr>
      <w:r>
        <w:rPr>
          <w:rFonts w:ascii="Arial" w:cs="Arial" w:eastAsia="Arial" w:hAnsi="Arial"/>
          <w:sz w:val="19"/>
          <w:szCs w:val="19"/>
          <w:color w:val="auto"/>
        </w:rPr>
        <w:t xml:space="preserve">Indicate by check mark if the Registrant is not required to file reports pursuant to Section 13 or 15(d) of the Act. Yes </w:t>
      </w:r>
      <w:r>
        <w:rPr>
          <w:rFonts w:ascii="MS PGothic" w:cs="MS PGothic" w:eastAsia="MS PGothic" w:hAnsi="MS PGothic"/>
          <w:sz w:val="19"/>
          <w:szCs w:val="19"/>
          <w:color w:val="auto"/>
        </w:rPr>
        <w:t>☐</w:t>
      </w:r>
      <w:r>
        <w:rPr>
          <w:rFonts w:ascii="Arial" w:cs="Arial" w:eastAsia="Arial" w:hAnsi="Arial"/>
          <w:sz w:val="19"/>
          <w:szCs w:val="19"/>
          <w:color w:val="auto"/>
        </w:rPr>
        <w:t xml:space="preserve"> No </w:t>
      </w:r>
      <w:r>
        <w:rPr>
          <w:rFonts w:ascii="MS PGothic" w:cs="MS PGothic" w:eastAsia="MS PGothic" w:hAnsi="MS PGothic"/>
          <w:sz w:val="19"/>
          <w:szCs w:val="19"/>
          <w:color w:val="auto"/>
        </w:rPr>
        <w:t>☒</w:t>
      </w:r>
    </w:p>
    <w:p>
      <w:pPr>
        <w:spacing w:after="0" w:line="308" w:lineRule="exact"/>
        <w:rPr>
          <w:sz w:val="24"/>
          <w:szCs w:val="24"/>
          <w:color w:val="auto"/>
        </w:rPr>
      </w:pPr>
    </w:p>
    <w:p>
      <w:pPr>
        <w:ind w:right="20"/>
        <w:spacing w:after="0" w:line="266" w:lineRule="exact"/>
        <w:rPr>
          <w:sz w:val="20"/>
          <w:szCs w:val="20"/>
          <w:color w:val="auto"/>
        </w:rPr>
      </w:pPr>
      <w:r>
        <w:rPr>
          <w:rFonts w:ascii="Arial" w:cs="Arial" w:eastAsia="Arial" w:hAnsi="Arial"/>
          <w:sz w:val="21"/>
          <w:szCs w:val="21"/>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21"/>
          <w:szCs w:val="21"/>
          <w:color w:val="auto"/>
        </w:rPr>
        <w:t>☒</w:t>
      </w:r>
      <w:r>
        <w:rPr>
          <w:rFonts w:ascii="Arial" w:cs="Arial" w:eastAsia="Arial" w:hAnsi="Arial"/>
          <w:sz w:val="21"/>
          <w:szCs w:val="21"/>
          <w:color w:val="auto"/>
        </w:rPr>
        <w:t xml:space="preserve"> No </w:t>
      </w:r>
      <w:r>
        <w:rPr>
          <w:rFonts w:ascii="MS PGothic" w:cs="MS PGothic" w:eastAsia="MS PGothic" w:hAnsi="MS PGothic"/>
          <w:sz w:val="21"/>
          <w:szCs w:val="21"/>
          <w:color w:val="auto"/>
        </w:rPr>
        <w:t>☐</w:t>
      </w:r>
    </w:p>
    <w:p>
      <w:pPr>
        <w:spacing w:after="0" w:line="189" w:lineRule="exact"/>
        <w:rPr>
          <w:sz w:val="24"/>
          <w:szCs w:val="24"/>
          <w:color w:val="auto"/>
        </w:rPr>
      </w:pPr>
    </w:p>
    <w:p>
      <w:pPr>
        <w:ind w:right="200"/>
        <w:spacing w:after="0" w:line="266" w:lineRule="exact"/>
        <w:rPr>
          <w:sz w:val="20"/>
          <w:szCs w:val="20"/>
          <w:color w:val="auto"/>
        </w:rPr>
      </w:pPr>
      <w:r>
        <w:rPr>
          <w:rFonts w:ascii="Arial" w:cs="Arial" w:eastAsia="Arial" w:hAnsi="Arial"/>
          <w:sz w:val="22"/>
          <w:szCs w:val="22"/>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files).Yes </w:t>
      </w:r>
      <w:r>
        <w:rPr>
          <w:rFonts w:ascii="MS PGothic" w:cs="MS PGothic" w:eastAsia="MS PGothic" w:hAnsi="MS PGothic"/>
          <w:sz w:val="22"/>
          <w:szCs w:val="22"/>
          <w:color w:val="auto"/>
        </w:rPr>
        <w:t>☒</w:t>
      </w:r>
      <w:r>
        <w:rPr>
          <w:rFonts w:ascii="Arial" w:cs="Arial" w:eastAsia="Arial" w:hAnsi="Arial"/>
          <w:sz w:val="22"/>
          <w:szCs w:val="22"/>
          <w:color w:val="auto"/>
        </w:rPr>
        <w:t xml:space="preserve"> No </w:t>
      </w:r>
      <w:r>
        <w:rPr>
          <w:rFonts w:ascii="MS PGothic" w:cs="MS PGothic" w:eastAsia="MS PGothic" w:hAnsi="MS PGothic"/>
          <w:sz w:val="22"/>
          <w:szCs w:val="22"/>
          <w:color w:val="auto"/>
        </w:rPr>
        <w:t>☐</w:t>
      </w:r>
    </w:p>
    <w:p>
      <w:pPr>
        <w:spacing w:after="0" w:line="189" w:lineRule="exact"/>
        <w:rPr>
          <w:sz w:val="24"/>
          <w:szCs w:val="24"/>
          <w:color w:val="auto"/>
        </w:rPr>
      </w:pPr>
    </w:p>
    <w:p>
      <w:pPr>
        <w:ind w:right="140"/>
        <w:spacing w:after="0" w:line="257" w:lineRule="auto"/>
        <w:rPr>
          <w:sz w:val="20"/>
          <w:szCs w:val="20"/>
          <w:color w:val="auto"/>
        </w:rPr>
      </w:pPr>
      <w:r>
        <w:rPr>
          <w:rFonts w:ascii="Arial" w:cs="Arial" w:eastAsia="Arial" w:hAnsi="Arial"/>
          <w:sz w:val="21"/>
          <w:szCs w:val="21"/>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71" w:lineRule="exact"/>
        <w:rPr>
          <w:sz w:val="24"/>
          <w:szCs w:val="24"/>
          <w:color w:val="auto"/>
        </w:rPr>
      </w:pPr>
    </w:p>
    <w:tbl>
      <w:tblPr>
        <w:tblLayout w:type="fixed"/>
        <w:tblInd w:w="460" w:type="dxa"/>
        <w:tblCellMar>
          <w:top w:w="0" w:type="dxa"/>
          <w:left w:w="0" w:type="dxa"/>
          <w:bottom w:w="0" w:type="dxa"/>
          <w:right w:w="0" w:type="dxa"/>
        </w:tblCellMar>
      </w:tblPr>
      <w:tr>
        <w:trPr>
          <w:trHeight w:val="283"/>
        </w:trPr>
        <w:tc>
          <w:tcPr>
            <w:tcW w:w="18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420" w:type="dxa"/>
            <w:vAlign w:val="bottom"/>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4280" w:type="dxa"/>
            <w:vAlign w:val="bottom"/>
          </w:tcPr>
          <w:p>
            <w:pPr>
              <w:ind w:left="2060"/>
              <w:spacing w:after="0"/>
              <w:rPr>
                <w:sz w:val="20"/>
                <w:szCs w:val="20"/>
                <w:color w:val="auto"/>
              </w:rPr>
            </w:pPr>
            <w:r>
              <w:rPr>
                <w:rFonts w:ascii="Arial" w:cs="Arial" w:eastAsia="Arial" w:hAnsi="Arial"/>
                <w:sz w:val="18"/>
                <w:szCs w:val="18"/>
                <w:color w:val="auto"/>
              </w:rPr>
              <w:t>Accelerated filer</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32"/>
        </w:trPr>
        <w:tc>
          <w:tcPr>
            <w:tcW w:w="1820" w:type="dxa"/>
            <w:vAlign w:val="bottom"/>
          </w:tcPr>
          <w:p>
            <w:pPr>
              <w:spacing w:after="0"/>
              <w:rPr>
                <w:sz w:val="20"/>
                <w:szCs w:val="20"/>
                <w:color w:val="auto"/>
              </w:rPr>
            </w:pPr>
            <w:r>
              <w:rPr>
                <w:rFonts w:ascii="Arial" w:cs="Arial" w:eastAsia="Arial" w:hAnsi="Arial"/>
                <w:sz w:val="18"/>
                <w:szCs w:val="18"/>
                <w:color w:val="auto"/>
              </w:rPr>
              <w:t>Non-accelerated filer</w:t>
            </w:r>
          </w:p>
        </w:tc>
        <w:tc>
          <w:tcPr>
            <w:tcW w:w="2420" w:type="dxa"/>
            <w:vAlign w:val="bottom"/>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4280" w:type="dxa"/>
            <w:vAlign w:val="bottom"/>
          </w:tcPr>
          <w:p>
            <w:pPr>
              <w:ind w:left="2060"/>
              <w:spacing w:after="0"/>
              <w:rPr>
                <w:sz w:val="20"/>
                <w:szCs w:val="20"/>
                <w:color w:val="auto"/>
              </w:rPr>
            </w:pPr>
            <w:r>
              <w:rPr>
                <w:rFonts w:ascii="Arial" w:cs="Arial" w:eastAsia="Arial" w:hAnsi="Arial"/>
                <w:sz w:val="18"/>
                <w:szCs w:val="18"/>
                <w:color w:val="auto"/>
              </w:rPr>
              <w:t>Smaller reporting company</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32"/>
        </w:trPr>
        <w:tc>
          <w:tcPr>
            <w:tcW w:w="18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4280" w:type="dxa"/>
            <w:vAlign w:val="bottom"/>
          </w:tcPr>
          <w:p>
            <w:pPr>
              <w:ind w:left="2060"/>
              <w:spacing w:after="0"/>
              <w:rPr>
                <w:sz w:val="20"/>
                <w:szCs w:val="20"/>
                <w:color w:val="auto"/>
              </w:rPr>
            </w:pPr>
            <w:r>
              <w:rPr>
                <w:rFonts w:ascii="Arial" w:cs="Arial" w:eastAsia="Arial" w:hAnsi="Arial"/>
                <w:sz w:val="18"/>
                <w:szCs w:val="18"/>
                <w:color w:val="auto"/>
              </w:rPr>
              <w:t>Emerging growth company</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bl>
    <w:p>
      <w:pPr>
        <w:sectPr>
          <w:pgSz w:w="11900" w:h="16838" w:orient="portrait"/>
          <w:cols w:equalWidth="0" w:num="1">
            <w:col w:w="11240"/>
          </w:cols>
          <w:pgMar w:left="320" w:top="541" w:right="339" w:bottom="0" w:gutter="0" w:footer="0" w:header="0"/>
        </w:sectPr>
      </w:pPr>
    </w:p>
    <w:bookmarkStart w:id="1" w:name="page2"/>
    <w:bookmarkEnd w:id="1"/>
    <w:p>
      <w:pPr>
        <w:spacing w:after="0" w:line="278" w:lineRule="exact"/>
        <w:rPr>
          <w:sz w:val="20"/>
          <w:szCs w:val="20"/>
          <w:color w:val="auto"/>
        </w:rPr>
      </w:pPr>
      <w:r>
        <w:rPr>
          <w:rFonts w:ascii="Arial" w:cs="Arial" w:eastAsia="Arial" w:hAnsi="Arial"/>
          <w:sz w:val="19"/>
          <w:szCs w:val="19"/>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pacing w:after="0" w:line="161" w:lineRule="exact"/>
        <w:rPr>
          <w:sz w:val="20"/>
          <w:szCs w:val="20"/>
          <w:color w:val="auto"/>
        </w:rPr>
      </w:pPr>
    </w:p>
    <w:p>
      <w:pPr>
        <w:spacing w:after="0" w:line="242" w:lineRule="exact"/>
        <w:rPr>
          <w:sz w:val="20"/>
          <w:szCs w:val="20"/>
          <w:color w:val="auto"/>
        </w:rPr>
      </w:pPr>
      <w:r>
        <w:rPr>
          <w:rFonts w:ascii="Arial" w:cs="Arial" w:eastAsia="Arial" w:hAnsi="Arial"/>
          <w:sz w:val="21"/>
          <w:szCs w:val="21"/>
          <w:color w:val="auto"/>
        </w:rPr>
        <w:t xml:space="preserve">Indicate by check mark whether the Registrant is a shell company (as defined in Rule 12b-2 of the Act). Yes </w:t>
      </w:r>
      <w:r>
        <w:rPr>
          <w:rFonts w:ascii="MS PGothic" w:cs="MS PGothic" w:eastAsia="MS PGothic" w:hAnsi="MS PGothic"/>
          <w:sz w:val="21"/>
          <w:szCs w:val="21"/>
          <w:color w:val="auto"/>
        </w:rPr>
        <w:t>☒</w:t>
      </w:r>
      <w:r>
        <w:rPr>
          <w:rFonts w:ascii="Arial" w:cs="Arial" w:eastAsia="Arial" w:hAnsi="Arial"/>
          <w:sz w:val="21"/>
          <w:szCs w:val="21"/>
          <w:color w:val="auto"/>
        </w:rPr>
        <w:t xml:space="preserve"> No </w:t>
      </w:r>
      <w:r>
        <w:rPr>
          <w:rFonts w:ascii="MS PGothic" w:cs="MS PGothic" w:eastAsia="MS PGothic" w:hAnsi="MS PGothic"/>
          <w:sz w:val="21"/>
          <w:szCs w:val="21"/>
          <w:color w:val="auto"/>
        </w:rPr>
        <w:t>☐</w:t>
      </w:r>
    </w:p>
    <w:p>
      <w:pPr>
        <w:spacing w:after="0" w:line="285" w:lineRule="exact"/>
        <w:rPr>
          <w:sz w:val="20"/>
          <w:szCs w:val="20"/>
          <w:color w:val="auto"/>
        </w:rPr>
      </w:pPr>
    </w:p>
    <w:p>
      <w:pPr>
        <w:ind w:right="20"/>
        <w:spacing w:after="0"/>
        <w:rPr>
          <w:sz w:val="20"/>
          <w:szCs w:val="20"/>
          <w:color w:val="auto"/>
        </w:rPr>
      </w:pPr>
      <w:r>
        <w:rPr>
          <w:rFonts w:ascii="Arial" w:cs="Arial" w:eastAsia="Arial" w:hAnsi="Arial"/>
          <w:sz w:val="22"/>
          <w:szCs w:val="22"/>
          <w:color w:val="auto"/>
        </w:rPr>
        <w:t>As of June 30, 2019 (the last business day of the registrant’s second fiscal quarter), the registrant was not a public company and, therefore, cannot calculate the aggregate market value of its voting and non-voting common equity held by non-affiliates as of such date.</w:t>
      </w:r>
    </w:p>
    <w:p>
      <w:pPr>
        <w:spacing w:after="0" w:line="213"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As of March 24, 2020, 25,000,000 Class A ordinary shares, par value $0.0001 per share, and 6,250,000 Class B ordinary shares, par value $0.0001 per share, were issued and outstanding, respectively.</w:t>
      </w:r>
    </w:p>
    <w:p>
      <w:pPr>
        <w:spacing w:after="0" w:line="196" w:lineRule="exact"/>
        <w:rPr>
          <w:sz w:val="20"/>
          <w:szCs w:val="20"/>
          <w:color w:val="auto"/>
        </w:rPr>
      </w:pPr>
    </w:p>
    <w:p>
      <w:pPr>
        <w:jc w:val="center"/>
        <w:ind w:right="-139"/>
        <w:spacing w:after="0"/>
        <w:rPr>
          <w:sz w:val="20"/>
          <w:szCs w:val="20"/>
          <w:color w:val="auto"/>
        </w:rPr>
      </w:pPr>
      <w:r>
        <w:rPr>
          <w:rFonts w:ascii="Arial" w:cs="Arial" w:eastAsia="Arial" w:hAnsi="Arial"/>
          <w:sz w:val="22"/>
          <w:szCs w:val="22"/>
          <w:b w:val="1"/>
          <w:bCs w:val="1"/>
          <w:color w:val="auto"/>
        </w:rPr>
        <w:t>DOCUMENTS INCORPORATED BY REFERENCE</w:t>
      </w:r>
    </w:p>
    <w:p>
      <w:pPr>
        <w:spacing w:after="0" w:line="239" w:lineRule="exact"/>
        <w:rPr>
          <w:sz w:val="20"/>
          <w:szCs w:val="20"/>
          <w:color w:val="auto"/>
        </w:rPr>
      </w:pPr>
    </w:p>
    <w:p>
      <w:pPr>
        <w:ind w:right="180"/>
        <w:spacing w:after="0" w:line="250" w:lineRule="auto"/>
        <w:rPr>
          <w:sz w:val="20"/>
          <w:szCs w:val="20"/>
          <w:color w:val="auto"/>
        </w:rPr>
      </w:pPr>
      <w:r>
        <w:rPr>
          <w:rFonts w:ascii="Arial" w:cs="Arial" w:eastAsia="Arial" w:hAnsi="Arial"/>
          <w:sz w:val="22"/>
          <w:szCs w:val="22"/>
          <w:color w:val="auto"/>
        </w:rPr>
        <w:t>Portions of the Registrant’s definitive proxy statement relating to the 2020 annual meeting of stockholders are incorporated by reference into Part III of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210185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304800</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450215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118" w:right="479" w:bottom="1440" w:gutter="0" w:footer="0" w:header="0"/>
        </w:sectPr>
      </w:pPr>
    </w:p>
    <w:bookmarkStart w:id="2" w:name="page3"/>
    <w:bookmarkEnd w:id="2"/>
    <w:p>
      <w:pPr>
        <w:jc w:val="center"/>
        <w:spacing w:after="0"/>
        <w:rPr>
          <w:sz w:val="20"/>
          <w:szCs w:val="20"/>
          <w:color w:val="auto"/>
        </w:rPr>
      </w:pPr>
      <w:r>
        <w:rPr>
          <w:rFonts w:ascii="Arial" w:cs="Arial" w:eastAsia="Arial" w:hAnsi="Arial"/>
          <w:sz w:val="22"/>
          <w:szCs w:val="22"/>
          <w:b w:val="1"/>
          <w:bCs w:val="1"/>
          <w:color w:val="auto"/>
        </w:rPr>
        <w:t>SILVER SPIKE ACQUISITION CORP.</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ANNUAL REPORT ON FORM 10-K</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TABLE OF CONTENTS</w:t>
      </w:r>
      <w:r>
        <w:rPr>
          <w:rFonts w:ascii="Arial" w:cs="Arial" w:eastAsia="Arial" w:hAnsi="Arial"/>
          <w:sz w:val="35"/>
          <w:szCs w:val="35"/>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2962275</wp:posOffset>
            </wp:positionH>
            <wp:positionV relativeFrom="paragraph">
              <wp:posOffset>38735</wp:posOffset>
            </wp:positionV>
            <wp:extent cx="121729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17295" cy="17145"/>
                    </a:xfrm>
                    <a:prstGeom prst="rect">
                      <a:avLst/>
                    </a:prstGeom>
                    <a:noFill/>
                  </pic:spPr>
                </pic:pic>
              </a:graphicData>
            </a:graphic>
          </wp:anchor>
        </w:drawing>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360" w:type="dxa"/>
            <w:vAlign w:val="bottom"/>
            <w:gridSpan w:val="3"/>
          </w:tcPr>
          <w:p>
            <w:pPr>
              <w:jc w:val="right"/>
              <w:ind w:right="20"/>
              <w:spacing w:after="0"/>
              <w:rPr>
                <w:sz w:val="20"/>
                <w:szCs w:val="20"/>
                <w:color w:val="auto"/>
              </w:rPr>
            </w:pPr>
            <w:r>
              <w:rPr>
                <w:rFonts w:ascii="Arial" w:cs="Arial" w:eastAsia="Arial" w:hAnsi="Arial"/>
                <w:sz w:val="22"/>
                <w:szCs w:val="22"/>
                <w:color w:val="auto"/>
              </w:rPr>
              <w:t>Page</w:t>
            </w:r>
          </w:p>
        </w:tc>
        <w:tc>
          <w:tcPr>
            <w:tcW w:w="0" w:type="dxa"/>
            <w:vAlign w:val="bottom"/>
          </w:tcPr>
          <w:p>
            <w:pPr>
              <w:spacing w:after="0"/>
              <w:rPr>
                <w:sz w:val="1"/>
                <w:szCs w:val="1"/>
                <w:color w:val="auto"/>
              </w:rPr>
            </w:pPr>
          </w:p>
        </w:tc>
      </w:tr>
      <w:tr>
        <w:trPr>
          <w:trHeight w:val="263"/>
        </w:trPr>
        <w:tc>
          <w:tcPr>
            <w:tcW w:w="5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20" w:type="dxa"/>
            <w:vAlign w:val="bottom"/>
            <w:tcBorders>
              <w:top w:val="single" w:sz="8" w:color="auto"/>
            </w:tcBorders>
          </w:tcPr>
          <w:p>
            <w:pPr>
              <w:spacing w:after="0"/>
              <w:rPr>
                <w:sz w:val="22"/>
                <w:szCs w:val="22"/>
                <w:color w:val="auto"/>
              </w:rPr>
            </w:pPr>
          </w:p>
        </w:tc>
        <w:tc>
          <w:tcPr>
            <w:tcW w:w="20" w:type="dxa"/>
            <w:vAlign w:val="bottom"/>
            <w:vMerge w:val="restart"/>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9900" w:type="dxa"/>
            <w:vAlign w:val="bottom"/>
            <w:gridSpan w:val="30"/>
            <w:shd w:val="clear" w:color="auto" w:fill="CCEEFF"/>
          </w:tcPr>
          <w:p>
            <w:pPr>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CAUTIONARY NOTE REGARDING FORWARD-LOOKING STATEMENTS</w:t>
              </w:r>
            </w:hyperlink>
          </w:p>
        </w:tc>
        <w:tc>
          <w:tcPr>
            <w:tcW w:w="92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iii</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80" w:type="dxa"/>
            <w:vAlign w:val="bottom"/>
            <w:gridSpan w:val="5"/>
            <w:shd w:val="clear" w:color="auto" w:fill="CCEEFF"/>
          </w:tcPr>
          <w:p>
            <w:pPr>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PART I</w:t>
              </w:r>
            </w:hyperlink>
          </w:p>
        </w:tc>
        <w:tc>
          <w:tcPr>
            <w:tcW w:w="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80" w:type="dxa"/>
            <w:vAlign w:val="bottom"/>
            <w:gridSpan w:val="5"/>
            <w:shd w:val="clear" w:color="auto" w:fill="CCEEFF"/>
          </w:tcPr>
          <w:p>
            <w:pPr>
              <w:ind w:left="240"/>
              <w:spacing w:after="0" w:line="176" w:lineRule="exact"/>
              <w:rPr>
                <w:sz w:val="20"/>
                <w:szCs w:val="20"/>
                <w:color w:val="auto"/>
              </w:rPr>
            </w:pPr>
            <w:r>
              <w:rPr>
                <w:rFonts w:ascii="Arial" w:cs="Arial" w:eastAsia="Arial" w:hAnsi="Arial"/>
                <w:sz w:val="18"/>
                <w:szCs w:val="18"/>
                <w:color w:val="auto"/>
              </w:rPr>
              <w:t>Item 1.</w:t>
            </w:r>
          </w:p>
        </w:tc>
        <w:tc>
          <w:tcPr>
            <w:tcW w:w="9020" w:type="dxa"/>
            <w:vAlign w:val="bottom"/>
            <w:gridSpan w:val="25"/>
            <w:shd w:val="clear" w:color="auto" w:fill="CCEEFF"/>
          </w:tcPr>
          <w:p>
            <w:pPr>
              <w:ind w:left="40"/>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Business</w:t>
              </w:r>
            </w:hyperlink>
          </w:p>
        </w:tc>
        <w:tc>
          <w:tcPr>
            <w:tcW w:w="134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gridSpan w:val="2"/>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900" w:type="dxa"/>
            <w:vAlign w:val="bottom"/>
            <w:gridSpan w:val="30"/>
            <w:shd w:val="clear" w:color="auto" w:fill="CCEEFF"/>
          </w:tcPr>
          <w:p>
            <w:pPr>
              <w:ind w:left="240"/>
              <w:spacing w:after="0" w:line="176" w:lineRule="exact"/>
              <w:rPr>
                <w:rFonts w:ascii="Arial" w:cs="Arial" w:eastAsia="Arial" w:hAnsi="Arial"/>
                <w:sz w:val="18"/>
                <w:szCs w:val="18"/>
                <w:color w:val="auto"/>
              </w:rPr>
            </w:pPr>
            <w:r>
              <w:rPr>
                <w:rFonts w:ascii="Arial" w:cs="Arial" w:eastAsia="Arial" w:hAnsi="Arial"/>
                <w:sz w:val="18"/>
                <w:szCs w:val="18"/>
                <w:color w:val="auto"/>
              </w:rPr>
              <w:t xml:space="preserve">Item 1A. </w:t>
            </w:r>
            <w:hyperlink w:anchor="page24">
              <w:r>
                <w:rPr>
                  <w:rFonts w:ascii="Arial" w:cs="Arial" w:eastAsia="Arial" w:hAnsi="Arial"/>
                  <w:sz w:val="18"/>
                  <w:szCs w:val="18"/>
                  <w:color w:val="0000EE"/>
                </w:rPr>
                <w:t>Risk Factors</w:t>
              </w:r>
            </w:hyperlink>
          </w:p>
        </w:tc>
        <w:tc>
          <w:tcPr>
            <w:tcW w:w="134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19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80" w:type="dxa"/>
            <w:vAlign w:val="bottom"/>
            <w:gridSpan w:val="5"/>
            <w:shd w:val="clear" w:color="auto" w:fill="CCEEFF"/>
          </w:tcPr>
          <w:p>
            <w:pPr>
              <w:ind w:left="240"/>
              <w:spacing w:after="0" w:line="176" w:lineRule="exact"/>
              <w:rPr>
                <w:sz w:val="20"/>
                <w:szCs w:val="20"/>
                <w:color w:val="auto"/>
              </w:rPr>
            </w:pPr>
            <w:r>
              <w:rPr>
                <w:rFonts w:ascii="Arial" w:cs="Arial" w:eastAsia="Arial" w:hAnsi="Arial"/>
                <w:sz w:val="18"/>
                <w:szCs w:val="18"/>
                <w:color w:val="auto"/>
                <w:w w:val="92"/>
              </w:rPr>
              <w:t>Item 1B.</w:t>
            </w:r>
          </w:p>
        </w:tc>
        <w:tc>
          <w:tcPr>
            <w:tcW w:w="9020" w:type="dxa"/>
            <w:vAlign w:val="bottom"/>
            <w:gridSpan w:val="25"/>
            <w:shd w:val="clear" w:color="auto" w:fill="CCEEFF"/>
          </w:tcPr>
          <w:p>
            <w:pPr>
              <w:ind w:left="40"/>
              <w:spacing w:after="0" w:line="176" w:lineRule="exact"/>
              <w:rPr>
                <w:rFonts w:ascii="Arial" w:cs="Arial" w:eastAsia="Arial" w:hAnsi="Arial"/>
                <w:sz w:val="18"/>
                <w:szCs w:val="18"/>
                <w:color w:val="0000EE"/>
              </w:rPr>
            </w:pPr>
            <w:hyperlink w:anchor="page65">
              <w:r>
                <w:rPr>
                  <w:rFonts w:ascii="Arial" w:cs="Arial" w:eastAsia="Arial" w:hAnsi="Arial"/>
                  <w:sz w:val="18"/>
                  <w:szCs w:val="18"/>
                  <w:color w:val="0000EE"/>
                </w:rPr>
                <w:t>Unresolved Staff Comments</w:t>
              </w:r>
            </w:hyperlink>
          </w:p>
        </w:tc>
        <w:tc>
          <w:tcPr>
            <w:tcW w:w="134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59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80" w:type="dxa"/>
            <w:vAlign w:val="bottom"/>
            <w:gridSpan w:val="5"/>
            <w:shd w:val="clear" w:color="auto" w:fill="CCEEFF"/>
          </w:tcPr>
          <w:p>
            <w:pPr>
              <w:ind w:left="240"/>
              <w:spacing w:after="0" w:line="176" w:lineRule="exact"/>
              <w:rPr>
                <w:sz w:val="20"/>
                <w:szCs w:val="20"/>
                <w:color w:val="auto"/>
              </w:rPr>
            </w:pPr>
            <w:r>
              <w:rPr>
                <w:rFonts w:ascii="Arial" w:cs="Arial" w:eastAsia="Arial" w:hAnsi="Arial"/>
                <w:sz w:val="18"/>
                <w:szCs w:val="18"/>
                <w:color w:val="auto"/>
              </w:rPr>
              <w:t>Item 2.</w:t>
            </w:r>
          </w:p>
        </w:tc>
        <w:tc>
          <w:tcPr>
            <w:tcW w:w="9020" w:type="dxa"/>
            <w:vAlign w:val="bottom"/>
            <w:gridSpan w:val="25"/>
            <w:shd w:val="clear" w:color="auto" w:fill="CCEEFF"/>
          </w:tcPr>
          <w:p>
            <w:pPr>
              <w:ind w:left="40"/>
              <w:spacing w:after="0" w:line="176" w:lineRule="exact"/>
              <w:rPr>
                <w:rFonts w:ascii="Arial" w:cs="Arial" w:eastAsia="Arial" w:hAnsi="Arial"/>
                <w:sz w:val="18"/>
                <w:szCs w:val="18"/>
                <w:color w:val="0000EE"/>
              </w:rPr>
            </w:pPr>
            <w:hyperlink w:anchor="page65">
              <w:r>
                <w:rPr>
                  <w:rFonts w:ascii="Arial" w:cs="Arial" w:eastAsia="Arial" w:hAnsi="Arial"/>
                  <w:sz w:val="18"/>
                  <w:szCs w:val="18"/>
                  <w:color w:val="0000EE"/>
                </w:rPr>
                <w:t>Property</w:t>
              </w:r>
            </w:hyperlink>
          </w:p>
        </w:tc>
        <w:tc>
          <w:tcPr>
            <w:tcW w:w="134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59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80" w:type="dxa"/>
            <w:vAlign w:val="bottom"/>
            <w:gridSpan w:val="5"/>
            <w:shd w:val="clear" w:color="auto" w:fill="CCEEFF"/>
          </w:tcPr>
          <w:p>
            <w:pPr>
              <w:ind w:left="240"/>
              <w:spacing w:after="0" w:line="176" w:lineRule="exact"/>
              <w:rPr>
                <w:sz w:val="20"/>
                <w:szCs w:val="20"/>
                <w:color w:val="auto"/>
              </w:rPr>
            </w:pPr>
            <w:r>
              <w:rPr>
                <w:rFonts w:ascii="Arial" w:cs="Arial" w:eastAsia="Arial" w:hAnsi="Arial"/>
                <w:sz w:val="18"/>
                <w:szCs w:val="18"/>
                <w:color w:val="auto"/>
              </w:rPr>
              <w:t>Item 3.</w:t>
            </w:r>
          </w:p>
        </w:tc>
        <w:tc>
          <w:tcPr>
            <w:tcW w:w="9020" w:type="dxa"/>
            <w:vAlign w:val="bottom"/>
            <w:gridSpan w:val="25"/>
            <w:shd w:val="clear" w:color="auto" w:fill="CCEEFF"/>
          </w:tcPr>
          <w:p>
            <w:pPr>
              <w:ind w:left="40"/>
              <w:spacing w:after="0" w:line="176" w:lineRule="exact"/>
              <w:rPr>
                <w:rFonts w:ascii="Arial" w:cs="Arial" w:eastAsia="Arial" w:hAnsi="Arial"/>
                <w:sz w:val="18"/>
                <w:szCs w:val="18"/>
                <w:color w:val="0000EE"/>
              </w:rPr>
            </w:pPr>
            <w:hyperlink w:anchor="page65">
              <w:r>
                <w:rPr>
                  <w:rFonts w:ascii="Arial" w:cs="Arial" w:eastAsia="Arial" w:hAnsi="Arial"/>
                  <w:sz w:val="18"/>
                  <w:szCs w:val="18"/>
                  <w:color w:val="0000EE"/>
                </w:rPr>
                <w:t>Legal Proceedings</w:t>
              </w:r>
            </w:hyperlink>
          </w:p>
        </w:tc>
        <w:tc>
          <w:tcPr>
            <w:tcW w:w="134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59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80" w:type="dxa"/>
            <w:vAlign w:val="bottom"/>
            <w:gridSpan w:val="5"/>
            <w:shd w:val="clear" w:color="auto" w:fill="CCEEFF"/>
          </w:tcPr>
          <w:p>
            <w:pPr>
              <w:ind w:left="240"/>
              <w:spacing w:after="0" w:line="176" w:lineRule="exact"/>
              <w:rPr>
                <w:sz w:val="20"/>
                <w:szCs w:val="20"/>
                <w:color w:val="auto"/>
              </w:rPr>
            </w:pPr>
            <w:r>
              <w:rPr>
                <w:rFonts w:ascii="Arial" w:cs="Arial" w:eastAsia="Arial" w:hAnsi="Arial"/>
                <w:sz w:val="18"/>
                <w:szCs w:val="18"/>
                <w:color w:val="auto"/>
              </w:rPr>
              <w:t>Item 4.</w:t>
            </w:r>
          </w:p>
        </w:tc>
        <w:tc>
          <w:tcPr>
            <w:tcW w:w="9020" w:type="dxa"/>
            <w:vAlign w:val="bottom"/>
            <w:gridSpan w:val="25"/>
            <w:shd w:val="clear" w:color="auto" w:fill="CCEEFF"/>
          </w:tcPr>
          <w:p>
            <w:pPr>
              <w:ind w:left="40"/>
              <w:spacing w:after="0" w:line="176" w:lineRule="exact"/>
              <w:rPr>
                <w:rFonts w:ascii="Arial" w:cs="Arial" w:eastAsia="Arial" w:hAnsi="Arial"/>
                <w:sz w:val="18"/>
                <w:szCs w:val="18"/>
                <w:color w:val="0000EE"/>
              </w:rPr>
            </w:pPr>
            <w:hyperlink w:anchor="page65">
              <w:r>
                <w:rPr>
                  <w:rFonts w:ascii="Arial" w:cs="Arial" w:eastAsia="Arial" w:hAnsi="Arial"/>
                  <w:sz w:val="18"/>
                  <w:szCs w:val="18"/>
                  <w:color w:val="0000EE"/>
                </w:rPr>
                <w:t>Mine Safety Disclosures</w:t>
              </w:r>
            </w:hyperlink>
          </w:p>
        </w:tc>
        <w:tc>
          <w:tcPr>
            <w:tcW w:w="134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59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80" w:type="dxa"/>
            <w:vAlign w:val="bottom"/>
            <w:gridSpan w:val="5"/>
            <w:shd w:val="clear" w:color="auto" w:fill="CCEEFF"/>
          </w:tcPr>
          <w:p>
            <w:pPr>
              <w:spacing w:after="0" w:line="176" w:lineRule="exact"/>
              <w:rPr>
                <w:rFonts w:ascii="Arial" w:cs="Arial" w:eastAsia="Arial" w:hAnsi="Arial"/>
                <w:sz w:val="18"/>
                <w:szCs w:val="18"/>
                <w:color w:val="0000EE"/>
              </w:rPr>
            </w:pPr>
            <w:hyperlink w:anchor="page66">
              <w:r>
                <w:rPr>
                  <w:rFonts w:ascii="Arial" w:cs="Arial" w:eastAsia="Arial" w:hAnsi="Arial"/>
                  <w:sz w:val="18"/>
                  <w:szCs w:val="18"/>
                  <w:color w:val="0000EE"/>
                </w:rPr>
                <w:t>PART II</w:t>
              </w:r>
            </w:hyperlink>
          </w:p>
        </w:tc>
        <w:tc>
          <w:tcPr>
            <w:tcW w:w="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60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80" w:type="dxa"/>
            <w:vAlign w:val="bottom"/>
            <w:gridSpan w:val="5"/>
            <w:shd w:val="clear" w:color="auto" w:fill="CCEEFF"/>
          </w:tcPr>
          <w:p>
            <w:pPr>
              <w:ind w:left="240"/>
              <w:spacing w:after="0" w:line="176" w:lineRule="exact"/>
              <w:rPr>
                <w:sz w:val="20"/>
                <w:szCs w:val="20"/>
                <w:color w:val="auto"/>
              </w:rPr>
            </w:pPr>
            <w:r>
              <w:rPr>
                <w:rFonts w:ascii="Arial" w:cs="Arial" w:eastAsia="Arial" w:hAnsi="Arial"/>
                <w:sz w:val="18"/>
                <w:szCs w:val="18"/>
                <w:color w:val="auto"/>
              </w:rPr>
              <w:t>Item 5.</w:t>
            </w:r>
          </w:p>
        </w:tc>
        <w:tc>
          <w:tcPr>
            <w:tcW w:w="9020" w:type="dxa"/>
            <w:vAlign w:val="bottom"/>
            <w:gridSpan w:val="25"/>
            <w:shd w:val="clear" w:color="auto" w:fill="CCEEFF"/>
          </w:tcPr>
          <w:p>
            <w:pPr>
              <w:ind w:left="40"/>
              <w:spacing w:after="0" w:line="176" w:lineRule="exact"/>
              <w:rPr>
                <w:rFonts w:ascii="Arial" w:cs="Arial" w:eastAsia="Arial" w:hAnsi="Arial"/>
                <w:sz w:val="18"/>
                <w:szCs w:val="18"/>
                <w:color w:val="0000EE"/>
              </w:rPr>
            </w:pPr>
            <w:hyperlink w:anchor="page66">
              <w:r>
                <w:rPr>
                  <w:rFonts w:ascii="Arial" w:cs="Arial" w:eastAsia="Arial" w:hAnsi="Arial"/>
                  <w:sz w:val="18"/>
                  <w:szCs w:val="18"/>
                  <w:color w:val="0000EE"/>
                </w:rPr>
                <w:t>Market for Registrant’s Common Equity, Related Stockholder Matters and Issuer Purchases of Equity Securities</w:t>
              </w:r>
            </w:hyperlink>
          </w:p>
        </w:tc>
        <w:tc>
          <w:tcPr>
            <w:tcW w:w="134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60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0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80" w:type="dxa"/>
            <w:vAlign w:val="bottom"/>
            <w:gridSpan w:val="5"/>
            <w:shd w:val="clear" w:color="auto" w:fill="CCEEFF"/>
          </w:tcPr>
          <w:p>
            <w:pPr>
              <w:ind w:left="240"/>
              <w:spacing w:after="0" w:line="176" w:lineRule="exact"/>
              <w:rPr>
                <w:sz w:val="20"/>
                <w:szCs w:val="20"/>
                <w:color w:val="auto"/>
              </w:rPr>
            </w:pPr>
            <w:r>
              <w:rPr>
                <w:rFonts w:ascii="Arial" w:cs="Arial" w:eastAsia="Arial" w:hAnsi="Arial"/>
                <w:sz w:val="18"/>
                <w:szCs w:val="18"/>
                <w:color w:val="auto"/>
              </w:rPr>
              <w:t>Item 6.</w:t>
            </w:r>
          </w:p>
        </w:tc>
        <w:tc>
          <w:tcPr>
            <w:tcW w:w="9020" w:type="dxa"/>
            <w:vAlign w:val="bottom"/>
            <w:gridSpan w:val="25"/>
            <w:shd w:val="clear" w:color="auto" w:fill="CCEEFF"/>
          </w:tcPr>
          <w:p>
            <w:pPr>
              <w:ind w:left="40"/>
              <w:spacing w:after="0" w:line="176" w:lineRule="exact"/>
              <w:rPr>
                <w:rFonts w:ascii="Arial" w:cs="Arial" w:eastAsia="Arial" w:hAnsi="Arial"/>
                <w:sz w:val="18"/>
                <w:szCs w:val="18"/>
                <w:color w:val="0000EE"/>
              </w:rPr>
            </w:pPr>
            <w:hyperlink w:anchor="page67">
              <w:r>
                <w:rPr>
                  <w:rFonts w:ascii="Arial" w:cs="Arial" w:eastAsia="Arial" w:hAnsi="Arial"/>
                  <w:sz w:val="18"/>
                  <w:szCs w:val="18"/>
                  <w:color w:val="0000EE"/>
                </w:rPr>
                <w:t>Selected Financial Data</w:t>
              </w:r>
            </w:hyperlink>
          </w:p>
        </w:tc>
        <w:tc>
          <w:tcPr>
            <w:tcW w:w="134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61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80" w:type="dxa"/>
            <w:vAlign w:val="bottom"/>
            <w:gridSpan w:val="5"/>
            <w:shd w:val="clear" w:color="auto" w:fill="CCEEFF"/>
          </w:tcPr>
          <w:p>
            <w:pPr>
              <w:ind w:left="240"/>
              <w:spacing w:after="0" w:line="176" w:lineRule="exact"/>
              <w:rPr>
                <w:sz w:val="20"/>
                <w:szCs w:val="20"/>
                <w:color w:val="auto"/>
              </w:rPr>
            </w:pPr>
            <w:r>
              <w:rPr>
                <w:rFonts w:ascii="Arial" w:cs="Arial" w:eastAsia="Arial" w:hAnsi="Arial"/>
                <w:sz w:val="18"/>
                <w:szCs w:val="18"/>
                <w:color w:val="auto"/>
              </w:rPr>
              <w:t>Item 7.</w:t>
            </w:r>
          </w:p>
        </w:tc>
        <w:tc>
          <w:tcPr>
            <w:tcW w:w="9020" w:type="dxa"/>
            <w:vAlign w:val="bottom"/>
            <w:gridSpan w:val="25"/>
            <w:shd w:val="clear" w:color="auto" w:fill="CCEEFF"/>
          </w:tcPr>
          <w:p>
            <w:pPr>
              <w:ind w:left="40"/>
              <w:spacing w:after="0" w:line="176" w:lineRule="exact"/>
              <w:rPr>
                <w:rFonts w:ascii="Arial" w:cs="Arial" w:eastAsia="Arial" w:hAnsi="Arial"/>
                <w:sz w:val="18"/>
                <w:szCs w:val="18"/>
                <w:color w:val="0000EE"/>
              </w:rPr>
            </w:pPr>
            <w:hyperlink w:anchor="page67">
              <w:r>
                <w:rPr>
                  <w:rFonts w:ascii="Arial" w:cs="Arial" w:eastAsia="Arial" w:hAnsi="Arial"/>
                  <w:sz w:val="18"/>
                  <w:szCs w:val="18"/>
                  <w:color w:val="0000EE"/>
                </w:rPr>
                <w:t>Management’s Discussion and Analysis of Financial Condition and Results of Operations.</w:t>
              </w:r>
            </w:hyperlink>
          </w:p>
        </w:tc>
        <w:tc>
          <w:tcPr>
            <w:tcW w:w="134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61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gridSpan w:val="2"/>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0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900" w:type="dxa"/>
            <w:vAlign w:val="bottom"/>
            <w:gridSpan w:val="30"/>
            <w:shd w:val="clear" w:color="auto" w:fill="CCEEFF"/>
          </w:tcPr>
          <w:p>
            <w:pPr>
              <w:ind w:left="240"/>
              <w:spacing w:after="0" w:line="176" w:lineRule="exact"/>
              <w:rPr>
                <w:rFonts w:ascii="Arial" w:cs="Arial" w:eastAsia="Arial" w:hAnsi="Arial"/>
                <w:sz w:val="18"/>
                <w:szCs w:val="18"/>
                <w:color w:val="auto"/>
              </w:rPr>
            </w:pPr>
            <w:r>
              <w:rPr>
                <w:rFonts w:ascii="Arial" w:cs="Arial" w:eastAsia="Arial" w:hAnsi="Arial"/>
                <w:sz w:val="18"/>
                <w:szCs w:val="18"/>
                <w:color w:val="auto"/>
              </w:rPr>
              <w:t xml:space="preserve">Item 7A. </w:t>
            </w:r>
            <w:hyperlink w:anchor="page71">
              <w:r>
                <w:rPr>
                  <w:rFonts w:ascii="Arial" w:cs="Arial" w:eastAsia="Arial" w:hAnsi="Arial"/>
                  <w:sz w:val="18"/>
                  <w:szCs w:val="18"/>
                  <w:color w:val="0000EE"/>
                </w:rPr>
                <w:t>Quantitative and Qualitative Disclosures about Market Risk</w:t>
              </w:r>
            </w:hyperlink>
          </w:p>
        </w:tc>
        <w:tc>
          <w:tcPr>
            <w:tcW w:w="134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65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80" w:type="dxa"/>
            <w:vAlign w:val="bottom"/>
            <w:gridSpan w:val="5"/>
            <w:shd w:val="clear" w:color="auto" w:fill="CCEEFF"/>
          </w:tcPr>
          <w:p>
            <w:pPr>
              <w:ind w:left="240"/>
              <w:spacing w:after="0" w:line="176" w:lineRule="exact"/>
              <w:rPr>
                <w:sz w:val="20"/>
                <w:szCs w:val="20"/>
                <w:color w:val="auto"/>
              </w:rPr>
            </w:pPr>
            <w:r>
              <w:rPr>
                <w:rFonts w:ascii="Arial" w:cs="Arial" w:eastAsia="Arial" w:hAnsi="Arial"/>
                <w:sz w:val="18"/>
                <w:szCs w:val="18"/>
                <w:color w:val="auto"/>
              </w:rPr>
              <w:t>Item 8.</w:t>
            </w:r>
          </w:p>
        </w:tc>
        <w:tc>
          <w:tcPr>
            <w:tcW w:w="9020" w:type="dxa"/>
            <w:vAlign w:val="bottom"/>
            <w:gridSpan w:val="25"/>
            <w:shd w:val="clear" w:color="auto" w:fill="CCEEFF"/>
          </w:tcPr>
          <w:p>
            <w:pPr>
              <w:ind w:left="40"/>
              <w:spacing w:after="0" w:line="176" w:lineRule="exact"/>
              <w:rPr>
                <w:rFonts w:ascii="Arial" w:cs="Arial" w:eastAsia="Arial" w:hAnsi="Arial"/>
                <w:sz w:val="18"/>
                <w:szCs w:val="18"/>
                <w:color w:val="0000EE"/>
              </w:rPr>
            </w:pPr>
            <w:hyperlink w:anchor="page71">
              <w:r>
                <w:rPr>
                  <w:rFonts w:ascii="Arial" w:cs="Arial" w:eastAsia="Arial" w:hAnsi="Arial"/>
                  <w:sz w:val="18"/>
                  <w:szCs w:val="18"/>
                  <w:color w:val="0000EE"/>
                </w:rPr>
                <w:t>Financial Statements and Supplementary Data</w:t>
              </w:r>
            </w:hyperlink>
          </w:p>
        </w:tc>
        <w:tc>
          <w:tcPr>
            <w:tcW w:w="134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65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80" w:type="dxa"/>
            <w:vAlign w:val="bottom"/>
            <w:gridSpan w:val="5"/>
            <w:shd w:val="clear" w:color="auto" w:fill="CCEEFF"/>
          </w:tcPr>
          <w:p>
            <w:pPr>
              <w:ind w:left="240"/>
              <w:spacing w:after="0" w:line="176" w:lineRule="exact"/>
              <w:rPr>
                <w:sz w:val="20"/>
                <w:szCs w:val="20"/>
                <w:color w:val="auto"/>
              </w:rPr>
            </w:pPr>
            <w:r>
              <w:rPr>
                <w:rFonts w:ascii="Arial" w:cs="Arial" w:eastAsia="Arial" w:hAnsi="Arial"/>
                <w:sz w:val="18"/>
                <w:szCs w:val="18"/>
                <w:color w:val="auto"/>
              </w:rPr>
              <w:t>Item 9.</w:t>
            </w:r>
          </w:p>
        </w:tc>
        <w:tc>
          <w:tcPr>
            <w:tcW w:w="9020" w:type="dxa"/>
            <w:vAlign w:val="bottom"/>
            <w:gridSpan w:val="25"/>
            <w:shd w:val="clear" w:color="auto" w:fill="CCEEFF"/>
          </w:tcPr>
          <w:p>
            <w:pPr>
              <w:ind w:left="40"/>
              <w:spacing w:after="0" w:line="176" w:lineRule="exact"/>
              <w:rPr>
                <w:rFonts w:ascii="Arial" w:cs="Arial" w:eastAsia="Arial" w:hAnsi="Arial"/>
                <w:sz w:val="18"/>
                <w:szCs w:val="18"/>
                <w:color w:val="0000EE"/>
              </w:rPr>
            </w:pPr>
            <w:hyperlink w:anchor="page71">
              <w:r>
                <w:rPr>
                  <w:rFonts w:ascii="Arial" w:cs="Arial" w:eastAsia="Arial" w:hAnsi="Arial"/>
                  <w:sz w:val="18"/>
                  <w:szCs w:val="18"/>
                  <w:color w:val="0000EE"/>
                </w:rPr>
                <w:t>Changes in and Disagreements with Accountants on Accounting and Financial Disclosure</w:t>
              </w:r>
            </w:hyperlink>
          </w:p>
        </w:tc>
        <w:tc>
          <w:tcPr>
            <w:tcW w:w="134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65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gridSpan w:val="2"/>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02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900" w:type="dxa"/>
            <w:vAlign w:val="bottom"/>
            <w:gridSpan w:val="30"/>
            <w:shd w:val="clear" w:color="auto" w:fill="CCEEFF"/>
          </w:tcPr>
          <w:p>
            <w:pPr>
              <w:ind w:left="240"/>
              <w:spacing w:after="0" w:line="176" w:lineRule="exact"/>
              <w:rPr>
                <w:rFonts w:ascii="Arial" w:cs="Arial" w:eastAsia="Arial" w:hAnsi="Arial"/>
                <w:sz w:val="18"/>
                <w:szCs w:val="18"/>
                <w:color w:val="auto"/>
              </w:rPr>
            </w:pPr>
            <w:r>
              <w:rPr>
                <w:rFonts w:ascii="Arial" w:cs="Arial" w:eastAsia="Arial" w:hAnsi="Arial"/>
                <w:sz w:val="18"/>
                <w:szCs w:val="18"/>
                <w:color w:val="auto"/>
              </w:rPr>
              <w:t xml:space="preserve">Item 9A. </w:t>
            </w:r>
            <w:hyperlink w:anchor="page71">
              <w:r>
                <w:rPr>
                  <w:rFonts w:ascii="Arial" w:cs="Arial" w:eastAsia="Arial" w:hAnsi="Arial"/>
                  <w:sz w:val="18"/>
                  <w:szCs w:val="18"/>
                  <w:color w:val="0000EE"/>
                </w:rPr>
                <w:t>Controls and Procedures.</w:t>
              </w:r>
            </w:hyperlink>
          </w:p>
        </w:tc>
        <w:tc>
          <w:tcPr>
            <w:tcW w:w="134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65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80" w:type="dxa"/>
            <w:vAlign w:val="bottom"/>
            <w:gridSpan w:val="5"/>
            <w:shd w:val="clear" w:color="auto" w:fill="CCEEFF"/>
          </w:tcPr>
          <w:p>
            <w:pPr>
              <w:ind w:left="240"/>
              <w:spacing w:after="0" w:line="176" w:lineRule="exact"/>
              <w:rPr>
                <w:sz w:val="20"/>
                <w:szCs w:val="20"/>
                <w:color w:val="auto"/>
              </w:rPr>
            </w:pPr>
            <w:r>
              <w:rPr>
                <w:rFonts w:ascii="Arial" w:cs="Arial" w:eastAsia="Arial" w:hAnsi="Arial"/>
                <w:sz w:val="18"/>
                <w:szCs w:val="18"/>
                <w:color w:val="auto"/>
                <w:w w:val="92"/>
              </w:rPr>
              <w:t>Item 9B.</w:t>
            </w:r>
          </w:p>
        </w:tc>
        <w:tc>
          <w:tcPr>
            <w:tcW w:w="9020" w:type="dxa"/>
            <w:vAlign w:val="bottom"/>
            <w:gridSpan w:val="25"/>
            <w:shd w:val="clear" w:color="auto" w:fill="CCEEFF"/>
          </w:tcPr>
          <w:p>
            <w:pPr>
              <w:ind w:left="40"/>
              <w:spacing w:after="0" w:line="176" w:lineRule="exact"/>
              <w:rPr>
                <w:rFonts w:ascii="Arial" w:cs="Arial" w:eastAsia="Arial" w:hAnsi="Arial"/>
                <w:sz w:val="18"/>
                <w:szCs w:val="18"/>
                <w:color w:val="0000EE"/>
              </w:rPr>
            </w:pPr>
            <w:hyperlink w:anchor="page72">
              <w:r>
                <w:rPr>
                  <w:rFonts w:ascii="Arial" w:cs="Arial" w:eastAsia="Arial" w:hAnsi="Arial"/>
                  <w:sz w:val="18"/>
                  <w:szCs w:val="18"/>
                  <w:color w:val="0000EE"/>
                </w:rPr>
                <w:t>Other Information.</w:t>
              </w:r>
            </w:hyperlink>
          </w:p>
        </w:tc>
        <w:tc>
          <w:tcPr>
            <w:tcW w:w="134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66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80" w:type="dxa"/>
            <w:vAlign w:val="bottom"/>
            <w:gridSpan w:val="5"/>
            <w:shd w:val="clear" w:color="auto" w:fill="CCEEFF"/>
          </w:tcPr>
          <w:p>
            <w:pPr>
              <w:spacing w:after="0" w:line="176" w:lineRule="exact"/>
              <w:rPr>
                <w:rFonts w:ascii="Arial" w:cs="Arial" w:eastAsia="Arial" w:hAnsi="Arial"/>
                <w:sz w:val="18"/>
                <w:szCs w:val="18"/>
                <w:color w:val="0000EE"/>
              </w:rPr>
            </w:pPr>
            <w:hyperlink w:anchor="page72">
              <w:r>
                <w:rPr>
                  <w:rFonts w:ascii="Arial" w:cs="Arial" w:eastAsia="Arial" w:hAnsi="Arial"/>
                  <w:sz w:val="18"/>
                  <w:szCs w:val="18"/>
                  <w:color w:val="0000EE"/>
                </w:rPr>
                <w:t>PART III</w:t>
              </w:r>
            </w:hyperlink>
          </w:p>
        </w:tc>
        <w:tc>
          <w:tcPr>
            <w:tcW w:w="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66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80" w:type="dxa"/>
            <w:vAlign w:val="bottom"/>
            <w:gridSpan w:val="5"/>
            <w:shd w:val="clear" w:color="auto" w:fill="CCEEFF"/>
          </w:tcPr>
          <w:p>
            <w:pPr>
              <w:ind w:left="240"/>
              <w:spacing w:after="0" w:line="176" w:lineRule="exact"/>
              <w:rPr>
                <w:sz w:val="20"/>
                <w:szCs w:val="20"/>
                <w:color w:val="auto"/>
              </w:rPr>
            </w:pPr>
            <w:r>
              <w:rPr>
                <w:rFonts w:ascii="Arial" w:cs="Arial" w:eastAsia="Arial" w:hAnsi="Arial"/>
                <w:sz w:val="18"/>
                <w:szCs w:val="18"/>
                <w:color w:val="auto"/>
                <w:w w:val="95"/>
              </w:rPr>
              <w:t>Item 10.</w:t>
            </w:r>
          </w:p>
        </w:tc>
        <w:tc>
          <w:tcPr>
            <w:tcW w:w="9020" w:type="dxa"/>
            <w:vAlign w:val="bottom"/>
            <w:gridSpan w:val="25"/>
            <w:shd w:val="clear" w:color="auto" w:fill="CCEEFF"/>
          </w:tcPr>
          <w:p>
            <w:pPr>
              <w:ind w:left="40"/>
              <w:spacing w:after="0" w:line="176" w:lineRule="exact"/>
              <w:rPr>
                <w:rFonts w:ascii="Arial" w:cs="Arial" w:eastAsia="Arial" w:hAnsi="Arial"/>
                <w:sz w:val="18"/>
                <w:szCs w:val="18"/>
                <w:color w:val="0000EE"/>
              </w:rPr>
            </w:pPr>
            <w:hyperlink w:anchor="page72">
              <w:r>
                <w:rPr>
                  <w:rFonts w:ascii="Arial" w:cs="Arial" w:eastAsia="Arial" w:hAnsi="Arial"/>
                  <w:sz w:val="18"/>
                  <w:szCs w:val="18"/>
                  <w:color w:val="0000EE"/>
                </w:rPr>
                <w:t>Directors, Executive Officers and Corporate Governance</w:t>
              </w:r>
            </w:hyperlink>
          </w:p>
        </w:tc>
        <w:tc>
          <w:tcPr>
            <w:tcW w:w="134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66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80" w:type="dxa"/>
            <w:vAlign w:val="bottom"/>
            <w:gridSpan w:val="5"/>
            <w:shd w:val="clear" w:color="auto" w:fill="CCEEFF"/>
          </w:tcPr>
          <w:p>
            <w:pPr>
              <w:ind w:left="240"/>
              <w:spacing w:after="0" w:line="176" w:lineRule="exact"/>
              <w:rPr>
                <w:sz w:val="20"/>
                <w:szCs w:val="20"/>
                <w:color w:val="auto"/>
              </w:rPr>
            </w:pPr>
            <w:r>
              <w:rPr>
                <w:rFonts w:ascii="Arial" w:cs="Arial" w:eastAsia="Arial" w:hAnsi="Arial"/>
                <w:sz w:val="18"/>
                <w:szCs w:val="18"/>
                <w:color w:val="auto"/>
                <w:w w:val="95"/>
              </w:rPr>
              <w:t>Item 11.</w:t>
            </w:r>
          </w:p>
        </w:tc>
        <w:tc>
          <w:tcPr>
            <w:tcW w:w="9020" w:type="dxa"/>
            <w:vAlign w:val="bottom"/>
            <w:gridSpan w:val="25"/>
            <w:shd w:val="clear" w:color="auto" w:fill="CCEEFF"/>
          </w:tcPr>
          <w:p>
            <w:pPr>
              <w:ind w:left="40"/>
              <w:spacing w:after="0" w:line="176" w:lineRule="exact"/>
              <w:rPr>
                <w:rFonts w:ascii="Arial" w:cs="Arial" w:eastAsia="Arial" w:hAnsi="Arial"/>
                <w:sz w:val="18"/>
                <w:szCs w:val="18"/>
                <w:color w:val="0000EE"/>
              </w:rPr>
            </w:pPr>
            <w:hyperlink w:anchor="page80">
              <w:r>
                <w:rPr>
                  <w:rFonts w:ascii="Arial" w:cs="Arial" w:eastAsia="Arial" w:hAnsi="Arial"/>
                  <w:sz w:val="18"/>
                  <w:szCs w:val="18"/>
                  <w:color w:val="0000EE"/>
                </w:rPr>
                <w:t>Executive Compensation.</w:t>
              </w:r>
            </w:hyperlink>
          </w:p>
        </w:tc>
        <w:tc>
          <w:tcPr>
            <w:tcW w:w="134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74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80" w:type="dxa"/>
            <w:vAlign w:val="bottom"/>
            <w:gridSpan w:val="5"/>
            <w:shd w:val="clear" w:color="auto" w:fill="CCEEFF"/>
          </w:tcPr>
          <w:p>
            <w:pPr>
              <w:ind w:left="240"/>
              <w:spacing w:after="0" w:line="176" w:lineRule="exact"/>
              <w:rPr>
                <w:sz w:val="20"/>
                <w:szCs w:val="20"/>
                <w:color w:val="auto"/>
              </w:rPr>
            </w:pPr>
            <w:r>
              <w:rPr>
                <w:rFonts w:ascii="Arial" w:cs="Arial" w:eastAsia="Arial" w:hAnsi="Arial"/>
                <w:sz w:val="18"/>
                <w:szCs w:val="18"/>
                <w:color w:val="auto"/>
                <w:w w:val="95"/>
              </w:rPr>
              <w:t>Item 12.</w:t>
            </w:r>
          </w:p>
        </w:tc>
        <w:tc>
          <w:tcPr>
            <w:tcW w:w="9020" w:type="dxa"/>
            <w:vAlign w:val="bottom"/>
            <w:gridSpan w:val="25"/>
            <w:shd w:val="clear" w:color="auto" w:fill="CCEEFF"/>
          </w:tcPr>
          <w:p>
            <w:pPr>
              <w:ind w:left="40"/>
              <w:spacing w:after="0" w:line="176" w:lineRule="exact"/>
              <w:rPr>
                <w:rFonts w:ascii="Arial" w:cs="Arial" w:eastAsia="Arial" w:hAnsi="Arial"/>
                <w:sz w:val="18"/>
                <w:szCs w:val="18"/>
                <w:color w:val="0000EE"/>
              </w:rPr>
            </w:pPr>
            <w:hyperlink w:anchor="page81">
              <w:r>
                <w:rPr>
                  <w:rFonts w:ascii="Arial" w:cs="Arial" w:eastAsia="Arial" w:hAnsi="Arial"/>
                  <w:sz w:val="18"/>
                  <w:szCs w:val="18"/>
                  <w:color w:val="0000EE"/>
                </w:rPr>
                <w:t>Security Ownership of Certain Beneficial Owners and Management and Related Stockholder Matters</w:t>
              </w:r>
            </w:hyperlink>
          </w:p>
        </w:tc>
        <w:tc>
          <w:tcPr>
            <w:tcW w:w="134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75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0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80" w:type="dxa"/>
            <w:vAlign w:val="bottom"/>
            <w:gridSpan w:val="5"/>
            <w:shd w:val="clear" w:color="auto" w:fill="CCEEFF"/>
          </w:tcPr>
          <w:p>
            <w:pPr>
              <w:ind w:left="240"/>
              <w:spacing w:after="0" w:line="176" w:lineRule="exact"/>
              <w:rPr>
                <w:sz w:val="20"/>
                <w:szCs w:val="20"/>
                <w:color w:val="auto"/>
              </w:rPr>
            </w:pPr>
            <w:r>
              <w:rPr>
                <w:rFonts w:ascii="Arial" w:cs="Arial" w:eastAsia="Arial" w:hAnsi="Arial"/>
                <w:sz w:val="18"/>
                <w:szCs w:val="18"/>
                <w:color w:val="auto"/>
                <w:w w:val="95"/>
              </w:rPr>
              <w:t>Item 13.</w:t>
            </w:r>
          </w:p>
        </w:tc>
        <w:tc>
          <w:tcPr>
            <w:tcW w:w="9020" w:type="dxa"/>
            <w:vAlign w:val="bottom"/>
            <w:gridSpan w:val="25"/>
            <w:shd w:val="clear" w:color="auto" w:fill="CCEEFF"/>
          </w:tcPr>
          <w:p>
            <w:pPr>
              <w:ind w:left="40"/>
              <w:spacing w:after="0" w:line="176" w:lineRule="exact"/>
              <w:rPr>
                <w:rFonts w:ascii="Arial" w:cs="Arial" w:eastAsia="Arial" w:hAnsi="Arial"/>
                <w:sz w:val="18"/>
                <w:szCs w:val="18"/>
                <w:color w:val="0000EE"/>
              </w:rPr>
            </w:pPr>
            <w:hyperlink w:anchor="page83">
              <w:r>
                <w:rPr>
                  <w:rFonts w:ascii="Arial" w:cs="Arial" w:eastAsia="Arial" w:hAnsi="Arial"/>
                  <w:sz w:val="18"/>
                  <w:szCs w:val="18"/>
                  <w:color w:val="0000EE"/>
                </w:rPr>
                <w:t>Certain Relationships and Related Transactions, and Director Independence</w:t>
              </w:r>
            </w:hyperlink>
          </w:p>
        </w:tc>
        <w:tc>
          <w:tcPr>
            <w:tcW w:w="134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77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80" w:type="dxa"/>
            <w:vAlign w:val="bottom"/>
            <w:gridSpan w:val="5"/>
            <w:shd w:val="clear" w:color="auto" w:fill="CCEEFF"/>
          </w:tcPr>
          <w:p>
            <w:pPr>
              <w:ind w:left="240"/>
              <w:spacing w:after="0" w:line="176" w:lineRule="exact"/>
              <w:rPr>
                <w:sz w:val="20"/>
                <w:szCs w:val="20"/>
                <w:color w:val="auto"/>
              </w:rPr>
            </w:pPr>
            <w:r>
              <w:rPr>
                <w:rFonts w:ascii="Arial" w:cs="Arial" w:eastAsia="Arial" w:hAnsi="Arial"/>
                <w:sz w:val="18"/>
                <w:szCs w:val="18"/>
                <w:color w:val="auto"/>
                <w:w w:val="95"/>
              </w:rPr>
              <w:t>Item 14.</w:t>
            </w:r>
          </w:p>
        </w:tc>
        <w:tc>
          <w:tcPr>
            <w:tcW w:w="9020" w:type="dxa"/>
            <w:vAlign w:val="bottom"/>
            <w:gridSpan w:val="25"/>
            <w:shd w:val="clear" w:color="auto" w:fill="CCEEFF"/>
          </w:tcPr>
          <w:p>
            <w:pPr>
              <w:ind w:left="40"/>
              <w:spacing w:after="0" w:line="176" w:lineRule="exact"/>
              <w:rPr>
                <w:rFonts w:ascii="Arial" w:cs="Arial" w:eastAsia="Arial" w:hAnsi="Arial"/>
                <w:sz w:val="18"/>
                <w:szCs w:val="18"/>
                <w:color w:val="0000EE"/>
              </w:rPr>
            </w:pPr>
            <w:hyperlink w:anchor="page86">
              <w:r>
                <w:rPr>
                  <w:rFonts w:ascii="Arial" w:cs="Arial" w:eastAsia="Arial" w:hAnsi="Arial"/>
                  <w:sz w:val="18"/>
                  <w:szCs w:val="18"/>
                  <w:color w:val="0000EE"/>
                </w:rPr>
                <w:t>Principal Accounting Fees and Services</w:t>
              </w:r>
            </w:hyperlink>
          </w:p>
        </w:tc>
        <w:tc>
          <w:tcPr>
            <w:tcW w:w="134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80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80" w:type="dxa"/>
            <w:vAlign w:val="bottom"/>
            <w:gridSpan w:val="5"/>
            <w:shd w:val="clear" w:color="auto" w:fill="CCEEFF"/>
          </w:tcPr>
          <w:p>
            <w:pPr>
              <w:spacing w:after="0" w:line="176" w:lineRule="exact"/>
              <w:rPr>
                <w:rFonts w:ascii="Arial" w:cs="Arial" w:eastAsia="Arial" w:hAnsi="Arial"/>
                <w:sz w:val="18"/>
                <w:szCs w:val="18"/>
                <w:color w:val="0000EE"/>
              </w:rPr>
            </w:pPr>
            <w:hyperlink w:anchor="page86">
              <w:r>
                <w:rPr>
                  <w:rFonts w:ascii="Arial" w:cs="Arial" w:eastAsia="Arial" w:hAnsi="Arial"/>
                  <w:sz w:val="18"/>
                  <w:szCs w:val="18"/>
                  <w:color w:val="0000EE"/>
                </w:rPr>
                <w:t>PART IV</w:t>
              </w:r>
            </w:hyperlink>
          </w:p>
        </w:tc>
        <w:tc>
          <w:tcPr>
            <w:tcW w:w="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80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80" w:type="dxa"/>
            <w:vAlign w:val="bottom"/>
            <w:gridSpan w:val="5"/>
            <w:shd w:val="clear" w:color="auto" w:fill="CCEEFF"/>
          </w:tcPr>
          <w:p>
            <w:pPr>
              <w:ind w:left="240"/>
              <w:spacing w:after="0" w:line="176" w:lineRule="exact"/>
              <w:rPr>
                <w:sz w:val="20"/>
                <w:szCs w:val="20"/>
                <w:color w:val="auto"/>
              </w:rPr>
            </w:pPr>
            <w:r>
              <w:rPr>
                <w:rFonts w:ascii="Arial" w:cs="Arial" w:eastAsia="Arial" w:hAnsi="Arial"/>
                <w:sz w:val="18"/>
                <w:szCs w:val="18"/>
                <w:color w:val="auto"/>
                <w:w w:val="95"/>
              </w:rPr>
              <w:t>Item 15</w:t>
            </w:r>
            <w:r>
              <w:rPr>
                <w:rFonts w:ascii="Arial" w:cs="Arial" w:eastAsia="Arial" w:hAnsi="Arial"/>
                <w:sz w:val="18"/>
                <w:szCs w:val="18"/>
                <w:i w:val="1"/>
                <w:iCs w:val="1"/>
                <w:color w:val="auto"/>
                <w:w w:val="95"/>
              </w:rPr>
              <w:t>.</w:t>
            </w:r>
          </w:p>
        </w:tc>
        <w:tc>
          <w:tcPr>
            <w:tcW w:w="9020" w:type="dxa"/>
            <w:vAlign w:val="bottom"/>
            <w:gridSpan w:val="25"/>
            <w:shd w:val="clear" w:color="auto" w:fill="CCEEFF"/>
          </w:tcPr>
          <w:p>
            <w:pPr>
              <w:ind w:left="40"/>
              <w:spacing w:after="0" w:line="176" w:lineRule="exact"/>
              <w:rPr>
                <w:rFonts w:ascii="Arial" w:cs="Arial" w:eastAsia="Arial" w:hAnsi="Arial"/>
                <w:sz w:val="18"/>
                <w:szCs w:val="18"/>
                <w:color w:val="0000EE"/>
              </w:rPr>
            </w:pPr>
            <w:hyperlink w:anchor="page86">
              <w:r>
                <w:rPr>
                  <w:rFonts w:ascii="Arial" w:cs="Arial" w:eastAsia="Arial" w:hAnsi="Arial"/>
                  <w:sz w:val="18"/>
                  <w:szCs w:val="18"/>
                  <w:color w:val="0000EE"/>
                </w:rPr>
                <w:t>Exhibits, Financial Statement Schedules</w:t>
              </w:r>
            </w:hyperlink>
          </w:p>
        </w:tc>
        <w:tc>
          <w:tcPr>
            <w:tcW w:w="134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80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80" w:type="dxa"/>
            <w:vAlign w:val="bottom"/>
            <w:gridSpan w:val="5"/>
            <w:shd w:val="clear" w:color="auto" w:fill="CCEEFF"/>
          </w:tcPr>
          <w:p>
            <w:pPr>
              <w:ind w:left="240"/>
              <w:spacing w:after="0" w:line="176" w:lineRule="exact"/>
              <w:rPr>
                <w:sz w:val="20"/>
                <w:szCs w:val="20"/>
                <w:color w:val="auto"/>
              </w:rPr>
            </w:pPr>
            <w:r>
              <w:rPr>
                <w:rFonts w:ascii="Arial" w:cs="Arial" w:eastAsia="Arial" w:hAnsi="Arial"/>
                <w:sz w:val="18"/>
                <w:szCs w:val="18"/>
                <w:color w:val="auto"/>
                <w:w w:val="95"/>
              </w:rPr>
              <w:t>Item 16.</w:t>
            </w:r>
          </w:p>
        </w:tc>
        <w:tc>
          <w:tcPr>
            <w:tcW w:w="9020" w:type="dxa"/>
            <w:vAlign w:val="bottom"/>
            <w:gridSpan w:val="25"/>
            <w:shd w:val="clear" w:color="auto" w:fill="CCEEFF"/>
          </w:tcPr>
          <w:p>
            <w:pPr>
              <w:ind w:left="40"/>
              <w:spacing w:after="0" w:line="176" w:lineRule="exact"/>
              <w:rPr>
                <w:rFonts w:ascii="Arial" w:cs="Arial" w:eastAsia="Arial" w:hAnsi="Arial"/>
                <w:sz w:val="18"/>
                <w:szCs w:val="18"/>
                <w:color w:val="0000EE"/>
              </w:rPr>
            </w:pPr>
            <w:hyperlink w:anchor="page87">
              <w:r>
                <w:rPr>
                  <w:rFonts w:ascii="Arial" w:cs="Arial" w:eastAsia="Arial" w:hAnsi="Arial"/>
                  <w:sz w:val="18"/>
                  <w:szCs w:val="18"/>
                  <w:color w:val="0000EE"/>
                </w:rPr>
                <w:t>Form 10-K Summary</w:t>
              </w:r>
            </w:hyperlink>
          </w:p>
        </w:tc>
        <w:tc>
          <w:tcPr>
            <w:tcW w:w="134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81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gridSpan w:val="2"/>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9900" w:type="dxa"/>
            <w:vAlign w:val="bottom"/>
            <w:gridSpan w:val="30"/>
            <w:shd w:val="clear" w:color="auto" w:fill="CCEEFF"/>
          </w:tcPr>
          <w:p>
            <w:pPr>
              <w:spacing w:after="0" w:line="176" w:lineRule="exact"/>
              <w:rPr>
                <w:rFonts w:ascii="Arial" w:cs="Arial" w:eastAsia="Arial" w:hAnsi="Arial"/>
                <w:sz w:val="18"/>
                <w:szCs w:val="18"/>
                <w:color w:val="0000EE"/>
              </w:rPr>
            </w:pPr>
            <w:hyperlink w:anchor="page89">
              <w:r>
                <w:rPr>
                  <w:rFonts w:ascii="Arial" w:cs="Arial" w:eastAsia="Arial" w:hAnsi="Arial"/>
                  <w:sz w:val="18"/>
                  <w:szCs w:val="18"/>
                  <w:color w:val="0000EE"/>
                </w:rPr>
                <w:t>INDEX TO FINANCIAL STATEMENTS</w:t>
              </w:r>
            </w:hyperlink>
          </w:p>
        </w:tc>
        <w:tc>
          <w:tcPr>
            <w:tcW w:w="92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F-1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5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462915</wp:posOffset>
            </wp:positionV>
            <wp:extent cx="178308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800" w:hanging="144"/>
        <w:spacing w:after="0"/>
        <w:tabs>
          <w:tab w:leader="none" w:pos="800" w:val="left"/>
        </w:tabs>
        <w:numPr>
          <w:ilvl w:val="0"/>
          <w:numId w:val="3"/>
        </w:numPr>
        <w:rPr>
          <w:rFonts w:ascii="Arial" w:cs="Arial" w:eastAsia="Arial" w:hAnsi="Arial"/>
          <w:sz w:val="36"/>
          <w:szCs w:val="36"/>
          <w:color w:val="auto"/>
          <w:vertAlign w:val="superscript"/>
        </w:rPr>
      </w:pPr>
      <w:r>
        <w:rPr>
          <w:rFonts w:ascii="Arial" w:cs="Arial" w:eastAsia="Arial" w:hAnsi="Arial"/>
          <w:sz w:val="22"/>
          <w:szCs w:val="22"/>
          <w:color w:val="auto"/>
        </w:rPr>
        <w:t>NTD: Page references to be updated based on final disposition.</w:t>
      </w:r>
    </w:p>
    <w:p>
      <w:pPr>
        <w:sectPr>
          <w:pgSz w:w="11900" w:h="16838" w:orient="portrait"/>
          <w:cols w:equalWidth="0" w:num="1">
            <w:col w:w="11240"/>
          </w:cols>
          <w:pgMar w:left="320" w:top="111" w:right="339" w:bottom="1074" w:gutter="0" w:footer="0" w:header="0"/>
        </w:sect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074" w:gutter="0" w:footer="0" w:header="0"/>
          <w:type w:val="continuous"/>
        </w:sectPr>
      </w:pPr>
    </w:p>
    <w:bookmarkStart w:id="3" w:name="page4"/>
    <w:bookmarkEnd w:id="3"/>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CERTAIN TERMS</w:t>
      </w:r>
    </w:p>
    <w:p>
      <w:pPr>
        <w:spacing w:after="0" w:line="239" w:lineRule="exact"/>
        <w:rPr>
          <w:sz w:val="20"/>
          <w:szCs w:val="20"/>
          <w:color w:val="auto"/>
        </w:rPr>
      </w:pPr>
    </w:p>
    <w:p>
      <w:pPr>
        <w:ind w:left="340"/>
        <w:spacing w:after="0"/>
        <w:rPr>
          <w:sz w:val="20"/>
          <w:szCs w:val="20"/>
          <w:color w:val="auto"/>
        </w:rPr>
      </w:pPr>
      <w:r>
        <w:rPr>
          <w:rFonts w:ascii="Arial" w:cs="Arial" w:eastAsia="Arial" w:hAnsi="Arial"/>
          <w:sz w:val="22"/>
          <w:szCs w:val="22"/>
          <w:color w:val="auto"/>
        </w:rPr>
        <w:t>Unless otherwise stated in this Annual Report on Form 10-K (this “Annual Report”), references to:</w:t>
      </w:r>
    </w:p>
    <w:p>
      <w:pPr>
        <w:spacing w:after="0" w:line="233" w:lineRule="exact"/>
        <w:rPr>
          <w:sz w:val="20"/>
          <w:szCs w:val="20"/>
          <w:color w:val="auto"/>
        </w:rPr>
      </w:pPr>
    </w:p>
    <w:p>
      <w:pPr>
        <w:ind w:right="840" w:firstLine="324"/>
        <w:spacing w:after="0" w:line="250" w:lineRule="auto"/>
        <w:rPr>
          <w:sz w:val="20"/>
          <w:szCs w:val="20"/>
          <w:color w:val="auto"/>
        </w:rPr>
      </w:pPr>
      <w:r>
        <w:rPr>
          <w:rFonts w:ascii="Arial" w:cs="Arial" w:eastAsia="Arial" w:hAnsi="Arial"/>
          <w:sz w:val="22"/>
          <w:szCs w:val="22"/>
          <w:color w:val="auto"/>
        </w:rPr>
        <w:t>“we,” “us,” “our,” “company” or “our company” are to Silver Spike Acquisition Corp., a Cayman Islands exempted company;</w:t>
      </w:r>
    </w:p>
    <w:p>
      <w:pPr>
        <w:spacing w:after="0" w:line="202" w:lineRule="exact"/>
        <w:rPr>
          <w:sz w:val="20"/>
          <w:szCs w:val="20"/>
          <w:color w:val="auto"/>
        </w:rPr>
      </w:pPr>
    </w:p>
    <w:p>
      <w:pPr>
        <w:ind w:right="660" w:firstLine="324"/>
        <w:spacing w:after="0" w:line="250" w:lineRule="auto"/>
        <w:rPr>
          <w:sz w:val="20"/>
          <w:szCs w:val="20"/>
          <w:color w:val="auto"/>
        </w:rPr>
      </w:pPr>
      <w:r>
        <w:rPr>
          <w:rFonts w:ascii="Arial" w:cs="Arial" w:eastAsia="Arial" w:hAnsi="Arial"/>
          <w:sz w:val="22"/>
          <w:szCs w:val="22"/>
          <w:color w:val="auto"/>
        </w:rPr>
        <w:t>“amended and restated memorandum and articles of association” are to our Amended and Restated Memorandum and Articles of Association;</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22"/>
          <w:szCs w:val="22"/>
          <w:color w:val="auto"/>
        </w:rPr>
        <w:t>“Class A ordinary shares” are to our Class A ordinary shares, par value $0.0001 per share;</w:t>
      </w:r>
    </w:p>
    <w:p>
      <w:pPr>
        <w:spacing w:after="0" w:line="233" w:lineRule="exact"/>
        <w:rPr>
          <w:sz w:val="20"/>
          <w:szCs w:val="20"/>
          <w:color w:val="auto"/>
        </w:rPr>
      </w:pPr>
    </w:p>
    <w:p>
      <w:pPr>
        <w:ind w:left="340"/>
        <w:spacing w:after="0"/>
        <w:rPr>
          <w:sz w:val="20"/>
          <w:szCs w:val="20"/>
          <w:color w:val="auto"/>
        </w:rPr>
      </w:pPr>
      <w:r>
        <w:rPr>
          <w:rFonts w:ascii="Arial" w:cs="Arial" w:eastAsia="Arial" w:hAnsi="Arial"/>
          <w:sz w:val="22"/>
          <w:szCs w:val="22"/>
          <w:color w:val="auto"/>
        </w:rPr>
        <w:t>“Class B ordinary shares” are to our Class B ordinary shares, par value $0.0001 per share;</w:t>
      </w:r>
    </w:p>
    <w:p>
      <w:pPr>
        <w:spacing w:after="0" w:line="233" w:lineRule="exact"/>
        <w:rPr>
          <w:sz w:val="20"/>
          <w:szCs w:val="20"/>
          <w:color w:val="auto"/>
        </w:rPr>
      </w:pPr>
    </w:p>
    <w:p>
      <w:pPr>
        <w:ind w:firstLine="324"/>
        <w:spacing w:after="0" w:line="250" w:lineRule="auto"/>
        <w:rPr>
          <w:sz w:val="20"/>
          <w:szCs w:val="20"/>
          <w:color w:val="auto"/>
        </w:rPr>
      </w:pPr>
      <w:r>
        <w:rPr>
          <w:rFonts w:ascii="Arial" w:cs="Arial" w:eastAsia="Arial" w:hAnsi="Arial"/>
          <w:sz w:val="22"/>
          <w:szCs w:val="22"/>
          <w:color w:val="auto"/>
        </w:rPr>
        <w:t>“Companies Law” are to the Companies Law (2018 Revision) of the Cayman Islands as the same may be amended from time to time;</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22"/>
          <w:szCs w:val="22"/>
          <w:color w:val="auto"/>
        </w:rPr>
        <w:t>“directors” are to our current directors</w:t>
      </w:r>
    </w:p>
    <w:p>
      <w:pPr>
        <w:spacing w:after="0" w:line="233" w:lineRule="exact"/>
        <w:rPr>
          <w:sz w:val="20"/>
          <w:szCs w:val="20"/>
          <w:color w:val="auto"/>
        </w:rPr>
      </w:pPr>
    </w:p>
    <w:p>
      <w:pPr>
        <w:ind w:right="140" w:firstLine="324"/>
        <w:spacing w:after="0" w:line="238" w:lineRule="auto"/>
        <w:rPr>
          <w:sz w:val="20"/>
          <w:szCs w:val="20"/>
          <w:color w:val="auto"/>
        </w:rPr>
      </w:pPr>
      <w:r>
        <w:rPr>
          <w:rFonts w:ascii="Arial" w:cs="Arial" w:eastAsia="Arial" w:hAnsi="Arial"/>
          <w:sz w:val="22"/>
          <w:szCs w:val="22"/>
          <w:color w:val="auto"/>
        </w:rPr>
        <w:t>“founders shares” are to our Class B ordinary shares initially purchased by our sponsor in a private placement prior to our initial public offering and the Class A ordinary shares that will be issued upon the automatic conversion of the Class B ordinary shares at the time of our initial business combination (for the avoidance of doubt, such Class A ordinary shares will not be “public shares”);</w:t>
      </w:r>
    </w:p>
    <w:p>
      <w:pPr>
        <w:spacing w:after="0" w:line="212" w:lineRule="exact"/>
        <w:rPr>
          <w:sz w:val="20"/>
          <w:szCs w:val="20"/>
          <w:color w:val="auto"/>
        </w:rPr>
      </w:pPr>
    </w:p>
    <w:p>
      <w:pPr>
        <w:ind w:left="340"/>
        <w:spacing w:after="0"/>
        <w:rPr>
          <w:sz w:val="20"/>
          <w:szCs w:val="20"/>
          <w:color w:val="auto"/>
        </w:rPr>
      </w:pPr>
      <w:r>
        <w:rPr>
          <w:rFonts w:ascii="Arial" w:cs="Arial" w:eastAsia="Arial" w:hAnsi="Arial"/>
          <w:sz w:val="21"/>
          <w:szCs w:val="21"/>
          <w:color w:val="auto"/>
        </w:rPr>
        <w:t>“initial shareholders” are to our sponsor and other holders of our founders shares prior to our initial public offering;</w:t>
      </w:r>
    </w:p>
    <w:p>
      <w:pPr>
        <w:spacing w:after="0" w:line="245" w:lineRule="exact"/>
        <w:rPr>
          <w:sz w:val="20"/>
          <w:szCs w:val="20"/>
          <w:color w:val="auto"/>
        </w:rPr>
      </w:pPr>
    </w:p>
    <w:p>
      <w:pPr>
        <w:ind w:firstLine="324"/>
        <w:spacing w:after="0" w:line="250" w:lineRule="auto"/>
        <w:rPr>
          <w:sz w:val="20"/>
          <w:szCs w:val="20"/>
          <w:color w:val="auto"/>
        </w:rPr>
      </w:pPr>
      <w:r>
        <w:rPr>
          <w:rFonts w:ascii="Arial" w:cs="Arial" w:eastAsia="Arial" w:hAnsi="Arial"/>
          <w:sz w:val="22"/>
          <w:szCs w:val="22"/>
          <w:color w:val="auto"/>
        </w:rPr>
        <w:t>“letter agreement” refers to the letter agreement entered into between us and our initial shareholders, directors and officers on August 7, 2019;</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22"/>
          <w:szCs w:val="22"/>
          <w:color w:val="auto"/>
        </w:rPr>
        <w:t>“management” or our “management team” are to our officers and directors;</w:t>
      </w:r>
    </w:p>
    <w:p>
      <w:pPr>
        <w:spacing w:after="0" w:line="233" w:lineRule="exact"/>
        <w:rPr>
          <w:sz w:val="20"/>
          <w:szCs w:val="20"/>
          <w:color w:val="auto"/>
        </w:rPr>
      </w:pPr>
    </w:p>
    <w:p>
      <w:pPr>
        <w:ind w:left="340"/>
        <w:spacing w:after="0"/>
        <w:rPr>
          <w:sz w:val="20"/>
          <w:szCs w:val="20"/>
          <w:color w:val="auto"/>
        </w:rPr>
      </w:pPr>
      <w:r>
        <w:rPr>
          <w:rFonts w:ascii="Arial" w:cs="Arial" w:eastAsia="Arial" w:hAnsi="Arial"/>
          <w:sz w:val="22"/>
          <w:szCs w:val="22"/>
          <w:color w:val="auto"/>
        </w:rPr>
        <w:t>“ordinary shares” are to our Class A ordinary shares and our Class B ordinary shares;</w:t>
      </w:r>
    </w:p>
    <w:p>
      <w:pPr>
        <w:spacing w:after="0" w:line="233" w:lineRule="exact"/>
        <w:rPr>
          <w:sz w:val="20"/>
          <w:szCs w:val="20"/>
          <w:color w:val="auto"/>
        </w:rPr>
      </w:pPr>
    </w:p>
    <w:p>
      <w:pPr>
        <w:ind w:right="20" w:firstLine="324"/>
        <w:spacing w:after="0" w:line="250" w:lineRule="auto"/>
        <w:rPr>
          <w:sz w:val="20"/>
          <w:szCs w:val="20"/>
          <w:color w:val="auto"/>
        </w:rPr>
      </w:pPr>
      <w:r>
        <w:rPr>
          <w:rFonts w:ascii="Arial" w:cs="Arial" w:eastAsia="Arial" w:hAnsi="Arial"/>
          <w:sz w:val="22"/>
          <w:szCs w:val="22"/>
          <w:color w:val="auto"/>
        </w:rPr>
        <w:t>“private placement warrants” are to the warrants issued to our sponsor in a private placement simultaneously with the closing of our initial public offering;</w:t>
      </w:r>
    </w:p>
    <w:p>
      <w:pPr>
        <w:spacing w:after="0" w:line="202" w:lineRule="exact"/>
        <w:rPr>
          <w:sz w:val="20"/>
          <w:szCs w:val="20"/>
          <w:color w:val="auto"/>
        </w:rPr>
      </w:pPr>
    </w:p>
    <w:p>
      <w:pPr>
        <w:ind w:right="280" w:firstLine="324"/>
        <w:spacing w:after="0" w:line="250" w:lineRule="auto"/>
        <w:rPr>
          <w:sz w:val="20"/>
          <w:szCs w:val="20"/>
          <w:color w:val="auto"/>
        </w:rPr>
      </w:pPr>
      <w:r>
        <w:rPr>
          <w:rFonts w:ascii="Arial" w:cs="Arial" w:eastAsia="Arial" w:hAnsi="Arial"/>
          <w:sz w:val="22"/>
          <w:szCs w:val="22"/>
          <w:color w:val="auto"/>
        </w:rPr>
        <w:t>“public shares” are to our Class A ordinary shares sold as part of the units in our initial public offering (whether they were purchased in our initial public offering or thereafter in the open market);</w:t>
      </w:r>
    </w:p>
    <w:p>
      <w:pPr>
        <w:spacing w:after="0" w:line="202" w:lineRule="exact"/>
        <w:rPr>
          <w:sz w:val="20"/>
          <w:szCs w:val="20"/>
          <w:color w:val="auto"/>
        </w:rPr>
      </w:pPr>
    </w:p>
    <w:p>
      <w:pPr>
        <w:ind w:right="120" w:firstLine="324"/>
        <w:spacing w:after="0"/>
        <w:rPr>
          <w:sz w:val="20"/>
          <w:szCs w:val="20"/>
          <w:color w:val="auto"/>
        </w:rPr>
      </w:pPr>
      <w:r>
        <w:rPr>
          <w:rFonts w:ascii="Arial" w:cs="Arial" w:eastAsia="Arial" w:hAnsi="Arial"/>
          <w:sz w:val="22"/>
          <w:szCs w:val="22"/>
          <w:color w:val="auto"/>
        </w:rPr>
        <w:t>“public shareholders” are to the holders of our public shares, including our sponsor, officers and directors to the extent our sponsor, officers or directors purchase public shares, provided their status as a “public shareholder” shall only exist with respect to such public shares;</w:t>
      </w:r>
    </w:p>
    <w:p>
      <w:pPr>
        <w:spacing w:after="0" w:line="213" w:lineRule="exact"/>
        <w:rPr>
          <w:sz w:val="20"/>
          <w:szCs w:val="20"/>
          <w:color w:val="auto"/>
        </w:rPr>
      </w:pPr>
    </w:p>
    <w:p>
      <w:pPr>
        <w:ind w:left="340"/>
        <w:spacing w:after="0"/>
        <w:rPr>
          <w:sz w:val="20"/>
          <w:szCs w:val="20"/>
          <w:color w:val="auto"/>
        </w:rPr>
      </w:pPr>
      <w:r>
        <w:rPr>
          <w:rFonts w:ascii="Arial" w:cs="Arial" w:eastAsia="Arial" w:hAnsi="Arial"/>
          <w:sz w:val="22"/>
          <w:szCs w:val="22"/>
          <w:color w:val="auto"/>
        </w:rPr>
        <w:t>“Silver Spike Capital” are to Silver Spike Capital, LLC, a Delaware limited liability company;</w:t>
      </w:r>
    </w:p>
    <w:p>
      <w:pPr>
        <w:spacing w:after="0" w:line="233" w:lineRule="exact"/>
        <w:rPr>
          <w:sz w:val="20"/>
          <w:szCs w:val="20"/>
          <w:color w:val="auto"/>
        </w:rPr>
      </w:pPr>
    </w:p>
    <w:p>
      <w:pPr>
        <w:ind w:left="340"/>
        <w:spacing w:after="0"/>
        <w:rPr>
          <w:sz w:val="20"/>
          <w:szCs w:val="20"/>
          <w:color w:val="auto"/>
        </w:rPr>
      </w:pPr>
      <w:r>
        <w:rPr>
          <w:rFonts w:ascii="Arial" w:cs="Arial" w:eastAsia="Arial" w:hAnsi="Arial"/>
          <w:sz w:val="22"/>
          <w:szCs w:val="22"/>
          <w:color w:val="auto"/>
        </w:rPr>
        <w:t>“sponsor” are to Silver Spike Sponsor, LLC, a Delaware limited liability company;</w:t>
      </w:r>
    </w:p>
    <w:p>
      <w:pPr>
        <w:spacing w:after="0" w:line="233" w:lineRule="exact"/>
        <w:rPr>
          <w:sz w:val="20"/>
          <w:szCs w:val="20"/>
          <w:color w:val="auto"/>
        </w:rPr>
      </w:pPr>
    </w:p>
    <w:p>
      <w:pPr>
        <w:ind w:firstLine="324"/>
        <w:spacing w:after="0" w:line="274" w:lineRule="auto"/>
        <w:rPr>
          <w:sz w:val="20"/>
          <w:szCs w:val="20"/>
          <w:color w:val="auto"/>
        </w:rPr>
      </w:pPr>
      <w:r>
        <w:rPr>
          <w:rFonts w:ascii="Arial" w:cs="Arial" w:eastAsia="Arial" w:hAnsi="Arial"/>
          <w:sz w:val="21"/>
          <w:szCs w:val="21"/>
          <w:color w:val="auto"/>
        </w:rPr>
        <w:t>“warrants” are to our redeemable warrants sold as part of the units in our initial public offering (whether they were purchased in the initial public offering or thereafter in the open market) and the private placement warrants; and</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22"/>
          <w:szCs w:val="22"/>
          <w:color w:val="auto"/>
        </w:rPr>
        <w:t>“$,” “US$” and “U.S. dollar” each refer to the United States dollar.</w:t>
      </w:r>
    </w:p>
    <w:p>
      <w:pPr>
        <w:spacing w:after="0" w:line="200" w:lineRule="exact"/>
        <w:rPr>
          <w:sz w:val="20"/>
          <w:szCs w:val="20"/>
          <w:color w:val="auto"/>
        </w:rPr>
      </w:pP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2" w:right="399" w:bottom="1440" w:gutter="0" w:footer="0" w:header="0"/>
        </w:sectPr>
      </w:pPr>
    </w:p>
    <w:bookmarkStart w:id="4" w:name="page5"/>
    <w:bookmarkEnd w:id="4"/>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CAUTIONARY NOTE REGARDING FORWARD-LOOKING STATEMENTS</w:t>
      </w:r>
    </w:p>
    <w:p>
      <w:pPr>
        <w:spacing w:after="0" w:line="239" w:lineRule="exact"/>
        <w:rPr>
          <w:sz w:val="20"/>
          <w:szCs w:val="20"/>
          <w:color w:val="auto"/>
        </w:rPr>
      </w:pPr>
    </w:p>
    <w:p>
      <w:pPr>
        <w:ind w:right="40" w:firstLine="324"/>
        <w:spacing w:after="0" w:line="234" w:lineRule="auto"/>
        <w:rPr>
          <w:sz w:val="20"/>
          <w:szCs w:val="20"/>
          <w:color w:val="auto"/>
        </w:rPr>
      </w:pPr>
      <w:r>
        <w:rPr>
          <w:rFonts w:ascii="Arial" w:cs="Arial" w:eastAsia="Arial" w:hAnsi="Arial"/>
          <w:sz w:val="22"/>
          <w:szCs w:val="22"/>
          <w:color w:val="auto"/>
        </w:rPr>
        <w:t>Some statements contained in this Annual Report are forward-looking in nature. Our forward-looking statements include, but are not limited to, statements regarding our or our management team’s expectations, hopes, beliefs, intentions or strategies regarding the future. In addition, any statements that refer to projections, forecasts or other characterizations of future events or circumstances, including any underlying assumptions, are forward-looking statements. The words “anticipate,” “believe,” “continue,” “could,” “estimate,” “expect,” “intends,” “may,” “might,” “plan,” “possible,” “potential,” “predict,” “project,” “should,” “would” and similar expressions may identify forward-looking statements, but the absence of these words does not mean that a statement is not forward-looking. Forward-looking statements in this Annual Report may include, for example, statements about:</w:t>
      </w:r>
    </w:p>
    <w:p>
      <w:pPr>
        <w:spacing w:after="0" w:line="221"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select an appropriate target business or businesses;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complete our initial business combination;</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expectations around the performance of a prospective target business or businesses;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success in retaining or recruiting, or changes required in, our officers, key employees or directors following our initial business combination;</w:t>
      </w:r>
    </w:p>
    <w:p>
      <w:pPr>
        <w:spacing w:after="0" w:line="275" w:lineRule="exact"/>
        <w:rPr>
          <w:rFonts w:ascii="Arial" w:cs="Arial" w:eastAsia="Arial" w:hAnsi="Arial"/>
          <w:sz w:val="16"/>
          <w:szCs w:val="16"/>
          <w:color w:val="auto"/>
        </w:rPr>
      </w:pPr>
    </w:p>
    <w:p>
      <w:pPr>
        <w:ind w:lef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officers and directors allocating their time to other businesses and potentially having conflicts of interest with our business or in approving our initial business combination;</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potential ability to obtain additional financing to complete our initial business combination;</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pool of prospective target businesses;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operating a business in the cannabis industry;</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ability of our officers and directors to generate a number of potential business combination opportunities;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public securities’ potential liquidity and trading;</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lack of a market for our securities;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use of proceeds not held in the trust account or available to us from interest income on the trust account balance;</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trust account not being subject to claims of third parties; or</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financial performance following our initial public offering or following our initial business combination.</w:t>
      </w:r>
    </w:p>
    <w:p>
      <w:pPr>
        <w:spacing w:after="0" w:line="245" w:lineRule="exact"/>
        <w:rPr>
          <w:sz w:val="20"/>
          <w:szCs w:val="20"/>
          <w:color w:val="auto"/>
        </w:rPr>
      </w:pPr>
    </w:p>
    <w:p>
      <w:pPr>
        <w:ind w:right="80"/>
        <w:spacing w:after="0" w:line="274" w:lineRule="auto"/>
        <w:rPr>
          <w:sz w:val="20"/>
          <w:szCs w:val="20"/>
          <w:color w:val="auto"/>
        </w:rPr>
      </w:pPr>
      <w:r>
        <w:rPr>
          <w:rFonts w:ascii="Arial" w:cs="Arial" w:eastAsia="Arial" w:hAnsi="Arial"/>
          <w:sz w:val="19"/>
          <w:szCs w:val="19"/>
          <w:color w:val="auto"/>
        </w:rPr>
        <w:t>The forward-looking statements contained in this Annual Report are based on our current expectations and beliefs concerning future developments and their potential effects on us. There can be no assurance that future developments affecting us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those factors described under the heading “Risk Factors.” Should one or more of these risks or uncertainties materialize, or should any of our assumptions prove incorrect, actual results may vary in material respects from those projected in these forward-looking statements. We undertake no obligation to update or revise any forward-looking statements, whether as a result of new information, future events or otherwise, except as may be required under applicable securities laws.</w:t>
      </w:r>
    </w:p>
    <w:p>
      <w:pPr>
        <w:spacing w:after="0" w:line="377"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5" w:name="page6"/>
    <w:bookmarkEnd w:id="5"/>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PART I</w:t>
      </w:r>
    </w:p>
    <w:p>
      <w:pPr>
        <w:spacing w:after="0" w:line="242"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3"/>
          <w:szCs w:val="13"/>
          <w:b w:val="1"/>
          <w:bCs w:val="1"/>
          <w:color w:val="auto"/>
        </w:rPr>
        <w:t>Business</w:t>
      </w:r>
    </w:p>
    <w:p>
      <w:pPr>
        <w:spacing w:after="0" w:line="249" w:lineRule="exact"/>
        <w:rPr>
          <w:sz w:val="20"/>
          <w:szCs w:val="20"/>
          <w:color w:val="auto"/>
        </w:rPr>
      </w:pPr>
    </w:p>
    <w:p>
      <w:pPr>
        <w:ind w:right="40" w:firstLine="324"/>
        <w:spacing w:after="0" w:line="297" w:lineRule="auto"/>
        <w:rPr>
          <w:sz w:val="20"/>
          <w:szCs w:val="20"/>
          <w:color w:val="auto"/>
        </w:rPr>
      </w:pPr>
      <w:r>
        <w:rPr>
          <w:rFonts w:ascii="Arial" w:cs="Arial" w:eastAsia="Arial" w:hAnsi="Arial"/>
          <w:sz w:val="19"/>
          <w:szCs w:val="19"/>
          <w:color w:val="auto"/>
        </w:rPr>
        <w:t>We are a blank check company incorporated as a Cayman Islands exempted company and formed for the purpose of effecting a merger, amalgamation, share exchange, asset acquisition, share purchase, reorganization or similar business combination with one or more businesses, which we refer to throughout this Annual Report as our initial business combination.</w:t>
      </w:r>
    </w:p>
    <w:p>
      <w:pPr>
        <w:spacing w:after="0" w:line="161" w:lineRule="exact"/>
        <w:rPr>
          <w:sz w:val="20"/>
          <w:szCs w:val="20"/>
          <w:color w:val="auto"/>
        </w:rPr>
      </w:pPr>
    </w:p>
    <w:p>
      <w:pPr>
        <w:ind w:right="200" w:firstLine="324"/>
        <w:spacing w:after="0" w:line="282" w:lineRule="auto"/>
        <w:rPr>
          <w:sz w:val="20"/>
          <w:szCs w:val="20"/>
          <w:color w:val="auto"/>
        </w:rPr>
      </w:pPr>
      <w:r>
        <w:rPr>
          <w:rFonts w:ascii="Arial" w:cs="Arial" w:eastAsia="Arial" w:hAnsi="Arial"/>
          <w:sz w:val="19"/>
          <w:szCs w:val="19"/>
          <w:color w:val="auto"/>
        </w:rPr>
        <w:t>Our sponsor is an affiliate of Silver Spike Capital. Silver Spike Capital is an asset management firm focused on the burgeoning cannabis and related health &amp; wellness industries. Silver Spike Capital was formed in 2019 with an executive team consisting of seasoned investment professionals, many of whom have extensive experience in emerging and frontier markets as well as cannabis industry investors and entrepreneurs with proven track records. With this team, Silver Spike Capital is positioning to become the leading institutional-quality asset manager in this nascent, fragmented sector.</w:t>
      </w:r>
    </w:p>
    <w:p>
      <w:pPr>
        <w:spacing w:after="0" w:line="174" w:lineRule="exact"/>
        <w:rPr>
          <w:sz w:val="20"/>
          <w:szCs w:val="20"/>
          <w:color w:val="auto"/>
        </w:rPr>
      </w:pPr>
    </w:p>
    <w:p>
      <w:pPr>
        <w:ind w:firstLine="324"/>
        <w:spacing w:after="0" w:line="273" w:lineRule="auto"/>
        <w:rPr>
          <w:sz w:val="20"/>
          <w:szCs w:val="20"/>
          <w:color w:val="auto"/>
        </w:rPr>
      </w:pPr>
      <w:r>
        <w:rPr>
          <w:rFonts w:ascii="Arial" w:cs="Arial" w:eastAsia="Arial" w:hAnsi="Arial"/>
          <w:sz w:val="19"/>
          <w:szCs w:val="19"/>
          <w:color w:val="auto"/>
        </w:rPr>
        <w:t>While we may pursue a business combination target in any business, industry or geographical location, we intend to focus our search for businesses in the cannabis industry that are compliant with all applicable laws and regulations within the jurisdictions in which they are located or operate and, in particular, we will not invest in, or consummate a business combination with, a target business that we determine has been operating, or whose business plan is to operate, in violation of U.S. federal laws, including the U.S. Controlled Substances Act. The cannabis industry has experienced significant growth over the last several years. With full federal legalization in Canada and 36 states in the United States allowing for some type of legal use under state law, the cannabis industry is amongst the fastest growing industries in the world. We believe that the normalization of cannabis and its many uses - both therapeutic and recreational - is creating a rarely seen opportunity to invest in related businesses. At the same time, the cannabis industry is highly fragmented and subject to a complex regulatory framework, creating significant barriers to entry. The cannabis-related investment space is currently dominated by small funds which we believe lack both the capital and experience to see their investments through multiple rounds of funding.</w:t>
      </w:r>
    </w:p>
    <w:p>
      <w:pPr>
        <w:spacing w:after="0" w:line="182" w:lineRule="exact"/>
        <w:rPr>
          <w:sz w:val="20"/>
          <w:szCs w:val="20"/>
          <w:color w:val="auto"/>
        </w:rPr>
      </w:pPr>
    </w:p>
    <w:p>
      <w:pPr>
        <w:ind w:right="80" w:firstLine="324"/>
        <w:spacing w:after="0" w:line="272" w:lineRule="auto"/>
        <w:rPr>
          <w:sz w:val="20"/>
          <w:szCs w:val="20"/>
          <w:color w:val="auto"/>
        </w:rPr>
      </w:pPr>
      <w:r>
        <w:rPr>
          <w:rFonts w:ascii="Arial" w:cs="Arial" w:eastAsia="Arial" w:hAnsi="Arial"/>
          <w:sz w:val="19"/>
          <w:szCs w:val="19"/>
          <w:color w:val="auto"/>
        </w:rPr>
        <w:t>We believe that there are several target businesses that could benefit from our partnership and are compliant with all applicable laws and regulations within the jurisdictions in which they are located or operate. In the United States, this would currently include non-plant touching businesses that support the functioning of cannabis activity but are not directly related to cultivation, manufacturing, processing, branding, transportation, distribution, storage or sale of cannabis and cannabis-based products. Another set of eligible targets in the U.S. would include hemp derived CBD businesses that are compliant with the Farm Bill Act, which would include targets engaged in cultivation, manufacturing, processing, branding, transportation, distribution, storage or sale of hemp-derived CBD. We may also consider companies pursuing an FDA track for pharmaceutical applications and treatments that entail compounds found in cannabis. There are also a number of qualifying cannabis-related licensed operators in industries outside of the United States. This includes companies currently operating in jurisdictions where cannabis has been decriminalized for recreational use, such as Canada, Colombia and Uruguay. Globally, more than 50 countries have legalized some form of medical cannabis. Over the next 18 months, we believe that legislative activity in certain jurisdictions will further broaden our opportunity set for eligible acquisitions.</w:t>
      </w:r>
    </w:p>
    <w:p>
      <w:pPr>
        <w:spacing w:after="0" w:line="188" w:lineRule="exact"/>
        <w:rPr>
          <w:sz w:val="20"/>
          <w:szCs w:val="20"/>
          <w:color w:val="auto"/>
        </w:rPr>
      </w:pPr>
    </w:p>
    <w:p>
      <w:pPr>
        <w:ind w:right="40" w:firstLine="324"/>
        <w:spacing w:after="0" w:line="273" w:lineRule="auto"/>
        <w:rPr>
          <w:sz w:val="20"/>
          <w:szCs w:val="20"/>
          <w:color w:val="auto"/>
        </w:rPr>
      </w:pPr>
      <w:r>
        <w:rPr>
          <w:rFonts w:ascii="Arial" w:cs="Arial" w:eastAsia="Arial" w:hAnsi="Arial"/>
          <w:sz w:val="19"/>
          <w:szCs w:val="19"/>
          <w:color w:val="auto"/>
        </w:rPr>
        <w:t>The transition of the cannabis and derivative products industries to a regulated and legal marketplace has been happening at a rapid pace over recent years. Many countries have or are contemplating some form of legalized use, including Canada and the United States. For example, on June 28, 2018, the Marijuana Freedom and Opportunity Act was introduced in the United States Senate, which would remove marijuana from the schedule of controlled substances under the Controlled Substances Act and decriminalize its use. We believe that this momentum will continue to accelerate worldwide, generating tremendous opportunity in the industry, with both broader legislative acceptance and an evolving regulatory environment. There have already been hundreds of businesses launched across various sub-sectors of the cannabis industry, many of which are located in Canada or the United States. These businesses have raised billions of dollars from investors in public and private markets; including strategic investments from major multinational companies that are altering or broadening their core business focus. Many of these businesses have valuations in excess of a billion dollars. However, the cannabis industry is still in its infancy.</w:t>
      </w:r>
    </w:p>
    <w:p>
      <w:pPr>
        <w:spacing w:after="0" w:line="37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 w:name="page7"/>
    <w:bookmarkEnd w:id="6"/>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ind w:right="820" w:firstLine="324"/>
        <w:spacing w:after="0" w:line="250" w:lineRule="auto"/>
        <w:rPr>
          <w:sz w:val="20"/>
          <w:szCs w:val="20"/>
          <w:color w:val="auto"/>
        </w:rPr>
      </w:pPr>
      <w:r>
        <w:rPr>
          <w:rFonts w:ascii="Arial" w:cs="Arial" w:eastAsia="Arial" w:hAnsi="Arial"/>
          <w:sz w:val="22"/>
          <w:szCs w:val="22"/>
          <w:color w:val="auto"/>
        </w:rPr>
        <w:t>In order to succeed under the new legislative and regulatory frameworks, we believe that businesses will need strong management teams with deep operational expertise and financial acumen.</w:t>
      </w:r>
    </w:p>
    <w:p>
      <w:pPr>
        <w:spacing w:after="0" w:line="202" w:lineRule="exact"/>
        <w:rPr>
          <w:sz w:val="20"/>
          <w:szCs w:val="20"/>
          <w:color w:val="auto"/>
        </w:rPr>
      </w:pPr>
    </w:p>
    <w:p>
      <w:pPr>
        <w:ind w:right="80" w:firstLine="324"/>
        <w:spacing w:after="0" w:line="234" w:lineRule="auto"/>
        <w:rPr>
          <w:sz w:val="20"/>
          <w:szCs w:val="20"/>
          <w:color w:val="auto"/>
        </w:rPr>
      </w:pPr>
      <w:r>
        <w:rPr>
          <w:rFonts w:ascii="Arial" w:cs="Arial" w:eastAsia="Arial" w:hAnsi="Arial"/>
          <w:sz w:val="22"/>
          <w:szCs w:val="22"/>
          <w:color w:val="auto"/>
        </w:rPr>
        <w:t>As this industry evolves from a nascent industry cycle, often with high levels of return, we believe that investors will become more discerning and will focus on business models that can scale profitably. Despite high profile recent investments, we believe the total quantum of invested capital in the space is scant relative to other major industry sectors. As the industry evolves and legislative and regulatory hurdles are addressed, we anticipate an institutionalization of capital investment, with reduced reliance on high net worth individuals, family offices and select hedge funds. We believe that this will be manifested by new investors providing sources of liquidity that will resemble more mature markets, including increased breadth of financial instruments across the capital structure.</w:t>
      </w:r>
    </w:p>
    <w:p>
      <w:pPr>
        <w:spacing w:after="0" w:line="218" w:lineRule="exact"/>
        <w:rPr>
          <w:sz w:val="20"/>
          <w:szCs w:val="20"/>
          <w:color w:val="auto"/>
        </w:rPr>
      </w:pPr>
    </w:p>
    <w:p>
      <w:pPr>
        <w:ind w:firstLine="324"/>
        <w:spacing w:after="0" w:line="277" w:lineRule="auto"/>
        <w:rPr>
          <w:sz w:val="20"/>
          <w:szCs w:val="20"/>
          <w:color w:val="auto"/>
        </w:rPr>
      </w:pPr>
      <w:r>
        <w:rPr>
          <w:rFonts w:ascii="Arial" w:cs="Arial" w:eastAsia="Arial" w:hAnsi="Arial"/>
          <w:sz w:val="19"/>
          <w:szCs w:val="19"/>
          <w:color w:val="auto"/>
        </w:rPr>
        <w:t>We believe that the cannabis industry will continue to grow at a rapid pace in the coming years – with the potential to reach several hundred billion dollars of sales within the next ten years. Unlike other emerging industries, which have been driven by massive technological advances, cannabis has supported therapeutic treatments for thousands of years across a variety of cultures. The evolution of public perception is being sustained by consumers seeking cannabis-based treatments for a variety of health and wellness needs. We believe that there will be growth via the broader adoption of cannabis for non-recreational use. Potential sources for additional growth include the disruption of a variety of health-related market segments including pain management, sleep, skin care and cosmetics and anxiety, as well as many other applications that are being explored.</w:t>
      </w:r>
    </w:p>
    <w:p>
      <w:pPr>
        <w:spacing w:after="0" w:line="179" w:lineRule="exact"/>
        <w:rPr>
          <w:sz w:val="20"/>
          <w:szCs w:val="20"/>
          <w:color w:val="auto"/>
        </w:rPr>
      </w:pPr>
    </w:p>
    <w:p>
      <w:pPr>
        <w:ind w:right="40" w:firstLine="324"/>
        <w:spacing w:after="0" w:line="273" w:lineRule="auto"/>
        <w:rPr>
          <w:sz w:val="20"/>
          <w:szCs w:val="20"/>
          <w:color w:val="auto"/>
        </w:rPr>
      </w:pPr>
      <w:r>
        <w:rPr>
          <w:rFonts w:ascii="Arial" w:cs="Arial" w:eastAsia="Arial" w:hAnsi="Arial"/>
          <w:sz w:val="19"/>
          <w:szCs w:val="19"/>
          <w:color w:val="auto"/>
        </w:rPr>
        <w:t>Scott Gordon, our founder, is the founder and Chief Executive Officer of Silver Spike Capital, a newly formed investment platform dedicated to the cannabis industry. Mr. Gordon began investing in the cannabis industry in 2014 and in 2016 co-founded and became Chairman of Egg Rock Holdings, parent company of the Papa &amp; Barkley family of cannabis products with related subsidiary assets in manufacturing, processing, and logistics. Egg Rock Holdings also is the parent company of Papa &amp; Barkley Essentials, a hemp-derived CBD business based in Colorado. Mr. Gordon has spent his career investing in emerging markets globally and has formed and managed a number of large global platforms. Prior to the formation of Silver Spike Capital, Mr. Gordon was President of Fintech Advisory Inc., investment manager for a multibillion dollar family office fund focused on long-term and opportunistic investments in emerging markets. Previously, Mr. Gordon held leadership positions at several asset management firms including Marathon Asset Management, Caxton and Taconic Capital. Earlier in his career, Mr. Gordon led the Global Special Situations Group at Bank of America, the Emerging Markets business at ING Capital and was a founding member of the Emerging Markets business at JP Morgan.</w:t>
      </w:r>
    </w:p>
    <w:p>
      <w:pPr>
        <w:spacing w:after="0" w:line="182" w:lineRule="exact"/>
        <w:rPr>
          <w:sz w:val="20"/>
          <w:szCs w:val="20"/>
          <w:color w:val="auto"/>
        </w:rPr>
      </w:pPr>
    </w:p>
    <w:p>
      <w:pPr>
        <w:ind w:right="60" w:firstLine="324"/>
        <w:spacing w:after="0"/>
        <w:rPr>
          <w:sz w:val="20"/>
          <w:szCs w:val="20"/>
          <w:color w:val="auto"/>
        </w:rPr>
      </w:pPr>
      <w:r>
        <w:rPr>
          <w:rFonts w:ascii="Arial" w:cs="Arial" w:eastAsia="Arial" w:hAnsi="Arial"/>
          <w:sz w:val="22"/>
          <w:szCs w:val="22"/>
          <w:color w:val="auto"/>
        </w:rPr>
        <w:t>Mr. Gordon is joined at Silver Spike by a number of investment professionals who have experience spanning cannabis, consumer products, medical and scientific research and investment management. See “Item 10. Directors, Executive Officers and Corporate Governance” for additional information about our management team.</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Business Strategy</w:t>
      </w:r>
    </w:p>
    <w:p>
      <w:pPr>
        <w:spacing w:after="0" w:line="239" w:lineRule="exact"/>
        <w:rPr>
          <w:sz w:val="20"/>
          <w:szCs w:val="20"/>
          <w:color w:val="auto"/>
        </w:rPr>
      </w:pPr>
    </w:p>
    <w:p>
      <w:pPr>
        <w:ind w:right="260" w:firstLine="324"/>
        <w:spacing w:after="0" w:line="282" w:lineRule="auto"/>
        <w:rPr>
          <w:sz w:val="20"/>
          <w:szCs w:val="20"/>
          <w:color w:val="auto"/>
        </w:rPr>
      </w:pPr>
      <w:r>
        <w:rPr>
          <w:rFonts w:ascii="Arial" w:cs="Arial" w:eastAsia="Arial" w:hAnsi="Arial"/>
          <w:sz w:val="19"/>
          <w:szCs w:val="19"/>
          <w:color w:val="auto"/>
        </w:rPr>
        <w:t>Our business strategy is to identify and complete our initial business combination with a target operating in the cannabis industry that is compliant with all applicable laws and regulations within the jurisdictions in which it is located or operates. We believe that there is an opportunity to take advantage of a newly emerging industry, with a variety of established operators seeking access to capital and managerial expertise. We intend to leverage our team’s collective operating, technical, regulatory and legal expertise to build a strong business with competitive advantages to emerge as a leading public company in the space.</w:t>
      </w:r>
    </w:p>
    <w:p>
      <w:pPr>
        <w:spacing w:after="0" w:line="174" w:lineRule="exact"/>
        <w:rPr>
          <w:sz w:val="20"/>
          <w:szCs w:val="20"/>
          <w:color w:val="auto"/>
        </w:rPr>
      </w:pPr>
    </w:p>
    <w:p>
      <w:pPr>
        <w:ind w:right="20" w:firstLine="324"/>
        <w:spacing w:after="0" w:line="277" w:lineRule="auto"/>
        <w:rPr>
          <w:sz w:val="20"/>
          <w:szCs w:val="20"/>
          <w:color w:val="auto"/>
        </w:rPr>
      </w:pPr>
      <w:r>
        <w:rPr>
          <w:rFonts w:ascii="Arial" w:cs="Arial" w:eastAsia="Arial" w:hAnsi="Arial"/>
          <w:sz w:val="19"/>
          <w:szCs w:val="19"/>
          <w:color w:val="auto"/>
        </w:rPr>
        <w:t>As the industry continues to transition to a new legislative and regulatory framework, we believe that many companies will need a partner that can assist in providing a level of operational and financial expertise to support their growth. Our team includes a variety of investment, operational and healthcare professionals who will provide operating, technical, regulatory and legal expertise to assist a target business access the public markets, and our team includes Scott Gordon and Orrin Devinsky, both of whom have extensive expertise in cannabis. Our team consists of professionals who have decades of experience in capital markets globally, have extensive scientific and medical knowledge of the plant and its many compounds and includes entrepreneurs and founders of consumer facing businesses.</w:t>
      </w: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ind w:right="60" w:firstLine="324"/>
        <w:spacing w:after="0" w:line="246" w:lineRule="auto"/>
        <w:rPr>
          <w:sz w:val="20"/>
          <w:szCs w:val="20"/>
          <w:color w:val="auto"/>
        </w:rPr>
      </w:pPr>
      <w:r>
        <w:rPr>
          <w:rFonts w:ascii="Arial" w:cs="Arial" w:eastAsia="Arial" w:hAnsi="Arial"/>
          <w:sz w:val="21"/>
          <w:szCs w:val="21"/>
          <w:color w:val="auto"/>
        </w:rPr>
        <w:t>Our acquisition plan is to leverage our management team’s networks of potential transaction sources where we believe a combination of our management team’s industry relationships, knowledge and experience could effect a positive transformation or augmentation of existing businesses or assets. Over the course of their careers, the members of our management team have developed a broad network of contacts and corporate relationships that we believe will serve as a useful source of acquisition opportunities. We plan to leverage relationships with management teams of public and private companies, investment professionals at private equity firms and other financial sponsors, owners of private businesses, investment bankers, restructuring advisers, consultants, attorneys and accountants, which we believe should provide us with a number of business combination opportunities.</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Acquisition Criteria</w:t>
      </w:r>
    </w:p>
    <w:p>
      <w:pPr>
        <w:spacing w:after="0" w:line="239" w:lineRule="exact"/>
        <w:rPr>
          <w:sz w:val="20"/>
          <w:szCs w:val="20"/>
          <w:color w:val="auto"/>
        </w:rPr>
      </w:pPr>
    </w:p>
    <w:p>
      <w:pPr>
        <w:ind w:right="100" w:firstLine="324"/>
        <w:spacing w:after="0" w:line="235" w:lineRule="auto"/>
        <w:rPr>
          <w:sz w:val="20"/>
          <w:szCs w:val="20"/>
          <w:color w:val="auto"/>
        </w:rPr>
      </w:pPr>
      <w:r>
        <w:rPr>
          <w:rFonts w:ascii="Arial" w:cs="Arial" w:eastAsia="Arial" w:hAnsi="Arial"/>
          <w:sz w:val="22"/>
          <w:szCs w:val="22"/>
          <w:color w:val="auto"/>
        </w:rPr>
        <w:t>Consistent with our business strategy, we have identified the following general, non-exclusive criteria and guidelines that we believe are important in evaluating prospective targets for our initial business combination. We will use these criteria and guidelines in evaluating acquisition opportunities, but we may decide to enter into our initial business combination with a target that does not meet one or more of these criteria and guidelines. We expect to weigh potential upside from growth in the target business and an improved capital structure against any identified downside risks. We intend to focus on target businesses that we believe:</w:t>
      </w:r>
    </w:p>
    <w:p>
      <w:pPr>
        <w:spacing w:after="0" w:line="222" w:lineRule="exact"/>
        <w:rPr>
          <w:sz w:val="20"/>
          <w:szCs w:val="20"/>
          <w:color w:val="auto"/>
        </w:rPr>
      </w:pPr>
    </w:p>
    <w:p>
      <w:pPr>
        <w:ind w:left="660" w:right="2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exhibit institutional-level operations and financial controls. We intend to seek a target in the cannabis space that not only has a leading competitive position, but also has the underlying infrastructure and operations to build a public platform;</w:t>
      </w:r>
    </w:p>
    <w:p>
      <w:pPr>
        <w:spacing w:after="0" w:line="19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have durable competitive advantages that are differentiated in the sector. We intend to acquire an asset that not only benefits from secular tailwinds in the industry, but also exhibit hard-to-replicate competitive advantages amongst its peers;</w:t>
      </w:r>
    </w:p>
    <w:p>
      <w:pPr>
        <w:spacing w:after="0" w:line="197" w:lineRule="exact"/>
        <w:rPr>
          <w:rFonts w:ascii="Arial" w:cs="Arial" w:eastAsia="Arial" w:hAnsi="Arial"/>
          <w:sz w:val="18"/>
          <w:szCs w:val="18"/>
          <w:color w:val="auto"/>
        </w:rPr>
      </w:pPr>
    </w:p>
    <w:p>
      <w:pPr>
        <w:ind w:left="660" w:right="560" w:hanging="328"/>
        <w:spacing w:after="0" w:line="263"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are fundamentally sound with consistent operational performance and free cash flow generation. We expect to target a business that has historically exhibited profitability and strong cash flow generation. Our management team has a proven track record accelerating growth of companies with strong past performance;</w:t>
      </w:r>
    </w:p>
    <w:p>
      <w:pPr>
        <w:spacing w:after="0" w:line="210" w:lineRule="exact"/>
        <w:rPr>
          <w:rFonts w:ascii="Arial" w:cs="Arial" w:eastAsia="Arial" w:hAnsi="Arial"/>
          <w:sz w:val="18"/>
          <w:szCs w:val="18"/>
          <w:color w:val="auto"/>
        </w:rPr>
      </w:pPr>
    </w:p>
    <w:p>
      <w:pPr>
        <w:ind w:left="660" w:right="920" w:hanging="328"/>
        <w:spacing w:after="0" w:line="308"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are at an inflection point, such as requiring additional capital to achieve a growth strategy. We intend to look for targets that have clear opportunities for long-term sustainable growth, but which require our capital or expertise to achieve a growth strategy;</w:t>
      </w:r>
    </w:p>
    <w:p>
      <w:pPr>
        <w:spacing w:after="0" w:line="173" w:lineRule="exact"/>
        <w:rPr>
          <w:rFonts w:ascii="Arial" w:cs="Arial" w:eastAsia="Arial" w:hAnsi="Arial"/>
          <w:sz w:val="17"/>
          <w:szCs w:val="17"/>
          <w:color w:val="auto"/>
        </w:rPr>
      </w:pPr>
    </w:p>
    <w:p>
      <w:pPr>
        <w:ind w:left="660" w:right="80" w:hanging="328"/>
        <w:spacing w:after="0" w:line="259"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have the potential to further improve their performance under our ownership. We intend to seek targets where we believe we can improve company results by leveraging our transactional, financial, managerial and investment experience as well as our extensive networks and insights. We believe our management team has the right skills and capabilities to enhance companies’ results and consolidate competitive positions in their sectors;</w:t>
      </w:r>
    </w:p>
    <w:p>
      <w:pPr>
        <w:spacing w:after="0" w:line="213" w:lineRule="exact"/>
        <w:rPr>
          <w:rFonts w:ascii="Arial" w:cs="Arial" w:eastAsia="Arial" w:hAnsi="Arial"/>
          <w:sz w:val="18"/>
          <w:szCs w:val="18"/>
          <w:color w:val="auto"/>
        </w:rPr>
      </w:pPr>
    </w:p>
    <w:p>
      <w:pPr>
        <w:ind w:left="660" w:right="60" w:hanging="328"/>
        <w:spacing w:after="0" w:line="308"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may benefit from capital markets access. We intend to seek a target that may benefit from being, or has the potential to become, a public company with an increased public profile, enhanced corporate governance and increased access to a more diversified pool of capital; and</w:t>
      </w:r>
    </w:p>
    <w:p>
      <w:pPr>
        <w:spacing w:after="0" w:line="173" w:lineRule="exact"/>
        <w:rPr>
          <w:rFonts w:ascii="Arial" w:cs="Arial" w:eastAsia="Arial" w:hAnsi="Arial"/>
          <w:sz w:val="17"/>
          <w:szCs w:val="17"/>
          <w:color w:val="auto"/>
        </w:rPr>
      </w:pPr>
    </w:p>
    <w:p>
      <w:pPr>
        <w:ind w:left="660" w:right="30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exhibit unrecognized value and desirable returns on capital. We will look for targets that we believe have been undervalued by the marketplace based on our analysis and due diligence review.</w:t>
      </w:r>
    </w:p>
    <w:p>
      <w:pPr>
        <w:spacing w:after="0" w:line="190" w:lineRule="exact"/>
        <w:rPr>
          <w:sz w:val="20"/>
          <w:szCs w:val="20"/>
          <w:color w:val="auto"/>
        </w:rPr>
      </w:pPr>
    </w:p>
    <w:p>
      <w:pPr>
        <w:ind w:right="100" w:firstLine="324"/>
        <w:spacing w:after="0" w:line="234" w:lineRule="auto"/>
        <w:rPr>
          <w:sz w:val="20"/>
          <w:szCs w:val="20"/>
          <w:color w:val="auto"/>
        </w:rPr>
      </w:pPr>
      <w:r>
        <w:rPr>
          <w:rFonts w:ascii="Arial" w:cs="Arial" w:eastAsia="Arial" w:hAnsi="Arial"/>
          <w:sz w:val="22"/>
          <w:szCs w:val="22"/>
          <w:color w:val="auto"/>
        </w:rPr>
        <w:t>These criteria are not intended to be exhaustive. Any evaluation relating to the merits of a particular initial business combination may be based, to the extent relevant, on these general criteria and guidelines as well as other considerations, factors and criteria that our management may deem relevant. In the event that we decide to enter into our initial business combination with a target business that does not meet the above criteria and guidelines, we will disclose that the target business does not meet the above criteria and guidelines in our shareholder communications related to our initial business combination, which, as discussed in this Annual Report, would be in the form of proxy solicitation or tender offer materials that we would file with the SEC.</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Acquisition Process</w:t>
      </w:r>
    </w:p>
    <w:p>
      <w:pPr>
        <w:spacing w:after="0" w:line="239" w:lineRule="exact"/>
        <w:rPr>
          <w:sz w:val="20"/>
          <w:szCs w:val="20"/>
          <w:color w:val="auto"/>
        </w:rPr>
      </w:pPr>
    </w:p>
    <w:p>
      <w:pPr>
        <w:ind w:right="80" w:firstLine="324"/>
        <w:spacing w:after="0" w:line="277" w:lineRule="auto"/>
        <w:rPr>
          <w:sz w:val="20"/>
          <w:szCs w:val="20"/>
          <w:color w:val="auto"/>
        </w:rPr>
      </w:pPr>
      <w:r>
        <w:rPr>
          <w:rFonts w:ascii="Arial" w:cs="Arial" w:eastAsia="Arial" w:hAnsi="Arial"/>
          <w:sz w:val="19"/>
          <w:szCs w:val="19"/>
          <w:color w:val="auto"/>
        </w:rPr>
        <w:t>Certain of our officers and directors presently have, and any of them in the future may have, additional, fiduciary or contractual obligations to other entities pursuant to which such officer or director is or will be required to present a business combination opportunity to such entity. Accordingly, if any of our officers or directors becomes aware of a business combination opportunity that is suitable for an entity to which he or she has then-current fiduciary or contractual obligations, he or she may need to honor these fiduciary or contractual obligations to present such business combination opportunity to such entity, subject to their fiduciary duties under Cayman Islands law. We do not believe, however, that the fiduciary duties or contractual obligations of our officers or directors will materially affect our ability to complete our initial business combination.</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Initial Business Combination</w:t>
      </w:r>
    </w:p>
    <w:p>
      <w:pPr>
        <w:spacing w:after="0" w:line="239" w:lineRule="exact"/>
        <w:rPr>
          <w:sz w:val="20"/>
          <w:szCs w:val="20"/>
          <w:color w:val="auto"/>
        </w:rPr>
      </w:pPr>
    </w:p>
    <w:p>
      <w:pPr>
        <w:ind w:firstLine="324"/>
        <w:spacing w:after="0" w:line="271" w:lineRule="auto"/>
        <w:rPr>
          <w:sz w:val="20"/>
          <w:szCs w:val="20"/>
          <w:color w:val="auto"/>
        </w:rPr>
      </w:pPr>
      <w:r>
        <w:rPr>
          <w:rFonts w:ascii="Arial" w:cs="Arial" w:eastAsia="Arial" w:hAnsi="Arial"/>
          <w:sz w:val="19"/>
          <w:szCs w:val="19"/>
          <w:color w:val="auto"/>
        </w:rPr>
        <w:t>The rules of Nasdaq require that our initial business combination occur with one or more target businesses that together have an aggregate fair market value of at least 80% of the assets held in the trust account (excluding the deferred underwriting commissions and taxes payable on the income earned on the trust account) at the time of the agreement to enter into the initial business combination. We refer to this as the 80% fair market value test. The fair market value of the target or targets will be determined by our board of directors based upon one or more standards generally accepted by the financial community (such as actual and potential sales, earnings, cash flow and/or book value). Even though our board of directors will rely on generally accepted standards, our board of directors will have discretion to select the standards employed. In addition, the application of the standards generally involves a substantial degree of judgment. Accordingly, investors will be relying on the business judgment of the board of directors in evaluating the fair market value of the target or targets. The proxy solicitation materials or tender offer documents used by us in connection with any proposed transaction will provide public shareholders with our analysis of our satisfaction of the 80% fair market value test, as well as the basis for our determinations. If our board is not able independently to determine the fair market value of the target business or businesses, we will obtain an opinion from an independent investment banking firm, or another independent entity that commonly renders valuation opinions, with respect to the satisfaction of such criteria. We do not currently intend to purchase multiple businesses in unrelated industries in conjunction with our initial business combination, although there is no restriction on our doing so.</w:t>
      </w:r>
    </w:p>
    <w:p>
      <w:pPr>
        <w:spacing w:after="0" w:line="187" w:lineRule="exact"/>
        <w:rPr>
          <w:sz w:val="20"/>
          <w:szCs w:val="20"/>
          <w:color w:val="auto"/>
        </w:rPr>
      </w:pPr>
    </w:p>
    <w:p>
      <w:pPr>
        <w:ind w:right="40" w:firstLine="324"/>
        <w:spacing w:after="0" w:line="269" w:lineRule="auto"/>
        <w:rPr>
          <w:sz w:val="20"/>
          <w:szCs w:val="20"/>
          <w:color w:val="auto"/>
        </w:rPr>
      </w:pPr>
      <w:r>
        <w:rPr>
          <w:rFonts w:ascii="Arial" w:cs="Arial" w:eastAsia="Arial" w:hAnsi="Arial"/>
          <w:sz w:val="19"/>
          <w:szCs w:val="19"/>
          <w:color w:val="auto"/>
        </w:rPr>
        <w:t>We anticipate structuring our initial business combination so that the post-transaction company in which our public shareholders own shares will own or acquire 100% of the issued and outstanding equity interests or assets of the target business or businesses. We may, however, structure our initial business combination such that the post-transaction company owns or acquires less than 100% of such interests or assets of the target business in order to meet certain objectives of the target management team or shareholders or for other reasons, but we will only complete such business combination if the post-transaction company owns or acquires 50% or more of the issued and outstanding voting securities of the target or otherwise acquires a controlling interest in the target business sufficient for it not to be required to register as an investment company under the Investment Company Act of 1940, as amended, or the Investment Company Act. Even if the post-transaction company owns or acquires 50% or more of the voting securities of the target, our shareholders prior to our initial business combination may collectively own a minority interest in the post-transaction company, depending on valuations ascribed to the target and us in our initial business combination transaction. For example, we could pursue a transaction in which we issue a substantial number of new shares in exchange for all of the issued and outstanding capital stock or shares of a target. In this case, we would acquire a 100% controlling interest in the target. However, as a result of the issuance of a substantial number of new shares, our shareholders immediately prior to our initial business combination could own less than a majority of our issued and outstanding shares subsequent to our initial business combination. If less than 100% of the equity interests or assets of a target business or businesses are owned or acquired by the post-transaction company, the portion of such business or businesses that is owned or acquired is what will be valued for purposes of the 80% fair market value test. If our initial business combination involves more than one target business, the 80% fair market value test will be based on the aggregate value of all of the target businesses. Notwithstanding the foregoing, if we are not then listed on Nasdaq for whatever reason, we would no longer be required to meet the foregoing 80% fair market value test. We have filed a Registration Statement on Form 8-A with the SEC to voluntarily register our securities under Section 12 of the Exchange Act. As a result, we are subject to the rules and regulations promulgated under the Exchange Act. We have no current intention of filing a Form 15 to suspend our reporting or other obligations under the Exchange Act prior or subsequent to the completion of our initial business combination.</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 w:name="page10"/>
    <w:bookmarkEnd w:id="9"/>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Emerging Growth Company Status and Other Corporate Information</w:t>
      </w:r>
    </w:p>
    <w:p>
      <w:pPr>
        <w:spacing w:after="0" w:line="239" w:lineRule="exact"/>
        <w:rPr>
          <w:sz w:val="20"/>
          <w:szCs w:val="20"/>
          <w:color w:val="auto"/>
        </w:rPr>
      </w:pPr>
    </w:p>
    <w:p>
      <w:pPr>
        <w:ind w:firstLine="324"/>
        <w:spacing w:after="0" w:line="245" w:lineRule="auto"/>
        <w:rPr>
          <w:sz w:val="20"/>
          <w:szCs w:val="20"/>
          <w:color w:val="auto"/>
        </w:rPr>
      </w:pPr>
      <w:r>
        <w:rPr>
          <w:rFonts w:ascii="Arial" w:cs="Arial" w:eastAsia="Arial" w:hAnsi="Arial"/>
          <w:sz w:val="21"/>
          <w:szCs w:val="21"/>
          <w:color w:val="auto"/>
        </w:rPr>
        <w:t>We are an “emerging growth company,” as defined in Section 2(a) of the Securities Act of 1933, as amended, or the Securities Act, as modified by the Jumpstart Our Business Startups Act of 2012, or the JOBS Act. As such, we are eligible to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of 2002, or the Sarbanes-Oxley Act, reduced disclosure obligations regarding executive compensation in our periodic reports and proxy statements and exemptions from the requirements of holding a non-binding advisory vote on executive compensation and shareholder approval of any golden parachute payments not previously approved. If some investors find our securities less attractive as a result, there may be a less active trading market for our securities and the prices of our securities may be more volatile.</w:t>
      </w:r>
    </w:p>
    <w:p>
      <w:pPr>
        <w:spacing w:after="0" w:line="211" w:lineRule="exact"/>
        <w:rPr>
          <w:sz w:val="20"/>
          <w:szCs w:val="20"/>
          <w:color w:val="auto"/>
        </w:rPr>
      </w:pPr>
    </w:p>
    <w:p>
      <w:pPr>
        <w:ind w:right="400" w:firstLine="324"/>
        <w:spacing w:after="0" w:line="236" w:lineRule="auto"/>
        <w:rPr>
          <w:sz w:val="20"/>
          <w:szCs w:val="20"/>
          <w:color w:val="auto"/>
        </w:rPr>
      </w:pPr>
      <w:r>
        <w:rPr>
          <w:rFonts w:ascii="Arial" w:cs="Arial" w:eastAsia="Arial" w:hAnsi="Arial"/>
          <w:sz w:val="22"/>
          <w:szCs w:val="22"/>
          <w:color w:val="auto"/>
        </w:rPr>
        <w:t>In addition, Section 107 of the JOBS Act also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We intend to take advantage of the benefits of this extended transition period.</w:t>
      </w:r>
    </w:p>
    <w:p>
      <w:pPr>
        <w:spacing w:after="0" w:line="214" w:lineRule="exact"/>
        <w:rPr>
          <w:sz w:val="20"/>
          <w:szCs w:val="20"/>
          <w:color w:val="auto"/>
        </w:rPr>
      </w:pPr>
    </w:p>
    <w:p>
      <w:pPr>
        <w:ind w:right="80" w:firstLine="324"/>
        <w:spacing w:after="0" w:line="279" w:lineRule="auto"/>
        <w:rPr>
          <w:sz w:val="20"/>
          <w:szCs w:val="20"/>
          <w:color w:val="auto"/>
        </w:rPr>
      </w:pPr>
      <w:r>
        <w:rPr>
          <w:rFonts w:ascii="Arial" w:cs="Arial" w:eastAsia="Arial" w:hAnsi="Arial"/>
          <w:sz w:val="19"/>
          <w:szCs w:val="19"/>
          <w:color w:val="auto"/>
        </w:rPr>
        <w:t>We will remain an emerging growth company until the earlier of (1) the last day of the fiscal year (a) following the fifth anniversary of the completion of our initial public offering, (b) in which we have total annual gross revenue of at least $1.07 billion, or (c) in which we are deemed to be a large accelerated filer, which means the market value of our ordinary shares that is held by non-affiliates exceeds $700 million as of the end of the prior fiscal year’s second fiscal quarter and (2) the date on which we have issued more than $1.00 billion in non-convertible debt securities during the prior three-year period. References herein to “emerging growth company” shall have the meaning associated with it in the JOBS Act.</w:t>
      </w:r>
    </w:p>
    <w:p>
      <w:pPr>
        <w:spacing w:after="0" w:line="177" w:lineRule="exact"/>
        <w:rPr>
          <w:sz w:val="20"/>
          <w:szCs w:val="20"/>
          <w:color w:val="auto"/>
        </w:rPr>
      </w:pPr>
    </w:p>
    <w:p>
      <w:pPr>
        <w:ind w:right="20" w:firstLine="324"/>
        <w:spacing w:after="0" w:line="274" w:lineRule="auto"/>
        <w:rPr>
          <w:sz w:val="20"/>
          <w:szCs w:val="20"/>
          <w:color w:val="auto"/>
        </w:rPr>
      </w:pPr>
      <w:r>
        <w:rPr>
          <w:rFonts w:ascii="Arial" w:cs="Arial" w:eastAsia="Arial" w:hAnsi="Arial"/>
          <w:sz w:val="19"/>
          <w:szCs w:val="19"/>
          <w:color w:val="auto"/>
        </w:rPr>
        <w:t>Exempted companies are Cayman Islands companies wishing to conduct business outside the Cayman Islands and, as such, are exempted from complying with certain provisions of the Companies Law. As an exempted company, we have applied for and received a tax exemption undertaking from the Cayman Islands government that, in accordance with Section 6 of the Tax Concessions Law (2018 Revision) of the Cayman Islands, for a period of 30 years from the date of the undertaking, no law which is enacted in the Cayman Islands imposing any tax to be levied on profits, income, gains or appreciations shall apply to us or our operations and, in addition, that no tax to be levied on profits, income, gains or appreciations or which is in the nature of estate duty or inheritance tax shall be payable (1) on or in respect of our shares, debentures or other obligations or (2) by way of the withholding in whole or in part of a payment of dividend or other distribution of income or capital by us to our shareholders or a payment of principal or interest or other sums due under a debenture or other obligation of us.</w:t>
      </w:r>
    </w:p>
    <w:p>
      <w:pPr>
        <w:spacing w:after="0" w:line="185" w:lineRule="exact"/>
        <w:rPr>
          <w:sz w:val="20"/>
          <w:szCs w:val="20"/>
          <w:color w:val="auto"/>
        </w:rPr>
      </w:pPr>
    </w:p>
    <w:p>
      <w:pPr>
        <w:ind w:right="60" w:firstLine="324"/>
        <w:spacing w:after="0" w:line="264" w:lineRule="auto"/>
        <w:rPr>
          <w:sz w:val="20"/>
          <w:szCs w:val="20"/>
          <w:color w:val="auto"/>
        </w:rPr>
      </w:pPr>
      <w:r>
        <w:rPr>
          <w:rFonts w:ascii="Arial" w:cs="Arial" w:eastAsia="Arial" w:hAnsi="Arial"/>
          <w:sz w:val="22"/>
          <w:szCs w:val="22"/>
          <w:color w:val="auto"/>
        </w:rPr>
        <w:t>We are a Cayman Islands exempted company incorporated on June 7, 2019. Our executive offices are located at 600 Madison Ave, 17</w:t>
      </w:r>
      <w:r>
        <w:rPr>
          <w:rFonts w:ascii="Arial" w:cs="Arial" w:eastAsia="Arial" w:hAnsi="Arial"/>
          <w:sz w:val="35"/>
          <w:szCs w:val="35"/>
          <w:color w:val="auto"/>
          <w:vertAlign w:val="superscript"/>
        </w:rPr>
        <w:t>th</w:t>
      </w:r>
      <w:r>
        <w:rPr>
          <w:rFonts w:ascii="Arial" w:cs="Arial" w:eastAsia="Arial" w:hAnsi="Arial"/>
          <w:sz w:val="22"/>
          <w:szCs w:val="22"/>
          <w:color w:val="auto"/>
        </w:rPr>
        <w:t xml:space="preserve"> Floor, New York, New York, 10022 and our telephone number is (212) 905-4923.</w:t>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Status as a Public Company</w:t>
      </w:r>
    </w:p>
    <w:p>
      <w:pPr>
        <w:spacing w:after="0" w:line="239" w:lineRule="exact"/>
        <w:rPr>
          <w:sz w:val="20"/>
          <w:szCs w:val="20"/>
          <w:color w:val="auto"/>
        </w:rPr>
      </w:pPr>
    </w:p>
    <w:p>
      <w:pPr>
        <w:ind w:right="80" w:firstLine="324"/>
        <w:spacing w:after="0" w:line="274" w:lineRule="auto"/>
        <w:rPr>
          <w:sz w:val="20"/>
          <w:szCs w:val="20"/>
          <w:color w:val="auto"/>
        </w:rPr>
      </w:pPr>
      <w:r>
        <w:rPr>
          <w:rFonts w:ascii="Arial" w:cs="Arial" w:eastAsia="Arial" w:hAnsi="Arial"/>
          <w:sz w:val="19"/>
          <w:szCs w:val="19"/>
          <w:color w:val="auto"/>
        </w:rPr>
        <w:t>We believe our structure makes us an attractive business combination partner to target businesses. As an existing public company, we offer target businesses an alternative to the traditional initial public offering through a merger, amalgamation, share exchange, asset acquisition, share purchase, reorganization or similar business combination. In this situation, the owners of the target business would exchange their shares or shares of stock in the target business for our shares or for a combination of our shares and cash, allowing us to tailor the consideration to the specific needs of the sellers. Although there are various costs and obligations associated with being a public company, we believe target businesses will find this method a more certain and cost effective method to becoming a public company than the typical initial public offering. In a typical initial public offering, there are additional expenses incurred in marketing, road show and public reporting efforts that may not be present to the same extent in connection with a business combination with us.</w:t>
      </w:r>
    </w:p>
    <w:p>
      <w:pPr>
        <w:spacing w:after="0" w:line="185" w:lineRule="exact"/>
        <w:rPr>
          <w:sz w:val="20"/>
          <w:szCs w:val="20"/>
          <w:color w:val="auto"/>
        </w:rPr>
      </w:pPr>
    </w:p>
    <w:p>
      <w:pPr>
        <w:ind w:right="60" w:firstLine="324"/>
        <w:spacing w:after="0" w:line="248" w:lineRule="auto"/>
        <w:rPr>
          <w:sz w:val="20"/>
          <w:szCs w:val="20"/>
          <w:color w:val="auto"/>
        </w:rPr>
      </w:pPr>
      <w:r>
        <w:rPr>
          <w:rFonts w:ascii="Arial" w:cs="Arial" w:eastAsia="Arial" w:hAnsi="Arial"/>
          <w:sz w:val="21"/>
          <w:szCs w:val="21"/>
          <w:color w:val="auto"/>
        </w:rPr>
        <w:t>Furthermore, once a proposed business combination is completed, the target business will have effectively become public, whereas an initial public offering is always subject to the underwriters’ ability to complete the offering, as well as general market conditions, which could delay or prevent the offering from occurring. Once public, we believe the target business would then have greater access to capital and an additional means of providing management incentives consistent with shareholders’ interests. It can offer further benefits by augmenting a company’s profile among potential new customers and vendors and aid in attracting talented employees.</w:t>
      </w:r>
    </w:p>
    <w:p>
      <w:pPr>
        <w:sectPr>
          <w:pgSz w:w="11900" w:h="16838" w:orient="portrait"/>
          <w:cols w:equalWidth="0" w:num="1">
            <w:col w:w="11240"/>
          </w:cols>
          <w:pgMar w:left="320" w:top="121" w:right="339"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 w:name="page11"/>
    <w:bookmarkEnd w:id="10"/>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ind w:firstLine="324"/>
        <w:spacing w:after="0" w:line="235" w:lineRule="auto"/>
        <w:rPr>
          <w:sz w:val="20"/>
          <w:szCs w:val="20"/>
          <w:color w:val="auto"/>
        </w:rPr>
      </w:pPr>
      <w:r>
        <w:rPr>
          <w:rFonts w:ascii="Arial" w:cs="Arial" w:eastAsia="Arial" w:hAnsi="Arial"/>
          <w:sz w:val="22"/>
          <w:szCs w:val="22"/>
          <w:color w:val="auto"/>
        </w:rPr>
        <w:t>We are an “emerging growth company,” as defined in the JOBS Act. We will remain an emerging growth company until the earlier of (1) the last day of the fiscal year (a) following the fifth anniversary of the completion of our initial public offering, (b) in which we have total annual gross revenue of at least $1.07 billion, or (c) in which we are deemed to be a large accelerated filer, which means the market value of our ordinary shares that is held by non-affiliates exceeds $700 million as of the end of the prior fiscal year’s second fiscal quarter, and (2) the date on which we have issued more than $1.00 billion in non-convertible debt securities during the prior three-year period.</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Financial Position</w:t>
      </w:r>
    </w:p>
    <w:p>
      <w:pPr>
        <w:spacing w:after="0" w:line="239" w:lineRule="exact"/>
        <w:rPr>
          <w:sz w:val="20"/>
          <w:szCs w:val="20"/>
          <w:color w:val="auto"/>
        </w:rPr>
      </w:pPr>
    </w:p>
    <w:p>
      <w:pPr>
        <w:ind w:right="140" w:firstLine="324"/>
        <w:spacing w:after="0" w:line="277" w:lineRule="auto"/>
        <w:rPr>
          <w:sz w:val="20"/>
          <w:szCs w:val="20"/>
          <w:color w:val="auto"/>
        </w:rPr>
      </w:pPr>
      <w:r>
        <w:rPr>
          <w:rFonts w:ascii="Arial" w:cs="Arial" w:eastAsia="Arial" w:hAnsi="Arial"/>
          <w:sz w:val="19"/>
          <w:szCs w:val="19"/>
          <w:color w:val="auto"/>
        </w:rPr>
        <w:t>With funds available for a business combination initially in the amount of $241,250,000 assuming no redemptions and after payment of $8,750,000 of deferred underwriting fees, we offer a target business a variety of options such as creating a liquidity event for its owners, providing capital for the potential growth and expansion of its operations or strengthening its balance sheet by reducing its debt ratio. Because we are able to complete our initial business combination using our cash, debt or equity securities, or a combination of the foregoing, we have the flexibility to use the most efficient combination that will allow us to tailor the consideration to be paid to the target business to fit its needs and desires. However, we have not taken any steps to secure third-party financing and there can be no assurance it will be available to us.</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Effecting Our Initial Business Combination</w:t>
      </w:r>
    </w:p>
    <w:p>
      <w:pPr>
        <w:spacing w:after="0" w:line="239" w:lineRule="exact"/>
        <w:rPr>
          <w:sz w:val="20"/>
          <w:szCs w:val="20"/>
          <w:color w:val="auto"/>
        </w:rPr>
      </w:pPr>
    </w:p>
    <w:p>
      <w:pPr>
        <w:ind w:right="100" w:firstLine="324"/>
        <w:spacing w:after="0" w:line="248" w:lineRule="auto"/>
        <w:rPr>
          <w:sz w:val="20"/>
          <w:szCs w:val="20"/>
          <w:color w:val="auto"/>
        </w:rPr>
      </w:pPr>
      <w:r>
        <w:rPr>
          <w:rFonts w:ascii="Arial" w:cs="Arial" w:eastAsia="Arial" w:hAnsi="Arial"/>
          <w:sz w:val="21"/>
          <w:szCs w:val="21"/>
          <w:color w:val="auto"/>
        </w:rPr>
        <w:t>We are not presently engaged in, and we will not engage in, any operations for an indefinite period of time following our initial public offering. We intend to effectuate our initial business combination using cash from the proceeds of our initial public offering and the sale of the private placement warrants, our shares, debt or a combination of these as the consideration to be paid in our initial business combination. We may seek to complete our initial business combination with a company or business that may be financially unstable or in its early stages of development or growth, which would subject us to the numerous risks inherent in such companies and businesses.</w:t>
      </w:r>
    </w:p>
    <w:p>
      <w:pPr>
        <w:spacing w:after="0" w:line="204" w:lineRule="exact"/>
        <w:rPr>
          <w:sz w:val="20"/>
          <w:szCs w:val="20"/>
          <w:color w:val="auto"/>
        </w:rPr>
      </w:pPr>
    </w:p>
    <w:p>
      <w:pPr>
        <w:ind w:firstLine="324"/>
        <w:spacing w:after="0" w:line="282" w:lineRule="auto"/>
        <w:rPr>
          <w:sz w:val="20"/>
          <w:szCs w:val="20"/>
          <w:color w:val="auto"/>
        </w:rPr>
      </w:pPr>
      <w:r>
        <w:rPr>
          <w:rFonts w:ascii="Arial" w:cs="Arial" w:eastAsia="Arial" w:hAnsi="Arial"/>
          <w:sz w:val="19"/>
          <w:szCs w:val="19"/>
          <w:color w:val="auto"/>
        </w:rPr>
        <w:t>If our initial business combination is paid for using equity or debt, or not all of the funds released from the trust account are used for payment of the consideration in connection with our initial business combination or the redemption of our public shares, we may apply the balance of the cash released to us from the trust account for general corporate purposes, including for maintenance or expansion of operations of the post-transaction company, the payment of principal or interest due on indebtedness incurred in completing our initial business combination, to fund the purchase of other companies or for working capital.</w:t>
      </w:r>
    </w:p>
    <w:p>
      <w:pPr>
        <w:spacing w:after="0" w:line="174" w:lineRule="exact"/>
        <w:rPr>
          <w:sz w:val="20"/>
          <w:szCs w:val="20"/>
          <w:color w:val="auto"/>
        </w:rPr>
      </w:pPr>
    </w:p>
    <w:p>
      <w:pPr>
        <w:ind w:right="420" w:firstLine="324"/>
        <w:spacing w:after="0"/>
        <w:rPr>
          <w:sz w:val="20"/>
          <w:szCs w:val="20"/>
          <w:color w:val="auto"/>
        </w:rPr>
      </w:pPr>
      <w:r>
        <w:rPr>
          <w:rFonts w:ascii="Arial" w:cs="Arial" w:eastAsia="Arial" w:hAnsi="Arial"/>
          <w:sz w:val="22"/>
          <w:szCs w:val="22"/>
          <w:color w:val="auto"/>
        </w:rPr>
        <w:t>We may seek to raise additional funds through a private offering of debt or equity securities in connection with the completion of our initial business combination, and we may effectuate our initial business combination using the proceeds of such offering rather than using the amounts held in the trust account.</w:t>
      </w:r>
    </w:p>
    <w:p>
      <w:pPr>
        <w:spacing w:after="0" w:line="213" w:lineRule="exact"/>
        <w:rPr>
          <w:sz w:val="20"/>
          <w:szCs w:val="20"/>
          <w:color w:val="auto"/>
        </w:rPr>
      </w:pPr>
    </w:p>
    <w:p>
      <w:pPr>
        <w:ind w:right="40" w:firstLine="324"/>
        <w:spacing w:after="0" w:line="248" w:lineRule="auto"/>
        <w:rPr>
          <w:sz w:val="20"/>
          <w:szCs w:val="20"/>
          <w:color w:val="auto"/>
        </w:rPr>
      </w:pPr>
      <w:r>
        <w:rPr>
          <w:rFonts w:ascii="Arial" w:cs="Arial" w:eastAsia="Arial" w:hAnsi="Arial"/>
          <w:sz w:val="21"/>
          <w:szCs w:val="21"/>
          <w:color w:val="auto"/>
        </w:rPr>
        <w:t>In the case of an initial business combination funded with assets other than the trust account assets, our tender offer documents or proxy materials disclosing the business combination would disclose the terms of the financing and, only if required by law or we decide to do so for business or other reasons, we would seek shareholder approval of such financing. There are no prohibitions on our ability to raise funds privately or through loans in connection with our initial business combination. At this time, we are not a party to any arrangement or understanding with any third party with respect to raising any additional funds through the sale of securities or otherwise.</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11" w:name="page12"/>
    <w:bookmarkEnd w:id="11"/>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Selection of a target business and structuring of our initial business combination</w:t>
      </w:r>
    </w:p>
    <w:p>
      <w:pPr>
        <w:spacing w:after="0" w:line="239" w:lineRule="exact"/>
        <w:rPr>
          <w:sz w:val="20"/>
          <w:szCs w:val="20"/>
          <w:color w:val="auto"/>
        </w:rPr>
      </w:pPr>
    </w:p>
    <w:p>
      <w:pPr>
        <w:ind w:firstLine="324"/>
        <w:spacing w:after="0" w:line="271" w:lineRule="auto"/>
        <w:rPr>
          <w:sz w:val="20"/>
          <w:szCs w:val="20"/>
          <w:color w:val="auto"/>
        </w:rPr>
      </w:pPr>
      <w:r>
        <w:rPr>
          <w:rFonts w:ascii="Arial" w:cs="Arial" w:eastAsia="Arial" w:hAnsi="Arial"/>
          <w:sz w:val="19"/>
          <w:szCs w:val="19"/>
          <w:color w:val="auto"/>
        </w:rPr>
        <w:t>The rules of Nasdaq require that our initial business combination occur with one or more target businesses that together have an aggregate fair market value of at least 80% of the assets held in the trust account (excluding the deferred underwriting commissions and taxes payable on the income earned on the trust account) at the time of the agreement to enter into the initial business combination. We refer to this as the 80% fair market value test. The fair market value of the target or targets will be determined by our board of directors based upon one or more standards generally accepted by the financial community (such as actual and potential sales, earnings, cash flow and/or book value). Even though our board of directors will rely on generally accepted standards, our board of directors will have discretion to select the standards employed. In addition, the application of the standards generally involves a substantial degree of judgment. Accordingly, investors will be relying on the business judgment of the board of directors in evaluating the fair market value of the target or targets. The proxy solicitation materials or tender offer documents used by us in connection with any proposed transaction will provide public shareholders with our analysis of our satisfaction of the 80% fair market value test, as well as the basis for our determinations. If our board is not able independently to determine the fair market value of the target business or businesses, we will obtain an opinion from an independent investment banking firm, or another independent entity that commonly renders valuation opinions, with respect to the satisfaction of such criteria. We do not currently intend to purchase multiple businesses in unrelated industries in conjunction with our initial business combination, although there is no restriction on our doing so.</w:t>
      </w:r>
    </w:p>
    <w:p>
      <w:pPr>
        <w:spacing w:after="0" w:line="187" w:lineRule="exact"/>
        <w:rPr>
          <w:sz w:val="20"/>
          <w:szCs w:val="20"/>
          <w:color w:val="auto"/>
        </w:rPr>
      </w:pPr>
    </w:p>
    <w:p>
      <w:pPr>
        <w:ind w:right="40" w:firstLine="324"/>
        <w:spacing w:after="0" w:line="270" w:lineRule="auto"/>
        <w:rPr>
          <w:sz w:val="20"/>
          <w:szCs w:val="20"/>
          <w:color w:val="auto"/>
        </w:rPr>
      </w:pPr>
      <w:r>
        <w:rPr>
          <w:rFonts w:ascii="Arial" w:cs="Arial" w:eastAsia="Arial" w:hAnsi="Arial"/>
          <w:sz w:val="19"/>
          <w:szCs w:val="19"/>
          <w:color w:val="auto"/>
        </w:rPr>
        <w:t>We anticipate structuring our initial business combination so that the post-transaction company in which our public shareholders own shares will own or acquire 100% of the issued and outstanding equity interests or assets of the target business or businesses. We may, however, structure our initial business combination such that the post-transaction company owns or acquires less than 100% of such interests or assets of the target business in order to meet certain objectives of the target management team or shareholders or for other reasons, but we will only complete such business combination if the post-transaction company owns or acquires 50% or more of the issued and outstanding voting securities of the target or otherwise acquires a controlling interest in the target business sufficient for it not to be required to register as an investment company under the Investment Company Act of 1940, as amended, or the Investment Company Act. Even if the post-transaction company owns or acquires 50% or more of the voting securities of the target, our shareholders prior to our initial business combination may collectively own a minority interest in the post-transaction company, depending on valuations ascribed to the target and us in our initial business combination transaction. For example, we could pursue a transaction in which we issue a substantial number of new shares in exchange for all of the issued and outstanding capital stock or shares of a target. In this case, we would acquire a 100% controlling interest in the target. However, as a result of the issuance of a substantial number of new shares, our shareholders immediately prior to our initial business combination could own less than a majority of our issued and outstanding shares subsequent to our initial business combination. If less than 100% of the equity interests or assets of a target business or businesses are owned or acquired by the post-transaction company, the portion of such business or businesses that is owned or acquired is what will be valued for purposes of the 80% fair market value test. If our initial business combination involves more than one target business, the 80% fair market value test will be based on the aggregate value of all of the target businesses. Notwithstanding the foregoing, if we are not then listed on Nasdaq for whatever reason, we would no longer be required to meet the foregoing 80% fair market value test.</w:t>
      </w:r>
    </w:p>
    <w:p>
      <w:pPr>
        <w:spacing w:after="0" w:line="200" w:lineRule="exact"/>
        <w:rPr>
          <w:sz w:val="20"/>
          <w:szCs w:val="20"/>
          <w:color w:val="auto"/>
        </w:rPr>
      </w:pPr>
    </w:p>
    <w:p>
      <w:pPr>
        <w:spacing w:after="0" w:line="233" w:lineRule="exact"/>
        <w:rPr>
          <w:sz w:val="20"/>
          <w:szCs w:val="20"/>
          <w:color w:val="auto"/>
        </w:rPr>
      </w:pPr>
    </w:p>
    <w:p>
      <w:pPr>
        <w:ind w:right="120" w:firstLine="324"/>
        <w:spacing w:after="0" w:line="238" w:lineRule="auto"/>
        <w:rPr>
          <w:sz w:val="20"/>
          <w:szCs w:val="20"/>
          <w:color w:val="auto"/>
        </w:rPr>
      </w:pPr>
      <w:r>
        <w:rPr>
          <w:rFonts w:ascii="Arial" w:cs="Arial" w:eastAsia="Arial" w:hAnsi="Arial"/>
          <w:sz w:val="22"/>
          <w:szCs w:val="22"/>
          <w:color w:val="auto"/>
        </w:rPr>
        <w:t>To the extent we effect our initial business combination with a company or business that may be financially unstable or in its early stages of development or growth we may be affected by numerous risks inherent in such company or business. Although our management will endeavor to evaluate the risks inherent in a particular target business, we cannot assure you that we will properly ascertain or assess all significant risk factors.</w:t>
      </w:r>
    </w:p>
    <w:p>
      <w:pPr>
        <w:spacing w:after="0" w:line="212" w:lineRule="exact"/>
        <w:rPr>
          <w:sz w:val="20"/>
          <w:szCs w:val="20"/>
          <w:color w:val="auto"/>
        </w:rPr>
      </w:pPr>
    </w:p>
    <w:p>
      <w:pPr>
        <w:ind w:right="100" w:firstLine="324"/>
        <w:spacing w:after="0" w:line="257" w:lineRule="auto"/>
        <w:rPr>
          <w:sz w:val="20"/>
          <w:szCs w:val="20"/>
          <w:color w:val="auto"/>
        </w:rPr>
      </w:pPr>
      <w:r>
        <w:rPr>
          <w:rFonts w:ascii="Arial" w:cs="Arial" w:eastAsia="Arial" w:hAnsi="Arial"/>
          <w:sz w:val="21"/>
          <w:szCs w:val="21"/>
          <w:color w:val="auto"/>
        </w:rPr>
        <w:t>In evaluating a prospective target business, we expect to conduct a thorough due diligence review which will encompass, among other things, meetings with incumbent management and employees, document reviews, inspection of facilities, as well as a review of financial, operational, legal and other information, which will be made available to us.</w:t>
      </w:r>
    </w:p>
    <w:p>
      <w:pPr>
        <w:spacing w:after="0" w:line="196" w:lineRule="exact"/>
        <w:rPr>
          <w:sz w:val="20"/>
          <w:szCs w:val="20"/>
          <w:color w:val="auto"/>
        </w:rPr>
      </w:pPr>
    </w:p>
    <w:p>
      <w:pPr>
        <w:ind w:firstLine="324"/>
        <w:spacing w:after="0" w:line="287" w:lineRule="auto"/>
        <w:rPr>
          <w:sz w:val="20"/>
          <w:szCs w:val="20"/>
          <w:color w:val="auto"/>
        </w:rPr>
      </w:pPr>
      <w:r>
        <w:rPr>
          <w:rFonts w:ascii="Arial" w:cs="Arial" w:eastAsia="Arial" w:hAnsi="Arial"/>
          <w:sz w:val="19"/>
          <w:szCs w:val="19"/>
          <w:color w:val="auto"/>
        </w:rPr>
        <w:t>The time required to select and evaluate a target business and to structure and complete our initial business combination, and the costs associated with this process, are not currently ascertainable with any degree of certainty. Any costs incurred with respect to the identification and evaluation of a prospective target business with which our initial business combination is not ultimately completed will result in our incurring losses and will reduce the funds we can use to complete another business combination.</w:t>
      </w:r>
    </w:p>
    <w:p>
      <w:pPr>
        <w:spacing w:after="0" w:line="16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Lack of business diversification</w:t>
      </w:r>
    </w:p>
    <w:p>
      <w:pPr>
        <w:spacing w:after="0" w:line="239" w:lineRule="exact"/>
        <w:rPr>
          <w:sz w:val="20"/>
          <w:szCs w:val="20"/>
          <w:color w:val="auto"/>
        </w:rPr>
      </w:pPr>
    </w:p>
    <w:p>
      <w:pPr>
        <w:ind w:right="60" w:firstLine="324"/>
        <w:spacing w:after="0" w:line="236" w:lineRule="auto"/>
        <w:rPr>
          <w:sz w:val="20"/>
          <w:szCs w:val="20"/>
          <w:color w:val="auto"/>
        </w:rPr>
      </w:pPr>
      <w:r>
        <w:rPr>
          <w:rFonts w:ascii="Arial" w:cs="Arial" w:eastAsia="Arial" w:hAnsi="Arial"/>
          <w:sz w:val="22"/>
          <w:szCs w:val="22"/>
          <w:color w:val="auto"/>
        </w:rPr>
        <w:t>For an indefinite period of time after the completion of our initial business combination, the prospects for our success may depend entirely on the future performance of a single business. Unlike other entities that have the resources to complete business combinations with multiple entities in one or several industries, it is probable that we will not have the resources to diversify our operations and mitigate the risks of being in a single line of business. By completing our initial business combination with only a single entity, our lack of diversification may:</w:t>
      </w:r>
    </w:p>
    <w:p>
      <w:pPr>
        <w:sectPr>
          <w:pgSz w:w="11900" w:h="16838" w:orient="portrait"/>
          <w:cols w:equalWidth="0" w:num="1">
            <w:col w:w="11220"/>
          </w:cols>
          <w:pgMar w:left="320" w:top="122" w:right="359" w:bottom="656"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656" w:gutter="0" w:footer="0" w:header="0"/>
          <w:type w:val="continuous"/>
        </w:sectPr>
      </w:pPr>
    </w:p>
    <w:bookmarkStart w:id="12" w:name="page13"/>
    <w:bookmarkEnd w:id="12"/>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660" w:right="38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subject us to negative economic, competitive and regulatory developments, any or all of which may have a substantial adverse impact on the particular industry in which we operate after our initial business combination; and</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cause us to depend on the marketing and sale of a single product or limited number of products or services.</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Limited ability to evaluate the target’s management team</w:t>
      </w:r>
    </w:p>
    <w:p>
      <w:pPr>
        <w:spacing w:after="0" w:line="239" w:lineRule="exact"/>
        <w:rPr>
          <w:sz w:val="20"/>
          <w:szCs w:val="20"/>
          <w:color w:val="auto"/>
        </w:rPr>
      </w:pPr>
    </w:p>
    <w:p>
      <w:pPr>
        <w:ind w:firstLine="324"/>
        <w:spacing w:after="0" w:line="275" w:lineRule="auto"/>
        <w:rPr>
          <w:sz w:val="20"/>
          <w:szCs w:val="20"/>
          <w:color w:val="auto"/>
        </w:rPr>
      </w:pPr>
      <w:r>
        <w:rPr>
          <w:rFonts w:ascii="Arial" w:cs="Arial" w:eastAsia="Arial" w:hAnsi="Arial"/>
          <w:sz w:val="19"/>
          <w:szCs w:val="19"/>
          <w:color w:val="auto"/>
        </w:rPr>
        <w:t>Although we intend to closely scrutinize the management of a prospective target business when evaluating the desirability of effecting our initial business combination with that business, our assessment of the target business’s management may not prove to be correct. In addition, the future management may not have the necessary skills, qualifications or abilities to manage a public company. Furthermore, the future role of members of our management team, if any, in the target business cannot presently be stated with any certainty. While it is possible that one or more of our directors will remain associated in some capacity with us following our initial business combination, it is unlikely that any of them will devote their full efforts to our affairs subsequent to our initial business combination. Moreover, we cannot assure you that members of our management team will have significant experience or knowledge relating to the operations of the particular target business.</w:t>
      </w:r>
    </w:p>
    <w:p>
      <w:pPr>
        <w:spacing w:after="0" w:line="184" w:lineRule="exact"/>
        <w:rPr>
          <w:sz w:val="20"/>
          <w:szCs w:val="20"/>
          <w:color w:val="auto"/>
        </w:rPr>
      </w:pPr>
    </w:p>
    <w:p>
      <w:pPr>
        <w:ind w:right="160" w:firstLine="324"/>
        <w:spacing w:after="0"/>
        <w:rPr>
          <w:sz w:val="20"/>
          <w:szCs w:val="20"/>
          <w:color w:val="auto"/>
        </w:rPr>
      </w:pPr>
      <w:r>
        <w:rPr>
          <w:rFonts w:ascii="Arial" w:cs="Arial" w:eastAsia="Arial" w:hAnsi="Arial"/>
          <w:sz w:val="22"/>
          <w:szCs w:val="22"/>
          <w:color w:val="auto"/>
        </w:rPr>
        <w:t>We cannot assure you that any of our key personnel will remain in senior management or advisory positions with the combined company. The determination as to whether any of our key personnel will remain with the combined company will be made at the time of our initial business combination.</w:t>
      </w:r>
    </w:p>
    <w:p>
      <w:pPr>
        <w:spacing w:after="0" w:line="213" w:lineRule="exact"/>
        <w:rPr>
          <w:sz w:val="20"/>
          <w:szCs w:val="20"/>
          <w:color w:val="auto"/>
        </w:rPr>
      </w:pPr>
    </w:p>
    <w:p>
      <w:pPr>
        <w:ind w:right="280" w:firstLine="324"/>
        <w:spacing w:after="0" w:line="297" w:lineRule="auto"/>
        <w:rPr>
          <w:sz w:val="20"/>
          <w:szCs w:val="20"/>
          <w:color w:val="auto"/>
        </w:rPr>
      </w:pPr>
      <w:r>
        <w:rPr>
          <w:rFonts w:ascii="Arial" w:cs="Arial" w:eastAsia="Arial" w:hAnsi="Arial"/>
          <w:sz w:val="19"/>
          <w:szCs w:val="19"/>
          <w:color w:val="auto"/>
        </w:rPr>
        <w:t>Following our initial business combination, we may seek to recruit additional managers to supplement the incumbent management of the target business. We cannot assure you that we will have the ability to recruit additional managers, or that additional managers will have the requisite skills, knowledge or experience necessary to enhance the incumbent management.</w:t>
      </w:r>
    </w:p>
    <w:p>
      <w:pPr>
        <w:spacing w:after="0" w:line="15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Shareholders may not have the ability to approve our initial business combination</w:t>
      </w:r>
    </w:p>
    <w:p>
      <w:pPr>
        <w:spacing w:after="0" w:line="239" w:lineRule="exact"/>
        <w:rPr>
          <w:sz w:val="20"/>
          <w:szCs w:val="20"/>
          <w:color w:val="auto"/>
        </w:rPr>
      </w:pPr>
    </w:p>
    <w:p>
      <w:pPr>
        <w:ind w:right="60" w:firstLine="324"/>
        <w:spacing w:after="0" w:line="238" w:lineRule="auto"/>
        <w:rPr>
          <w:sz w:val="20"/>
          <w:szCs w:val="20"/>
          <w:color w:val="auto"/>
        </w:rPr>
      </w:pPr>
      <w:r>
        <w:rPr>
          <w:rFonts w:ascii="Arial" w:cs="Arial" w:eastAsia="Arial" w:hAnsi="Arial"/>
          <w:sz w:val="22"/>
          <w:szCs w:val="22"/>
          <w:color w:val="auto"/>
        </w:rPr>
        <w:t>We may conduct redemptions without a shareholder vote pursuant to the tender offer rules of the SEC subject to the provisions of our amended and restated memorandum and articles of association. However, we will seek shareholder approval if it is required by applicable law or stock exchange listing requirement, or we may decide to seek shareholder approval for business or other reasons.</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Under Nasdaq’s listing rules, shareholder approval would be required for our initial business combination if, for example:</w:t>
      </w:r>
    </w:p>
    <w:p>
      <w:pPr>
        <w:spacing w:after="0" w:line="275" w:lineRule="exact"/>
        <w:rPr>
          <w:sz w:val="20"/>
          <w:szCs w:val="20"/>
          <w:color w:val="auto"/>
        </w:rPr>
      </w:pPr>
    </w:p>
    <w:p>
      <w:pPr>
        <w:ind w:left="660" w:right="8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issue ordinary shares that will be equal to or in excess of 20% of the number of shares or voting power of our ordinary shares then issued and outstanding (other than in a public offering);</w:t>
      </w:r>
    </w:p>
    <w:p>
      <w:pPr>
        <w:spacing w:after="0" w:line="197" w:lineRule="exact"/>
        <w:rPr>
          <w:rFonts w:ascii="Arial" w:cs="Arial" w:eastAsia="Arial" w:hAnsi="Arial"/>
          <w:sz w:val="18"/>
          <w:szCs w:val="18"/>
          <w:color w:val="auto"/>
        </w:rPr>
      </w:pPr>
    </w:p>
    <w:p>
      <w:pPr>
        <w:ind w:left="660" w:right="260" w:hanging="328"/>
        <w:spacing w:after="0" w:line="311" w:lineRule="auto"/>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any of our directors, officers or substantial shareholders (as defined by Nasdaq rules) has a 5% or greater interest (or such persons collectively have a 10% or greater interest), directly or indirectly, in the target business or assets to be acquired or otherwise and the present or potential issuance of ordinary shares could result in an increase in outstanding common shares or voting power of 5% or more; or</w:t>
      </w:r>
    </w:p>
    <w:p>
      <w:pPr>
        <w:spacing w:after="0" w:line="175" w:lineRule="exact"/>
        <w:rPr>
          <w:rFonts w:ascii="Arial" w:cs="Arial" w:eastAsia="Arial" w:hAnsi="Arial"/>
          <w:sz w:val="16"/>
          <w:szCs w:val="16"/>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issuance or potential issuance of ordinary shares will result in our undergoing a change of control.</w:t>
      </w:r>
    </w:p>
    <w:p>
      <w:pPr>
        <w:spacing w:after="0" w:line="245" w:lineRule="exact"/>
        <w:rPr>
          <w:sz w:val="20"/>
          <w:szCs w:val="20"/>
          <w:color w:val="auto"/>
        </w:rPr>
      </w:pPr>
    </w:p>
    <w:p>
      <w:pPr>
        <w:ind w:right="40" w:firstLine="324"/>
        <w:spacing w:after="0" w:line="250" w:lineRule="auto"/>
        <w:rPr>
          <w:sz w:val="20"/>
          <w:szCs w:val="20"/>
          <w:color w:val="auto"/>
        </w:rPr>
      </w:pPr>
      <w:r>
        <w:rPr>
          <w:rFonts w:ascii="Arial" w:cs="Arial" w:eastAsia="Arial" w:hAnsi="Arial"/>
          <w:sz w:val="22"/>
          <w:szCs w:val="22"/>
          <w:color w:val="auto"/>
        </w:rPr>
        <w:t>The Companies Law and Cayman Islands law do not currently require, and we are not aware of any other applicable law that will require, shareholder approval of our initial business combination.</w:t>
      </w:r>
    </w:p>
    <w:p>
      <w:pPr>
        <w:spacing w:after="0" w:line="394"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22" w:right="419" w:bottom="1440" w:gutter="0" w:footer="0" w:header="0"/>
        </w:sectPr>
      </w:pPr>
    </w:p>
    <w:bookmarkStart w:id="13" w:name="page14"/>
    <w:bookmarkEnd w:id="13"/>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Permitted purchases of our securities</w:t>
      </w:r>
    </w:p>
    <w:p>
      <w:pPr>
        <w:spacing w:after="0" w:line="239" w:lineRule="exact"/>
        <w:rPr>
          <w:sz w:val="20"/>
          <w:szCs w:val="20"/>
          <w:color w:val="auto"/>
        </w:rPr>
      </w:pPr>
    </w:p>
    <w:p>
      <w:pPr>
        <w:ind w:right="40" w:firstLine="324"/>
        <w:spacing w:after="0" w:line="270" w:lineRule="auto"/>
        <w:rPr>
          <w:sz w:val="20"/>
          <w:szCs w:val="20"/>
          <w:color w:val="auto"/>
        </w:rPr>
      </w:pPr>
      <w:r>
        <w:rPr>
          <w:rFonts w:ascii="Arial" w:cs="Arial" w:eastAsia="Arial" w:hAnsi="Arial"/>
          <w:sz w:val="19"/>
          <w:szCs w:val="19"/>
          <w:color w:val="auto"/>
        </w:rPr>
        <w:t>In the event we seek shareholder approval of our initial business combination and we do not conduct redemptions in connection with our initial business combination pursuant to the tender offer rules, our initial shareholders, directors, officers, advisors or any of their affiliates may purchase public shares or public warrants or a combination thereof in privately negotiated transactions or in the open market either prior to or following the completion of our initial business combination, although they are under no obligation or duty to do so. There is no limit on the number of shares or warrants such persons may purchase, or any restriction on the price that they may pay. Any such price per share may be different than the amount per share a public shareholder would receive if it elected to redeem its shares in connection with our initial business combination. However, such persons have no current commitments, plans or intentions to engage in such transactions and have not formulated any terms or conditions for any such transactions. In the event our initial shareholders, directors, officers, advisors or any of their affiliates determine to make any such purchases at the time of a shareholder vote relating to our initial business combination, such purchases could have the effect of influencing the vote necessary to approve such transaction. None of the funds in the trust account will be used to purchase public shares or public warrants in such transactions. If they engage in such transactions, they will be restricted from making any such purchases when they are in possession of any material non-public information not disclosed to the seller or if such purchases are prohibited by Regulation M under the Exchange Act. We have adopted an insider trading policy which requires insiders to (1) refrain from purchasing securities during certain blackout periods and when they are in possession of any material non-public information and (2) to clear certain trades prior to execution. While our insiders currently do not make purchases pursuant to a Rule 10b5-1 plan, we cannot currently determine whether our insiders will make such purchases in the future, as it will be dependent upon several factors, including but not limited to, the timing and size of such purchases. Depending on such circumstances, our insiders may either make such purchases pursuant to a Rule 10b5-1 plan or determine that such a plan is not necessary.</w:t>
      </w:r>
    </w:p>
    <w:p>
      <w:pPr>
        <w:spacing w:after="0" w:line="200" w:lineRule="exact"/>
        <w:rPr>
          <w:sz w:val="20"/>
          <w:szCs w:val="20"/>
          <w:color w:val="auto"/>
        </w:rPr>
      </w:pPr>
    </w:p>
    <w:p>
      <w:pPr>
        <w:spacing w:after="0" w:line="233" w:lineRule="exact"/>
        <w:rPr>
          <w:sz w:val="20"/>
          <w:szCs w:val="20"/>
          <w:color w:val="auto"/>
        </w:rPr>
      </w:pPr>
    </w:p>
    <w:p>
      <w:pPr>
        <w:ind w:right="80" w:firstLine="324"/>
        <w:spacing w:after="0" w:line="277" w:lineRule="auto"/>
        <w:rPr>
          <w:sz w:val="20"/>
          <w:szCs w:val="20"/>
          <w:color w:val="auto"/>
        </w:rPr>
      </w:pPr>
      <w:r>
        <w:rPr>
          <w:rFonts w:ascii="Arial" w:cs="Arial" w:eastAsia="Arial" w:hAnsi="Arial"/>
          <w:sz w:val="19"/>
          <w:szCs w:val="19"/>
          <w:color w:val="auto"/>
        </w:rPr>
        <w:t>In the event that our sponsor, directors, officers, advisors or any of their affiliates purchase public shares in privately negotiated transactions from public shareholders who have already elected to exercise their redemption rights or submitted a proxy to vote against our initial business combination, such selling shareholders would be required to revoke their prior elections to redeem their shares and any proxy to vote against our initial business combination. We do not currently anticipate that such purchases, if any, would constitute a tender offer subject to the tender offer rules under the Exchange Act or a going-private transaction subject to the going-private rules under the Exchange Act; however, if the purchasers determine at the time of any such purchases that the purchases are subject to such rules, the purchasers will comply with such rules.</w:t>
      </w:r>
    </w:p>
    <w:p>
      <w:pPr>
        <w:spacing w:after="0" w:line="179" w:lineRule="exact"/>
        <w:rPr>
          <w:sz w:val="20"/>
          <w:szCs w:val="20"/>
          <w:color w:val="auto"/>
        </w:rPr>
      </w:pPr>
    </w:p>
    <w:p>
      <w:pPr>
        <w:ind w:right="100" w:firstLine="324"/>
        <w:spacing w:after="0" w:line="249" w:lineRule="auto"/>
        <w:rPr>
          <w:sz w:val="20"/>
          <w:szCs w:val="20"/>
          <w:color w:val="auto"/>
        </w:rPr>
      </w:pPr>
      <w:r>
        <w:rPr>
          <w:rFonts w:ascii="Arial" w:cs="Arial" w:eastAsia="Arial" w:hAnsi="Arial"/>
          <w:sz w:val="21"/>
          <w:szCs w:val="21"/>
          <w:color w:val="auto"/>
        </w:rPr>
        <w:t>The purpose of such purchases could be to (1) vote such shares in favor of the business combination and thereby increase the likelihood of obtaining shareholder approval of our initial business combination or (2) to satisfy a closing condition in an agreement with a target that requires us to have a minimum net worth or a certain amount of cash at the closing of our initial business combination, where it appears that such requirement would otherwise not be met. This may result in the completion of our initial business combination that may not otherwise have been possible.</w:t>
      </w:r>
    </w:p>
    <w:p>
      <w:pPr>
        <w:spacing w:after="0" w:line="205" w:lineRule="exact"/>
        <w:rPr>
          <w:sz w:val="20"/>
          <w:szCs w:val="20"/>
          <w:color w:val="auto"/>
        </w:rPr>
      </w:pPr>
    </w:p>
    <w:p>
      <w:pPr>
        <w:ind w:right="60" w:firstLine="324"/>
        <w:spacing w:after="0"/>
        <w:rPr>
          <w:sz w:val="20"/>
          <w:szCs w:val="20"/>
          <w:color w:val="auto"/>
        </w:rPr>
      </w:pPr>
      <w:r>
        <w:rPr>
          <w:rFonts w:ascii="Arial" w:cs="Arial" w:eastAsia="Arial" w:hAnsi="Arial"/>
          <w:sz w:val="22"/>
          <w:szCs w:val="22"/>
          <w:color w:val="auto"/>
        </w:rPr>
        <w:t>In addition, if such purchases are made, the public “float” of our securities may be reduced and the number of beneficial holders of our securities may be reduced, which may make it difficult to maintain or obtain the quotation, listing or trading of our securities on a national securities exchange.</w:t>
      </w:r>
    </w:p>
    <w:p>
      <w:pPr>
        <w:spacing w:after="0" w:line="213" w:lineRule="exact"/>
        <w:rPr>
          <w:sz w:val="20"/>
          <w:szCs w:val="20"/>
          <w:color w:val="auto"/>
        </w:rPr>
      </w:pPr>
    </w:p>
    <w:p>
      <w:pPr>
        <w:ind w:right="40" w:firstLine="324"/>
        <w:spacing w:after="0" w:line="272" w:lineRule="auto"/>
        <w:rPr>
          <w:sz w:val="20"/>
          <w:szCs w:val="20"/>
          <w:color w:val="auto"/>
        </w:rPr>
      </w:pPr>
      <w:r>
        <w:rPr>
          <w:rFonts w:ascii="Arial" w:cs="Arial" w:eastAsia="Arial" w:hAnsi="Arial"/>
          <w:sz w:val="19"/>
          <w:szCs w:val="19"/>
          <w:color w:val="auto"/>
        </w:rPr>
        <w:t>Our sponsor, officers, directors, advisors and/or any of their affiliates anticipate that they may identify the shareholders with whom our sponsor, officers, directors, advisors or any of their affiliates may pursue privately negotiated purchases by either the shareholders contacting us directly or by our receipt of redemption requests submitted by shareholders following our mailing of proxy materials in connection with our initial business combination. To the extent that our sponsor, officers, directors, advisors or any of their affiliates enter into a private purchase, they would identify and contact only potential selling shareholders who have expressed their election to redeem their shares for a pro rata share of the trust account or vote against our initial business combination. Such persons would select the shareholders from whom to acquire shares based on the number of shares available, the negotiated price per share and such other factors as any such person may deem relevant at the time of purchase. The price per share paid in any such transaction may be different than the amount per share a public shareholder would receive if it elected to redeem its shares in connection with our initial business combination. Our sponsor, officers, directors, advisors or any of their affiliates will purchase shares only if such purchases comply with Regulation M under the Exchange Act and the other federal securities laws.</w:t>
      </w:r>
    </w:p>
    <w:p>
      <w:pPr>
        <w:spacing w:after="0" w:line="200" w:lineRule="exact"/>
        <w:rPr>
          <w:sz w:val="20"/>
          <w:szCs w:val="20"/>
          <w:color w:val="auto"/>
        </w:rPr>
      </w:pPr>
    </w:p>
    <w:p>
      <w:pPr>
        <w:spacing w:after="0" w:line="235" w:lineRule="exact"/>
        <w:rPr>
          <w:sz w:val="20"/>
          <w:szCs w:val="20"/>
          <w:color w:val="auto"/>
        </w:rPr>
      </w:pPr>
    </w:p>
    <w:p>
      <w:pPr>
        <w:ind w:firstLine="324"/>
        <w:spacing w:after="0" w:line="248" w:lineRule="auto"/>
        <w:rPr>
          <w:sz w:val="20"/>
          <w:szCs w:val="20"/>
          <w:color w:val="auto"/>
        </w:rPr>
      </w:pPr>
      <w:r>
        <w:rPr>
          <w:rFonts w:ascii="Arial" w:cs="Arial" w:eastAsia="Arial" w:hAnsi="Arial"/>
          <w:sz w:val="21"/>
          <w:szCs w:val="21"/>
          <w:color w:val="auto"/>
        </w:rPr>
        <w:t>Any purchases by our sponsor, officers, directors and/or any of their affiliates who are affiliated purchasers under Rule 10b-18 under the Exchange Act will be made only to the extent such purchases are able to be made in compliance with Rule 10b-18, which is a safe harbor from liability for manipulation under Section 9(a)(2) and Rule 10b-5 of the Exchange Act. Rule 10b-18 has certain technical requirements that must be complied with in order for the safe harbor to be available to the purchaser. Our sponsor, officers, directors and/or any of their affiliates will be restricted from making purchases of ordinary shares if such purchases would violate Section 9(a)(2) or Rule 10b-5 of the Exchange Act.</w:t>
      </w:r>
    </w:p>
    <w:p>
      <w:pPr>
        <w:sectPr>
          <w:pgSz w:w="11900" w:h="16838" w:orient="portrait"/>
          <w:cols w:equalWidth="0" w:num="1">
            <w:col w:w="11240"/>
          </w:cols>
          <w:pgMar w:left="320" w:top="122" w:right="339" w:bottom="656" w:gutter="0" w:footer="0" w:header="0"/>
        </w:sect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656" w:gutter="0" w:footer="0" w:header="0"/>
          <w:type w:val="continuous"/>
        </w:sectPr>
      </w:pPr>
    </w:p>
    <w:bookmarkStart w:id="14" w:name="page15"/>
    <w:bookmarkEnd w:id="14"/>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Redemption rights for public shareholders upon completion of our initial business combination</w:t>
      </w:r>
    </w:p>
    <w:p>
      <w:pPr>
        <w:spacing w:after="0" w:line="239" w:lineRule="exact"/>
        <w:rPr>
          <w:sz w:val="20"/>
          <w:szCs w:val="20"/>
          <w:color w:val="auto"/>
        </w:rPr>
      </w:pPr>
    </w:p>
    <w:p>
      <w:pPr>
        <w:ind w:right="40" w:firstLine="324"/>
        <w:spacing w:after="0" w:line="272" w:lineRule="auto"/>
        <w:rPr>
          <w:sz w:val="20"/>
          <w:szCs w:val="20"/>
          <w:color w:val="auto"/>
        </w:rPr>
      </w:pPr>
      <w:r>
        <w:rPr>
          <w:rFonts w:ascii="Arial" w:cs="Arial" w:eastAsia="Arial" w:hAnsi="Arial"/>
          <w:sz w:val="19"/>
          <w:szCs w:val="19"/>
          <w:color w:val="auto"/>
        </w:rPr>
        <w:t>We will provide our public shareholders with the opportunity to redeem all or a portion of their Class A ordinary shares upon the completion of our initial business combination at a per-share price, payable in cash, equal to the aggregate amount then on deposit in the trust account as of two business days prior to the consummation of the initial business combination, including interest (which interest shall be net of taxes payable), divided by the number of then issued and outstanding public shares, subject to the limitations described herein. At the completion of our initial business combination, we will be required to purchase any Class A ordinary shares properly delivered for redemption and not withdrawn. The amount in the trust account is initially anticipated to be $10.00 per public share. The per-share amount we will distribute to investors who properly redeem their shares will not be reduced by the deferred underwriting commissions we will pay to the underwriters. Our initial shareholders have entered into a letter agreement with us, pursuant to which they have agreed to waive their redemption rights with respect to their founder shares and any public shares held by them in connection with the completion of our initial business combination. Our directors and officers have also entered into the letter agreement, imposing similar obligations on them with respect to public shares acquired by them, if any. Permitted transferees of our initial shareholders, officers or directors will be subject to the same obligations.</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Manner of Conducting Redemptions</w:t>
      </w:r>
    </w:p>
    <w:p>
      <w:pPr>
        <w:spacing w:after="0" w:line="239" w:lineRule="exact"/>
        <w:rPr>
          <w:sz w:val="20"/>
          <w:szCs w:val="20"/>
          <w:color w:val="auto"/>
        </w:rPr>
      </w:pPr>
    </w:p>
    <w:p>
      <w:pPr>
        <w:ind w:firstLine="324"/>
        <w:spacing w:after="0" w:line="244" w:lineRule="auto"/>
        <w:rPr>
          <w:sz w:val="20"/>
          <w:szCs w:val="20"/>
          <w:color w:val="auto"/>
        </w:rPr>
      </w:pPr>
      <w:r>
        <w:rPr>
          <w:rFonts w:ascii="Arial" w:cs="Arial" w:eastAsia="Arial" w:hAnsi="Arial"/>
          <w:sz w:val="21"/>
          <w:szCs w:val="21"/>
          <w:color w:val="auto"/>
        </w:rPr>
        <w:t>We will provide our public shareholders with the opportunity to redeem all or a portion of their public shares upon the completion of our initial business combination either (1) in connection with a shareholder meeting called to approve the business combination or (2) by means of a tender offer. The decision as to whether we will seek shareholder approval of a proposed business combination or conduct a tender offer will be made by us, solely in our discretion, and will be based on a variety of factors such as the timing of the transaction and whether the terms of the transaction would require us to seek shareholder approval under applicable law or stock exchange listing requirement. Asset acquisitions and share purchases would not typically require shareholder approval while direct mergers with our company where we do not survive, amalgamations pursuant to a scheme of arrangement and any transactions where we issue more than 20% of our issued and outstanding ordinary shares or seek to amend our amended and restated memorandum and articles of association would typically require shareholder approval. We intend to conduct redemptions without a shareholder vote pursuant to the tender offer rules of the SEC unless shareholder approval is required by applicable law or stock exchange listing requirement or we choose to seek shareholder approval for business or other reasons.</w:t>
      </w:r>
    </w:p>
    <w:p>
      <w:pPr>
        <w:spacing w:after="0" w:line="213" w:lineRule="exact"/>
        <w:rPr>
          <w:sz w:val="20"/>
          <w:szCs w:val="20"/>
          <w:color w:val="auto"/>
        </w:rPr>
      </w:pPr>
    </w:p>
    <w:p>
      <w:pPr>
        <w:ind w:right="300" w:firstLine="324"/>
        <w:spacing w:after="0" w:line="250" w:lineRule="auto"/>
        <w:rPr>
          <w:sz w:val="20"/>
          <w:szCs w:val="20"/>
          <w:color w:val="auto"/>
        </w:rPr>
      </w:pPr>
      <w:r>
        <w:rPr>
          <w:rFonts w:ascii="Arial" w:cs="Arial" w:eastAsia="Arial" w:hAnsi="Arial"/>
          <w:sz w:val="22"/>
          <w:szCs w:val="22"/>
          <w:color w:val="auto"/>
        </w:rPr>
        <w:t>If a shareholder vote is not required and we do not decide to hold a shareholder vote for business or other reasons, we will, pursuant to our amended and restated memorandum and articles of association:</w:t>
      </w:r>
    </w:p>
    <w:p>
      <w:pPr>
        <w:spacing w:after="0" w:line="209"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conduct the redemptions pursuant to Rule 13e-4 and Regulation 14E of the Exchange Act, which regulate issuer tender offers; and</w:t>
      </w:r>
    </w:p>
    <w:p>
      <w:pPr>
        <w:spacing w:after="0" w:line="252" w:lineRule="exact"/>
        <w:rPr>
          <w:rFonts w:ascii="Arial" w:cs="Arial" w:eastAsia="Arial" w:hAnsi="Arial"/>
          <w:sz w:val="18"/>
          <w:szCs w:val="18"/>
          <w:color w:val="auto"/>
        </w:rPr>
      </w:pPr>
    </w:p>
    <w:p>
      <w:pPr>
        <w:ind w:left="660" w:right="180" w:hanging="328"/>
        <w:spacing w:after="0" w:line="263"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file tender offer documents with the SEC prior to completing our initial business combination which contain substantially the same financial and other information about the initial business combination and the redemption rights as is required under Regulation 14A of the Exchange Act, which regulates the solicitation of proxies.</w:t>
      </w:r>
    </w:p>
    <w:p>
      <w:pPr>
        <w:spacing w:after="0" w:line="203" w:lineRule="exact"/>
        <w:rPr>
          <w:sz w:val="20"/>
          <w:szCs w:val="20"/>
          <w:color w:val="auto"/>
        </w:rPr>
      </w:pPr>
    </w:p>
    <w:p>
      <w:pPr>
        <w:ind w:right="120" w:firstLine="324"/>
        <w:spacing w:after="0" w:line="257" w:lineRule="auto"/>
        <w:rPr>
          <w:sz w:val="20"/>
          <w:szCs w:val="20"/>
          <w:color w:val="auto"/>
        </w:rPr>
      </w:pPr>
      <w:r>
        <w:rPr>
          <w:rFonts w:ascii="Arial" w:cs="Arial" w:eastAsia="Arial" w:hAnsi="Arial"/>
          <w:sz w:val="21"/>
          <w:szCs w:val="21"/>
          <w:color w:val="auto"/>
        </w:rPr>
        <w:t>Upon the public announcement of our initial business combination, if we elect to conduct redemptions pursuant to the tender offer rules, we and our sponsor will terminate any plan established in accordance with Rule 10b5-1 to purchase our Class A ordinary shares in the open market, in order to comply with Rule 14e-5 under the Exchange Act.</w:t>
      </w:r>
    </w:p>
    <w:p>
      <w:pPr>
        <w:spacing w:after="0" w:line="196" w:lineRule="exact"/>
        <w:rPr>
          <w:sz w:val="20"/>
          <w:szCs w:val="20"/>
          <w:color w:val="auto"/>
        </w:rPr>
      </w:pPr>
    </w:p>
    <w:p>
      <w:pPr>
        <w:ind w:right="60" w:firstLine="324"/>
        <w:spacing w:after="0" w:line="274" w:lineRule="auto"/>
        <w:rPr>
          <w:sz w:val="20"/>
          <w:szCs w:val="20"/>
          <w:color w:val="auto"/>
        </w:rPr>
      </w:pPr>
      <w:r>
        <w:rPr>
          <w:rFonts w:ascii="Arial" w:cs="Arial" w:eastAsia="Arial" w:hAnsi="Arial"/>
          <w:sz w:val="19"/>
          <w:szCs w:val="19"/>
          <w:color w:val="auto"/>
        </w:rPr>
        <w:t>In the event we conduct redemptions pursuant to the tender offer rules, our offer to redeem will remain open for at least 20 business days, in accordance with Rule 14e-1(a) under the Exchange Act, and we will not be permitted to complete our initial business combination until the expiration of the tender offer period. In addition, the tender offer will be conditioned on public shareholders not tendering more than a specified number of public shares, which number will be based on the requirement that we may not redeem public shares in an amount that would cause our net tangible assets, after payment of the deferred underwriting commission, to be less than $5,000,001 upon completion of our initial business combination (so that we do not then become subject to the SEC’s “penny stock” rules), or any greater net tangible asset or cash requirement that may be contained in the agreement relating to our initial business combination. If public shareholders tender more shares than we have offered to purchase, we will withdraw the tender offer and not complete such initial business combination.</w:t>
      </w:r>
    </w:p>
    <w:p>
      <w:pPr>
        <w:sectPr>
          <w:pgSz w:w="11900" w:h="16838" w:orient="portrait"/>
          <w:cols w:equalWidth="0" w:num="1">
            <w:col w:w="11240"/>
          </w:cols>
          <w:pgMar w:left="320" w:top="122" w:right="339" w:bottom="1440" w:gutter="0" w:footer="0" w:header="0"/>
        </w:sect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5" w:name="page16"/>
    <w:bookmarkEnd w:id="15"/>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ind w:right="260" w:firstLine="324"/>
        <w:spacing w:after="0"/>
        <w:rPr>
          <w:sz w:val="20"/>
          <w:szCs w:val="20"/>
          <w:color w:val="auto"/>
        </w:rPr>
      </w:pPr>
      <w:r>
        <w:rPr>
          <w:rFonts w:ascii="Arial" w:cs="Arial" w:eastAsia="Arial" w:hAnsi="Arial"/>
          <w:sz w:val="22"/>
          <w:szCs w:val="22"/>
          <w:color w:val="auto"/>
        </w:rPr>
        <w:t>If, however, shareholder approval of the transaction is required by applicable law or stock exchange listing requirement, or we decide to obtain shareholder approval for business or other reasons, we will, pursuant to our amended and restated memorandum and articles of association:</w:t>
      </w:r>
    </w:p>
    <w:p>
      <w:pPr>
        <w:spacing w:after="0" w:line="220" w:lineRule="exact"/>
        <w:rPr>
          <w:sz w:val="20"/>
          <w:szCs w:val="20"/>
          <w:color w:val="auto"/>
        </w:rPr>
      </w:pPr>
    </w:p>
    <w:p>
      <w:pPr>
        <w:ind w:left="66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conduct the redemptions in conjunction with a proxy solicitation pursuant to Regulation 14A of the Exchange Act, which regulates the solicitation of proxies, and not pursuant to the tender offer rules; and</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file proxy materials with the SEC.</w:t>
      </w:r>
    </w:p>
    <w:p>
      <w:pPr>
        <w:spacing w:after="0" w:line="245" w:lineRule="exact"/>
        <w:rPr>
          <w:sz w:val="20"/>
          <w:szCs w:val="20"/>
          <w:color w:val="auto"/>
        </w:rPr>
      </w:pPr>
    </w:p>
    <w:p>
      <w:pPr>
        <w:ind w:right="160" w:firstLine="324"/>
        <w:spacing w:after="0" w:line="282" w:lineRule="auto"/>
        <w:rPr>
          <w:sz w:val="20"/>
          <w:szCs w:val="20"/>
          <w:color w:val="auto"/>
        </w:rPr>
      </w:pPr>
      <w:r>
        <w:rPr>
          <w:rFonts w:ascii="Arial" w:cs="Arial" w:eastAsia="Arial" w:hAnsi="Arial"/>
          <w:sz w:val="19"/>
          <w:szCs w:val="19"/>
          <w:color w:val="auto"/>
        </w:rPr>
        <w:t>We expect that a final proxy statement would be mailed to public shareholders at least 10 days prior to the shareholder vote. However, we expect that a draft proxy statement would be made available to such shareholders well in advance of such time, providing additional notice of redemption if we conduct redemptions in conjunction with a proxy solicitation. Although we are not required to do so, we currently intend to comply with the substantive and procedural requirements of Regulation 14A in connection with any shareholder vote even if we are not able to maintain our Nasdaq listing or Exchange Act registration.</w:t>
      </w:r>
    </w:p>
    <w:p>
      <w:pPr>
        <w:spacing w:after="0" w:line="174" w:lineRule="exact"/>
        <w:rPr>
          <w:sz w:val="20"/>
          <w:szCs w:val="20"/>
          <w:color w:val="auto"/>
        </w:rPr>
      </w:pPr>
    </w:p>
    <w:p>
      <w:pPr>
        <w:jc w:val="both"/>
        <w:ind w:right="120" w:firstLine="324"/>
        <w:spacing w:after="0"/>
        <w:rPr>
          <w:sz w:val="20"/>
          <w:szCs w:val="20"/>
          <w:color w:val="auto"/>
        </w:rPr>
      </w:pPr>
      <w:r>
        <w:rPr>
          <w:rFonts w:ascii="Arial" w:cs="Arial" w:eastAsia="Arial" w:hAnsi="Arial"/>
          <w:sz w:val="22"/>
          <w:szCs w:val="22"/>
          <w:color w:val="auto"/>
        </w:rPr>
        <w:t>In the event that we seek shareholder approval of our initial business combination, we will distribute proxy materials and, in connection therewith, provide our public shareholders with the redemption rights described above upon completion of the initial business combination.</w:t>
      </w:r>
    </w:p>
    <w:p>
      <w:pPr>
        <w:spacing w:after="0" w:line="213" w:lineRule="exact"/>
        <w:rPr>
          <w:sz w:val="20"/>
          <w:szCs w:val="20"/>
          <w:color w:val="auto"/>
        </w:rPr>
      </w:pPr>
    </w:p>
    <w:p>
      <w:pPr>
        <w:ind w:right="60" w:firstLine="324"/>
        <w:spacing w:after="0" w:line="272" w:lineRule="auto"/>
        <w:rPr>
          <w:sz w:val="20"/>
          <w:szCs w:val="20"/>
          <w:color w:val="auto"/>
        </w:rPr>
      </w:pPr>
      <w:r>
        <w:rPr>
          <w:rFonts w:ascii="Arial" w:cs="Arial" w:eastAsia="Arial" w:hAnsi="Arial"/>
          <w:sz w:val="19"/>
          <w:szCs w:val="19"/>
          <w:color w:val="auto"/>
        </w:rPr>
        <w:t>If we seek shareholder approval, we will complete our initial business combination only if we receive an ordinary resolution under Cayman Islands law, which requires the affirmative vote of a majority of the shareholders who attend and vote at a general meeting of the company. In such case, pursuant to the terms of a letter agreement entered into with us, our initial shareholders have agreed (and their permitted transferees will agree) to vote their founder shares and any public shares held by them in favor of our initial business combination. Our directors and officers also have agreed to vote in favor of our initial business combination with respect to public shares acquired by them, if any. We expect that at the time of any shareholder vote relating to our initial business combination, our initial shareholders and their permitted transferees will own at least 20% of our issued and outstanding ordinary shares entitled to vote thereon. Each public shareholder may elect to redeem their public shares without voting and, if they do vote, irrespective of whether they vote for or against the proposed business combination. In addition, our initial shareholders have entered into a letter agreement with us, pursuant to which they have agreed to waive their redemption rights with respect to their founder shares and any public shares held by them in connection with the completion of a business combination. Our directors and officers have also entered into the letter agreement, imposing similar obligations on them with respect to public shares acquired by them, if any.</w:t>
      </w:r>
    </w:p>
    <w:p>
      <w:pPr>
        <w:spacing w:after="0" w:line="183" w:lineRule="exact"/>
        <w:rPr>
          <w:sz w:val="20"/>
          <w:szCs w:val="20"/>
          <w:color w:val="auto"/>
        </w:rPr>
      </w:pPr>
    </w:p>
    <w:p>
      <w:pPr>
        <w:ind w:firstLine="324"/>
        <w:spacing w:after="0" w:line="244" w:lineRule="auto"/>
        <w:rPr>
          <w:sz w:val="20"/>
          <w:szCs w:val="20"/>
          <w:color w:val="auto"/>
        </w:rPr>
      </w:pPr>
      <w:r>
        <w:rPr>
          <w:rFonts w:ascii="Arial" w:cs="Arial" w:eastAsia="Arial" w:hAnsi="Arial"/>
          <w:sz w:val="21"/>
          <w:szCs w:val="21"/>
          <w:color w:val="auto"/>
        </w:rPr>
        <w:t>Our amended and restated memorandum and articles of association provides that in no event will we redeem our public shares in an amount that would cause our net tangible assets, after payment of the deferred underwriting commissions, to be less than $5,000,001 upon completion of our initial business combination (so that we do not then become subject to the SEC’s “penny stock” rules). Redemptions of our public shares may also be subject to a higher net tangible asset test or cash requirement pursuant to an agreement relating to our initial business combination. For example, the proposed business combination may require: (1) cash consideration to be paid to the target or its owners; (2) cash to be transferred to the target for working capital or other general corporate purposes; or (3) the retention of cash to satisfy other conditions in accordance with the terms of the proposed business combination. In the event the aggregate cash consideration we would be required to pay for all public shares that are validly submitted for redemption plus any amount required to satisfy cash conditions pursuant to the terms of the proposed business combination exceed the aggregate amount of cash available to us, we will not complete such business combination or redeem any shares in connection therewith, and all public shares submitted for redemption will be returned to the holders thereof.</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16" w:name="page17"/>
    <w:bookmarkEnd w:id="16"/>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Limitation on redemption upon completion of our initial business combination if we seek shareholder approval</w:t>
      </w:r>
    </w:p>
    <w:p>
      <w:pPr>
        <w:spacing w:after="0" w:line="251" w:lineRule="exact"/>
        <w:rPr>
          <w:sz w:val="20"/>
          <w:szCs w:val="20"/>
          <w:color w:val="auto"/>
        </w:rPr>
      </w:pPr>
    </w:p>
    <w:p>
      <w:pPr>
        <w:ind w:firstLine="324"/>
        <w:spacing w:after="0" w:line="271" w:lineRule="auto"/>
        <w:rPr>
          <w:sz w:val="20"/>
          <w:szCs w:val="20"/>
          <w:color w:val="auto"/>
        </w:rPr>
      </w:pPr>
      <w:r>
        <w:rPr>
          <w:rFonts w:ascii="Arial" w:cs="Arial" w:eastAsia="Arial" w:hAnsi="Arial"/>
          <w:sz w:val="19"/>
          <w:szCs w:val="19"/>
          <w:color w:val="auto"/>
        </w:rPr>
        <w:t>Notwithstanding the foregoing redemption rights, if we seek shareholder approval of our initial business combination and we do not conduct redemptions in connection with our initial business combination pursuant to the tender offer rules, our amended and restated memorandum and articles of association provides that a public shareholder, together with any affiliate of such shareholder or any other person with whom such shareholder is acting in concert or as a “group” (as defined under Section 13 of the Exchange Act), will be restricted from redeeming its shares with respect to Excess Shares without our prior consent. We believe this restriction will discourage shareholders from accumulating large blocks of shares, and subsequent attempts by such holders to use their ability to exercise their redemption rights against a proposed business combination as a means to force us or our sponsor or its affiliates to purchase their shares at a significant premium to the then-current market price or on other undesirable terms. Absent this provision, a public shareholder holding more than an aggregate of 15% of the shares sold in our initial public offering could threaten to exercise its redemption rights if such holder’s shares are not purchased by us or our sponsor or its affiliates at a premium to the then-current market price or on other undesirable terms. By limiting our shareholders’ ability to redeem to no more than 15% of the shares sold in our initial public offering, we believe we will limit the ability of a small group of shareholders to unreasonably attempt to block our ability to complete our initial business combination, particularly in connection with a business combination with a target that requires as a closing condition that we have a minimum net worth or a certain amount of cash. However, we would not be restricting our shareholders’ ability to vote all of their shares (including Excess Shares) for or against our initial business combination.</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Tendering share certificates in connection with a tender offer or redemption rights</w:t>
      </w:r>
    </w:p>
    <w:p>
      <w:pPr>
        <w:spacing w:after="0" w:line="239" w:lineRule="exact"/>
        <w:rPr>
          <w:sz w:val="20"/>
          <w:szCs w:val="20"/>
          <w:color w:val="auto"/>
        </w:rPr>
      </w:pPr>
    </w:p>
    <w:p>
      <w:pPr>
        <w:ind w:right="100" w:firstLine="324"/>
        <w:spacing w:after="0" w:line="271" w:lineRule="auto"/>
        <w:rPr>
          <w:sz w:val="20"/>
          <w:szCs w:val="20"/>
          <w:color w:val="auto"/>
        </w:rPr>
      </w:pPr>
      <w:r>
        <w:rPr>
          <w:rFonts w:ascii="Arial" w:cs="Arial" w:eastAsia="Arial" w:hAnsi="Arial"/>
          <w:sz w:val="19"/>
          <w:szCs w:val="19"/>
          <w:color w:val="auto"/>
        </w:rPr>
        <w:t>We may require our public shareholders seeking to exercise their redemption rights, whether they are record holders or hold their shares in “street name,” to either tender their certificates to our transfer agent prior to the date set forth in the tender offer documents or proxy materials mailed to such holders, or up to two business days prior to the vote on the proposal to approve our initial business combination in the event we distribute proxy materials, or to deliver their shares to the transfer agent electronically using The Depository Trust Company’s DWAC (Deposit/Withdrawal At Custodian) System at the holder’s option, rather than simply voting against the initial business combination. The tender offer or proxy materials, as applicable, that we will furnish to holders of our public shares in connection with our initial business combination will indicate whether we are requiring public shareholders to satisfy such delivery requirements. Accordingly, a public shareholder would have from the time we send out our tender offer materials until the close of the tender offer period, or up to two days prior to the vote on the business combination if we distribute proxy materials, as applicable, to tender its shares if it wishes to seek to exercise its redemption rights. Pursuant to the tender offer rules, the tender offer period will be not less than 20 business days and, in the case of a shareholder vote, a final proxy statement would be mailed to public shareholders at least 10 days prior to the shareholder vote. However, we expect that a draft proxy statement would be made available to such shareholders well in advance of such time, providing additional notice of redemption if we conduct redemptions in conjunction with a proxy solicitation. Given the relatively short exercise period, it is advisable for shareholders to use electronic delivery of their public shares.</w:t>
      </w:r>
    </w:p>
    <w:p>
      <w:pPr>
        <w:spacing w:after="0" w:line="187" w:lineRule="exact"/>
        <w:rPr>
          <w:sz w:val="20"/>
          <w:szCs w:val="20"/>
          <w:color w:val="auto"/>
        </w:rPr>
      </w:pPr>
    </w:p>
    <w:p>
      <w:pPr>
        <w:ind w:right="100" w:firstLine="324"/>
        <w:spacing w:after="0" w:line="282" w:lineRule="auto"/>
        <w:rPr>
          <w:sz w:val="20"/>
          <w:szCs w:val="20"/>
          <w:color w:val="auto"/>
        </w:rPr>
      </w:pPr>
      <w:r>
        <w:rPr>
          <w:rFonts w:ascii="Arial" w:cs="Arial" w:eastAsia="Arial" w:hAnsi="Arial"/>
          <w:sz w:val="19"/>
          <w:szCs w:val="19"/>
          <w:color w:val="auto"/>
        </w:rPr>
        <w:t>There is a nominal cost associated with the above-referenced tendering process and the act of certificating the shares or delivering them through the DWAC System. The transfer agent will typically charge the tendering broker $80.00 and it would be up to the broker whether or not to pass this cost on to the redeeming holder. However, this fee would be incurred regardless of whether or not we require holders seeking to exercise redemption rights to tender their shares. The need to deliver shares is a requirement of exercising redemption rights regardless of the timing of when such delivery must be effectuated.</w:t>
      </w:r>
    </w:p>
    <w:p>
      <w:pPr>
        <w:spacing w:after="0" w:line="174" w:lineRule="exact"/>
        <w:rPr>
          <w:sz w:val="20"/>
          <w:szCs w:val="20"/>
          <w:color w:val="auto"/>
        </w:rPr>
      </w:pPr>
    </w:p>
    <w:p>
      <w:pPr>
        <w:ind w:firstLine="324"/>
        <w:spacing w:after="0" w:line="272" w:lineRule="auto"/>
        <w:rPr>
          <w:sz w:val="20"/>
          <w:szCs w:val="20"/>
          <w:color w:val="auto"/>
        </w:rPr>
      </w:pPr>
      <w:r>
        <w:rPr>
          <w:rFonts w:ascii="Arial" w:cs="Arial" w:eastAsia="Arial" w:hAnsi="Arial"/>
          <w:sz w:val="19"/>
          <w:szCs w:val="19"/>
          <w:color w:val="auto"/>
        </w:rPr>
        <w:t>The foregoing is different from the procedures used by many blank check companies. In order to perfect redemption rights in connection with their business combinations, many blank check companies would distribute proxy materials for the shareholders’ vote on an initial business combination, and a holder could simply vote against a proposed business combination and check a box on the proxy card indicating such holder was seeking to exercise his or her redemption rights. After the business combination was approved, the company would contact such shareholder to arrange for him or her to deliver his or her certificate to verify ownership. As a result, the shareholder then had an “option window” after the completion of our initial business combination during which he or she could monitor the price of the company’s shares in the market. If the price rose above the redemption price, he or she could sell his or her shares in the open market before actually delivering his or her shares to the company for cancellation. As a result, the redemption rights, to which shareholders were aware they needed to commit before the shareholder meeting, would become “option” rights surviving past the completion of our initial business combination until the redeeming holder delivered its certificate. The requirement for physical or electronic delivery prior to the meeting ensures that a redeeming holder’s election to redeem is irrevocable once the business combination is approved.</w:t>
      </w:r>
    </w:p>
    <w:p>
      <w:pPr>
        <w:sectPr>
          <w:pgSz w:w="11900" w:h="16838" w:orient="portrait"/>
          <w:cols w:equalWidth="0" w:num="1">
            <w:col w:w="11240"/>
          </w:cols>
          <w:pgMar w:left="320" w:top="122" w:right="339" w:bottom="1440" w:gutter="0" w:footer="0" w:header="0"/>
        </w:sectPr>
      </w:pP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7" w:name="page18"/>
    <w:bookmarkEnd w:id="17"/>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ind w:right="280" w:firstLine="324"/>
        <w:spacing w:after="0" w:line="279" w:lineRule="auto"/>
        <w:rPr>
          <w:sz w:val="20"/>
          <w:szCs w:val="20"/>
          <w:color w:val="auto"/>
        </w:rPr>
      </w:pPr>
      <w:r>
        <w:rPr>
          <w:rFonts w:ascii="Arial" w:cs="Arial" w:eastAsia="Arial" w:hAnsi="Arial"/>
          <w:sz w:val="19"/>
          <w:szCs w:val="19"/>
          <w:color w:val="auto"/>
        </w:rPr>
        <w:t>Any request to redeem such shares, once made, may be withdrawn at any time up to the date set forth in the tender offer materials or the date of the shareholder meeting set forth in our proxy materials, as applicable. Furthermore, if a holder of a public share delivered its certificate in connection with an election of redemption rights and subsequently decides prior to the applicable date not to elect to exercise such rights, such holder may simply request that the transfer agent return the certificate (physically or electronically). It is anticipated that the funds to be distributed to holders of our public shares electing to redeem their shares will be distributed promptly after the completion of our initial business combination.</w:t>
      </w:r>
    </w:p>
    <w:p>
      <w:pPr>
        <w:spacing w:after="0" w:line="177" w:lineRule="exact"/>
        <w:rPr>
          <w:sz w:val="20"/>
          <w:szCs w:val="20"/>
          <w:color w:val="auto"/>
        </w:rPr>
      </w:pPr>
    </w:p>
    <w:p>
      <w:pPr>
        <w:ind w:right="80" w:firstLine="324"/>
        <w:spacing w:after="0" w:line="297" w:lineRule="auto"/>
        <w:rPr>
          <w:sz w:val="20"/>
          <w:szCs w:val="20"/>
          <w:color w:val="auto"/>
        </w:rPr>
      </w:pPr>
      <w:r>
        <w:rPr>
          <w:rFonts w:ascii="Arial" w:cs="Arial" w:eastAsia="Arial" w:hAnsi="Arial"/>
          <w:sz w:val="19"/>
          <w:szCs w:val="19"/>
          <w:color w:val="auto"/>
        </w:rPr>
        <w:t>If our initial business combination is not approved or completed for any reason, then our public shareholders who elected to exercise their redemption rights would not be entitled to redeem their shares for the applicable pro rata share of the trust account. In such case, we will promptly return any certificates delivered by public holders who elected to redeem their shares.</w:t>
      </w:r>
    </w:p>
    <w:p>
      <w:pPr>
        <w:spacing w:after="0" w:line="161" w:lineRule="exact"/>
        <w:rPr>
          <w:sz w:val="20"/>
          <w:szCs w:val="20"/>
          <w:color w:val="auto"/>
        </w:rPr>
      </w:pPr>
    </w:p>
    <w:p>
      <w:pPr>
        <w:ind w:right="380" w:firstLine="324"/>
        <w:spacing w:after="0" w:line="250" w:lineRule="auto"/>
        <w:rPr>
          <w:sz w:val="20"/>
          <w:szCs w:val="20"/>
          <w:color w:val="auto"/>
        </w:rPr>
      </w:pPr>
      <w:r>
        <w:rPr>
          <w:rFonts w:ascii="Arial" w:cs="Arial" w:eastAsia="Arial" w:hAnsi="Arial"/>
          <w:sz w:val="22"/>
          <w:szCs w:val="22"/>
          <w:color w:val="auto"/>
        </w:rPr>
        <w:t>If our initial proposed business combination is not completed, we may continue to try to complete a business combination with a different target until 18 months from the closing of our initial public offering.</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Redemption of public shares and liquidation if no initial business combination</w:t>
      </w:r>
    </w:p>
    <w:p>
      <w:pPr>
        <w:spacing w:after="0" w:line="239" w:lineRule="exact"/>
        <w:rPr>
          <w:sz w:val="20"/>
          <w:szCs w:val="20"/>
          <w:color w:val="auto"/>
        </w:rPr>
      </w:pPr>
    </w:p>
    <w:p>
      <w:pPr>
        <w:ind w:firstLine="324"/>
        <w:spacing w:after="0" w:line="272" w:lineRule="auto"/>
        <w:rPr>
          <w:sz w:val="20"/>
          <w:szCs w:val="20"/>
          <w:color w:val="auto"/>
        </w:rPr>
      </w:pPr>
      <w:r>
        <w:rPr>
          <w:rFonts w:ascii="Arial" w:cs="Arial" w:eastAsia="Arial" w:hAnsi="Arial"/>
          <w:sz w:val="19"/>
          <w:szCs w:val="19"/>
          <w:color w:val="auto"/>
        </w:rPr>
        <w:t>Our sponsor, officers and directors have agreed that we will have only 18 months from the closing of our initial public offering to complete our initial business combination. If we are unable to complete our initial business combination within such 18-month period, we will: (1) cease all operations except for the purpose of winding up; (2) as promptly as reasonably possible but not more than 10 business days thereafter, redeem the public shares, at a per-share price, payable in cash, equal to the aggregate amount then on deposit in the trust account, including interest (less up to $100,000 of interest to pay dissolution expenses and which interest shall be net of taxes payable), divided by the number of then issued and outstanding public shares, which redemption will completely extinguish public shareholders’ rights as shareholders (including the right to receive further liquidating distributions, if any); and (3) as promptly as reasonably possible following such redemption, subject to the approval of our remaining shareholders and our board of directors, dissolve and liquidate, subject in each case to our obligations under Cayman Islands law to provide for claims of creditors and the requirements of other applicable law. There will be no redemption rights or liquidating distributions with respect to our warrants, which will expire worthless if we fail to complete our initial business combination within the 18-month time period.</w:t>
      </w:r>
    </w:p>
    <w:p>
      <w:pPr>
        <w:spacing w:after="0" w:line="200" w:lineRule="exact"/>
        <w:rPr>
          <w:sz w:val="20"/>
          <w:szCs w:val="20"/>
          <w:color w:val="auto"/>
        </w:rPr>
      </w:pPr>
    </w:p>
    <w:p>
      <w:pPr>
        <w:spacing w:after="0" w:line="235" w:lineRule="exact"/>
        <w:rPr>
          <w:sz w:val="20"/>
          <w:szCs w:val="20"/>
          <w:color w:val="auto"/>
        </w:rPr>
      </w:pPr>
    </w:p>
    <w:p>
      <w:pPr>
        <w:ind w:right="320" w:firstLine="324"/>
        <w:spacing w:after="0" w:line="249" w:lineRule="auto"/>
        <w:rPr>
          <w:sz w:val="20"/>
          <w:szCs w:val="20"/>
          <w:color w:val="auto"/>
        </w:rPr>
      </w:pPr>
      <w:r>
        <w:rPr>
          <w:rFonts w:ascii="Arial" w:cs="Arial" w:eastAsia="Arial" w:hAnsi="Arial"/>
          <w:sz w:val="21"/>
          <w:szCs w:val="21"/>
          <w:color w:val="auto"/>
        </w:rPr>
        <w:t>Our initial shareholders have entered into a letter agreement with us, pursuant to which they have waived their rights to liquidating distributions from the trust account with respect to their founder shares if we fail to complete our initial business combination within 18 months from the closing of our initial public officer. However, if our initial shareholders acquire public shares, they will be entitled to liquidating distributions from the trust account with respect to such public shares if we fail to complete our initial business combination within the allotted 18-month time frame.</w:t>
      </w:r>
    </w:p>
    <w:p>
      <w:pPr>
        <w:spacing w:after="0" w:line="205" w:lineRule="exact"/>
        <w:rPr>
          <w:sz w:val="20"/>
          <w:szCs w:val="20"/>
          <w:color w:val="auto"/>
        </w:rPr>
      </w:pPr>
    </w:p>
    <w:p>
      <w:pPr>
        <w:ind w:firstLine="324"/>
        <w:spacing w:after="0" w:line="273" w:lineRule="auto"/>
        <w:rPr>
          <w:sz w:val="20"/>
          <w:szCs w:val="20"/>
          <w:color w:val="auto"/>
        </w:rPr>
      </w:pPr>
      <w:r>
        <w:rPr>
          <w:rFonts w:ascii="Arial" w:cs="Arial" w:eastAsia="Arial" w:hAnsi="Arial"/>
          <w:sz w:val="19"/>
          <w:szCs w:val="19"/>
          <w:color w:val="auto"/>
        </w:rPr>
        <w:t>Our sponsor, officers and directors have agreed, pursuant to a written agreement with us, that they will not propose any amendment to our amended and restated memorandum and articles of association (A) to modify the substance or timing of our obligation to redeem 100% of our public shares if we do not complete our initial business combination within 18 months from the closing of our initial public offering or (B) with respect to any other provision relating to shareholders’ rights or pre-initial business combination activity, unless we provide our public shareholders with the opportunity to redeem their public shares upon approval of any such amendment at a per-share price, payable in cash, equal to the aggregate amount then on deposit in the trust account, including interest (which interest shall be net of taxes payable), divided by the number of then issued and outstanding public shares. However, we may not redeem our public shares in an amount that would cause our net tangible assets, after payment of the deferred underwriting commissions, to be less than $5,000,001 upon completion of our initial business combination (so that we do not then become subject to the SEC’s “penny stock” rules).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8" w:name="page19"/>
    <w:bookmarkEnd w:id="18"/>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ind w:right="40" w:firstLine="324"/>
        <w:spacing w:after="0" w:line="248" w:lineRule="auto"/>
        <w:rPr>
          <w:sz w:val="20"/>
          <w:szCs w:val="20"/>
          <w:color w:val="auto"/>
        </w:rPr>
      </w:pPr>
      <w:r>
        <w:rPr>
          <w:rFonts w:ascii="Arial" w:cs="Arial" w:eastAsia="Arial" w:hAnsi="Arial"/>
          <w:sz w:val="21"/>
          <w:szCs w:val="21"/>
          <w:color w:val="auto"/>
        </w:rPr>
        <w:t>We expect that all costs and expenses associated with implementing our plan of dissolution, as well as payments to any creditors, will be funded from amounts remaining out of the $1,000,000 of proceeds held outside the trust account, although we cannot assure you that there will be sufficient funds for such purpose. However, if those funds are not sufficient to cover the costs and expenses associated with implementing our plan of dissolution, to the extent that there is any interest accrued in the trust account not required to pay taxes, we may request the trustee to release to us an additional amount of up to $100,000 of such accrued interest to pay those costs and expenses.</w:t>
      </w:r>
    </w:p>
    <w:p>
      <w:pPr>
        <w:spacing w:after="0" w:line="204" w:lineRule="exact"/>
        <w:rPr>
          <w:sz w:val="20"/>
          <w:szCs w:val="20"/>
          <w:color w:val="auto"/>
        </w:rPr>
      </w:pPr>
    </w:p>
    <w:p>
      <w:pPr>
        <w:ind w:right="80" w:firstLine="324"/>
        <w:spacing w:after="0" w:line="277" w:lineRule="auto"/>
        <w:rPr>
          <w:sz w:val="20"/>
          <w:szCs w:val="20"/>
          <w:color w:val="auto"/>
        </w:rPr>
      </w:pPr>
      <w:r>
        <w:rPr>
          <w:rFonts w:ascii="Arial" w:cs="Arial" w:eastAsia="Arial" w:hAnsi="Arial"/>
          <w:sz w:val="19"/>
          <w:szCs w:val="19"/>
          <w:color w:val="auto"/>
        </w:rPr>
        <w:t>If we were to expend all of the net proceeds of our initial public offering and the sale of the private placement warrants, other than the proceeds deposited in the trust account, and without taking into account interest, if any, earned on the trust account, the per-share redemption amount received by shareholders upon our dissolution would be approximately $10.00. The proceeds deposited in the trust account could, however, become subject to the claims of our creditors which would have higher priority than the claims of our public shareholders. We cannot assure you that the actual per-share redemption amount received by shareholders will not be substantially less than $10.00. While we intend to pay such amounts, if any, we cannot assure you that we will have funds sufficient to pay or provide for all creditors’ claims.</w:t>
      </w:r>
    </w:p>
    <w:p>
      <w:pPr>
        <w:spacing w:after="0" w:line="179" w:lineRule="exact"/>
        <w:rPr>
          <w:sz w:val="20"/>
          <w:szCs w:val="20"/>
          <w:color w:val="auto"/>
        </w:rPr>
      </w:pPr>
    </w:p>
    <w:p>
      <w:pPr>
        <w:ind w:firstLine="324"/>
        <w:spacing w:after="0" w:line="268" w:lineRule="auto"/>
        <w:rPr>
          <w:sz w:val="20"/>
          <w:szCs w:val="20"/>
          <w:color w:val="auto"/>
        </w:rPr>
      </w:pPr>
      <w:r>
        <w:rPr>
          <w:rFonts w:ascii="Arial" w:cs="Arial" w:eastAsia="Arial" w:hAnsi="Arial"/>
          <w:sz w:val="19"/>
          <w:szCs w:val="19"/>
          <w:color w:val="auto"/>
        </w:rPr>
        <w:t>Although we will seek to have all vendors, service providers (other than our independent auditors), prospective target businesses or other entities with which we do business execute agreements with us waiving any right, title, interest or claim of any kind in or to any monies held in the trust account for the benefit of our public shareholders, there is no guarantee that they will execute such agreements or even if they execute such agreements that they would be prevented from bringing claims against the trust account including but not limited to fraudulent inducement, breach of fiduciary responsibility or other similar claims, as well as claims challenging the enforceability of the waiver, in each case in order to gain an advantage with respect to a claim against our assets, including the funds held in the trust account. If any third party refuses to execute an agreement waiving such claims to the monies held in the trust account, our management will perform an analysis of the alternatives available to it and will enter into an agreement with a third party that has not executed a waiver only if management believes that such third party’s engagement would be significantly more beneficial to us than any alternative. Examples of possible instances where we may engage a third party that refuses to execute a waiver include the engagement of a third-party consultant whose particular expertise or skills are believed by management to be significantly superior to those of other consultants that would agree to execute a waiver or in cases where we are unable to find a service provider willing to execute a waiver. In addition, there is no guarantee that such entities will agree to waive any claims they may have in the future as a result of, or arising out of, any negotiations, contracts or agreements with us and will not seek recourse against the trust account for any reason. For example, Marcum LLP, our independent registered public accounting firm and the underwriters of our initial public offering will not execute agreements with us waiving such claims to the monies held in the trust account. Upon redemption of our public shares, if we are unable to complete our initial business combination within the prescribed time frame, or upon the exercise of a redemption right in connection with our initial business combination, we will be required to provide for payment of claims of creditors that were not waived that may be brought against us within the 10 years following redemption. Our sponsor has agreed that it will be liable to us if and to the extent any claims by a third party (other than our independent auditors) for services rendered or products sold to us, or a prospective target business with which we have discussed entering into a transaction agreement, reduce the amount of funds in the trust account to below (1) $10.00 per public share or (2) such lesser amount per public share held in the trust account as of the date of the liquidation of the trust account, due to reductions in the value of the trust assets, in each case net of the amount of interest which may be withdrawn to pay taxes, except as to any claims by a third party who executed a waiver of any and all rights to seek access to the trust account and except as to any claims under our indemnity of the underwriters of our initial public offering against certain liabilities, including liabilities under the Securities Act. In the event that an executed waiver is deemed to be unenforceable against a third party, then our sponsor will not be responsible to the extent of any liability for such third-party claims. We have not independently verified whether our sponsor has sufficient funds to satisfy its indemnity obligations and believe that our sponsor’s only assets are securities of our company and, therefore, our sponsor may not be able to satisfy those obligations. We have not asked our sponsor to reserve for such obligations. None of our other officers will indemnify us for claims by third parties including, without limitation, claims by vendors and prospective target businesses.</w:t>
      </w:r>
    </w:p>
    <w:p>
      <w:pPr>
        <w:spacing w:after="0" w:line="200" w:lineRule="exact"/>
        <w:rPr>
          <w:sz w:val="20"/>
          <w:szCs w:val="20"/>
          <w:color w:val="auto"/>
        </w:rPr>
      </w:pPr>
    </w:p>
    <w:p>
      <w:pPr>
        <w:spacing w:after="0" w:line="256" w:lineRule="exact"/>
        <w:rPr>
          <w:sz w:val="20"/>
          <w:szCs w:val="20"/>
          <w:color w:val="auto"/>
        </w:rPr>
      </w:pPr>
    </w:p>
    <w:p>
      <w:pPr>
        <w:ind w:firstLine="324"/>
        <w:spacing w:after="0" w:line="274" w:lineRule="auto"/>
        <w:rPr>
          <w:sz w:val="20"/>
          <w:szCs w:val="20"/>
          <w:color w:val="auto"/>
        </w:rPr>
      </w:pPr>
      <w:r>
        <w:rPr>
          <w:rFonts w:ascii="Arial" w:cs="Arial" w:eastAsia="Arial" w:hAnsi="Arial"/>
          <w:sz w:val="19"/>
          <w:szCs w:val="19"/>
          <w:color w:val="auto"/>
        </w:rPr>
        <w:t>In the event that the proceeds in the trust account are reduced below (1) $10.00 per public share or (2) such lesser amount per public share held in the trust account as of the date of the liquidation of the trust account, due to reductions in the value of the trust assets, in each case net of the amount of interest which may be withdrawn to pay taxes, and our sponsor asserts that it is unable to satisfy its indemnification obligations or that it has no indemnification obligations related to a particular claim, our independent directors would determine whether to take legal action against our sponsor to enforce its indemnification obligations. While we currently expect that our independent directors would take legal action on our behalf against our sponsor to enforce its indemnification obligations to us, it is possible that our independent directors in exercising their business judgment may choose not to do so in any particular instance. Accordingly, we cannot assure you that due to claims of creditors the actual value of the per-share redemption price will not be substantially less than $10.00 per share.</w:t>
      </w:r>
    </w:p>
    <w:p>
      <w:pPr>
        <w:sectPr>
          <w:pgSz w:w="11900" w:h="16838" w:orient="portrait"/>
          <w:cols w:equalWidth="0" w:num="1">
            <w:col w:w="11240"/>
          </w:cols>
          <w:pgMar w:left="320" w:top="122" w:right="339" w:bottom="1440" w:gutter="0" w:footer="0" w:header="0"/>
        </w:sect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9" w:name="page20"/>
    <w:bookmarkEnd w:id="19"/>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ind w:firstLine="324"/>
        <w:spacing w:after="0" w:line="274" w:lineRule="auto"/>
        <w:rPr>
          <w:sz w:val="20"/>
          <w:szCs w:val="20"/>
          <w:color w:val="auto"/>
        </w:rPr>
      </w:pPr>
      <w:r>
        <w:rPr>
          <w:rFonts w:ascii="Arial" w:cs="Arial" w:eastAsia="Arial" w:hAnsi="Arial"/>
          <w:sz w:val="19"/>
          <w:szCs w:val="19"/>
          <w:color w:val="auto"/>
        </w:rPr>
        <w:t>We will seek to reduce the possibility that our sponsor will have to indemnify the trust account due to claims of creditors by endeavoring to have all vendors, service providers (other than our independent auditors), prospective target businesses or other entities with which we do business execute agreements with us waiving any right, title, interest or claim of any kind in or to monies held in the trust account. Our sponsor will also not be liable as to any claims under our indemnity of the underwriters of our initial public offering against certain liabilities, including liabilities under the Securities Act. We have access to up to $1,000,000 from the proceeds of our initial public offering and the sale of the private placement warrants, with which to pay any such potential claims (including costs and expenses incurred in connection with our liquidation, currently estimated to be no more than approximately $100,000). In the event that we liquidate and it is subsequently determined that the reserve for claims and liabilities is insufficient, shareholders who received funds from our trust account could be liable for claims made by creditors.</w:t>
      </w:r>
    </w:p>
    <w:p>
      <w:pPr>
        <w:spacing w:after="0" w:line="185" w:lineRule="exact"/>
        <w:rPr>
          <w:sz w:val="20"/>
          <w:szCs w:val="20"/>
          <w:color w:val="auto"/>
        </w:rPr>
      </w:pPr>
    </w:p>
    <w:p>
      <w:pPr>
        <w:ind w:right="40" w:firstLine="324"/>
        <w:spacing w:after="0" w:line="273" w:lineRule="auto"/>
        <w:rPr>
          <w:sz w:val="20"/>
          <w:szCs w:val="20"/>
          <w:color w:val="auto"/>
        </w:rPr>
      </w:pPr>
      <w:r>
        <w:rPr>
          <w:rFonts w:ascii="Arial" w:cs="Arial" w:eastAsia="Arial" w:hAnsi="Arial"/>
          <w:sz w:val="19"/>
          <w:szCs w:val="19"/>
          <w:color w:val="auto"/>
        </w:rPr>
        <w:t>If we file a winding-up or bankruptcy petition or an involuntary winding-up or bankruptcy petition is filed against us that is not dismissed, the proceeds held in the trust account could be subject to applicable insolvency law, and may be included in our insolvency estate and subject to the claims of third parties with priority over the claims of our shareholders. To the extent any insolvency claims deplete the trust account, we cannot assure you we will be able to return $10.00 per share to our public shareholders. Additionally, if we file a winding-up or bankruptcy petition or an involuntary winding-up or bankruptcy petition is filed against us that is not dismissed, any distributions received by shareholders could be viewed under applicable debtor/creditor and/or insolvency laws as a voidable performance. As a result, a bankruptcy court could seek to recover some or all amounts received by our shareholders. Furthermore, our board may be viewed as having breached its fiduciary duty to our creditors and/or may have acted in bad faith, and thereby exposing itself and our company to claims of punitive damages, by paying public shareholders from the trust account prior to addressing the claims of creditors. We cannot assure you that claims will not be brought against us for these reasons.</w:t>
      </w:r>
    </w:p>
    <w:p>
      <w:pPr>
        <w:spacing w:after="0" w:line="182" w:lineRule="exact"/>
        <w:rPr>
          <w:sz w:val="20"/>
          <w:szCs w:val="20"/>
          <w:color w:val="auto"/>
        </w:rPr>
      </w:pPr>
    </w:p>
    <w:p>
      <w:pPr>
        <w:ind w:right="160" w:firstLine="324"/>
        <w:spacing w:after="0" w:line="272" w:lineRule="auto"/>
        <w:rPr>
          <w:sz w:val="20"/>
          <w:szCs w:val="20"/>
          <w:color w:val="auto"/>
        </w:rPr>
      </w:pPr>
      <w:r>
        <w:rPr>
          <w:rFonts w:ascii="Arial" w:cs="Arial" w:eastAsia="Arial" w:hAnsi="Arial"/>
          <w:sz w:val="19"/>
          <w:szCs w:val="19"/>
          <w:color w:val="auto"/>
        </w:rPr>
        <w:t>Our public shareholders will be entitled to receive funds from the trust account only upon the earliest to occur of: (1) the completion of our initial business combination, and then only in connection with those Class A ordinary shares that such shareholder properly elected to redeem, subject to the limitations described herein, (2) the redemption of any public shares properly submitted in connection with a shareholder vote to amend our amended and restated memorandum and articles of association (A) to modify the substance or timing of our obligation to redeem 100% of our public shares if we do not complete our initial business combination within 18 months from the closing of our initial public offering or (B) with respect to any other provision relating to shareholders’ rights or pre-initial business combination activity and (3) the redemption of our public shares if we are unable to complete our initial business combination within 18 months from the closing of our initial public offering, subject to applicable law and as further described herein. In no other circumstances will a shareholder have any right or interest of any kind to or in the trust account. In the event we seek shareholder approval in connection with our initial business combination, a shareholder’s voting in connection with our initial business combination alone will not result in a shareholder’s redeeming its shares to us for an applicable pro rata share of the trust account. Such shareholder must have also exercised its redemption rights described above.</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Amended and Restated Memorandum and Articles of Association</w:t>
      </w:r>
    </w:p>
    <w:p>
      <w:pPr>
        <w:spacing w:after="0" w:line="239" w:lineRule="exact"/>
        <w:rPr>
          <w:sz w:val="20"/>
          <w:szCs w:val="20"/>
          <w:color w:val="auto"/>
        </w:rPr>
      </w:pPr>
    </w:p>
    <w:p>
      <w:pPr>
        <w:ind w:right="80" w:firstLine="324"/>
        <w:spacing w:after="0" w:line="270" w:lineRule="auto"/>
        <w:rPr>
          <w:sz w:val="20"/>
          <w:szCs w:val="20"/>
          <w:color w:val="auto"/>
        </w:rPr>
      </w:pPr>
      <w:r>
        <w:rPr>
          <w:rFonts w:ascii="Arial" w:cs="Arial" w:eastAsia="Arial" w:hAnsi="Arial"/>
          <w:sz w:val="19"/>
          <w:szCs w:val="19"/>
          <w:color w:val="auto"/>
        </w:rPr>
        <w:t>Our amended and restated memorandum and articles of association contains certain requirements and restrictions relating to our initial public offering that apply to us until the completion of our initial business combination. Our amended and restated memorandum and articles of association contains a provision which provides that, if we seek to amend our amended and restated memorandum and articles of association (A) to modify the substance or timing of our obligation to redeem 100% of our public shares if we do not complete our initial business combination within 18 months from the closing of our initial public offering or</w:t>
      </w:r>
    </w:p>
    <w:p>
      <w:pPr>
        <w:spacing w:after="0" w:line="4" w:lineRule="exact"/>
        <w:rPr>
          <w:sz w:val="20"/>
          <w:szCs w:val="20"/>
          <w:color w:val="auto"/>
        </w:rPr>
      </w:pPr>
    </w:p>
    <w:p>
      <w:pPr>
        <w:ind w:right="680" w:firstLine="8"/>
        <w:spacing w:after="0" w:line="287" w:lineRule="auto"/>
        <w:tabs>
          <w:tab w:leader="none" w:pos="342" w:val="left"/>
        </w:tabs>
        <w:numPr>
          <w:ilvl w:val="0"/>
          <w:numId w:val="10"/>
        </w:numPr>
        <w:rPr>
          <w:rFonts w:ascii="Arial" w:cs="Arial" w:eastAsia="Arial" w:hAnsi="Arial"/>
          <w:sz w:val="19"/>
          <w:szCs w:val="19"/>
          <w:color w:val="auto"/>
        </w:rPr>
      </w:pPr>
      <w:r>
        <w:rPr>
          <w:rFonts w:ascii="Arial" w:cs="Arial" w:eastAsia="Arial" w:hAnsi="Arial"/>
          <w:sz w:val="19"/>
          <w:szCs w:val="19"/>
          <w:color w:val="auto"/>
        </w:rPr>
        <w:t>with respect to any other provision relating to shareholders’ rights or pre-initial business combination activity, we will provide public shareholders with the opportunity to redeem their public shares in connection with any such amendment. Specifically, our amended and restated memorandum and articles of association provides, among other things, that:</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660" w:right="120" w:hanging="328"/>
        <w:spacing w:after="0" w:line="291" w:lineRule="auto"/>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prior to the completion of our initial business combination, we shall either (1) seek shareholder approval of our initial business combination at a meeting called for such purpose at which public shareholders may elect to redeem their public shares without voting, and if they do vote, irrespective of whether they vote for or against the proposed business combination, or (2) provide our public shareholders with the opportunity to redeem all or a portion of their public shares upon the completion of our initial business combination by means of a tender offer (and thereby avoid the need for a shareholder vote), in each in cash, for an amount payable in cash equal to the aggregate amount then on deposit in the trust account as of two business days prior to the completion of our initial business combination, including interest (which interest shall be net of taxes payable), divided by the number of then issued and outstanding public shares, subject to the limitations described herein;</w:t>
      </w:r>
    </w:p>
    <w:p>
      <w:pPr>
        <w:spacing w:after="0" w:line="193" w:lineRule="exact"/>
        <w:rPr>
          <w:rFonts w:ascii="Arial" w:cs="Arial" w:eastAsia="Arial" w:hAnsi="Arial"/>
          <w:sz w:val="16"/>
          <w:szCs w:val="16"/>
          <w:color w:val="auto"/>
        </w:rPr>
      </w:pPr>
    </w:p>
    <w:p>
      <w:pPr>
        <w:ind w:left="660" w:right="40" w:hanging="328"/>
        <w:spacing w:after="0" w:line="263"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will consummate our initial business combination only if we have net tangible assets, after payment of the deferred underwriting commissions, of at least $5,000,001 upon completion of our initial business combination and, solely if we seek shareholder approval, a majority of the issued and outstanding ordinary shares voted are voted in favor of the business combination;</w:t>
      </w:r>
    </w:p>
    <w:p>
      <w:pPr>
        <w:spacing w:after="0" w:line="210" w:lineRule="exact"/>
        <w:rPr>
          <w:rFonts w:ascii="Arial" w:cs="Arial" w:eastAsia="Arial" w:hAnsi="Arial"/>
          <w:sz w:val="18"/>
          <w:szCs w:val="18"/>
          <w:color w:val="auto"/>
        </w:rPr>
      </w:pPr>
    </w:p>
    <w:p>
      <w:pPr>
        <w:ind w:left="660" w:right="32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if our initial business combination is not consummated within 18 months from the closing of our initial public offering, then our existence will terminate and we will distribute all amounts in the trust account; and</w:t>
      </w:r>
    </w:p>
    <w:p>
      <w:pPr>
        <w:spacing w:after="0" w:line="197" w:lineRule="exact"/>
        <w:rPr>
          <w:rFonts w:ascii="Arial" w:cs="Arial" w:eastAsia="Arial" w:hAnsi="Arial"/>
          <w:sz w:val="18"/>
          <w:szCs w:val="18"/>
          <w:color w:val="auto"/>
        </w:rPr>
      </w:pPr>
    </w:p>
    <w:p>
      <w:pPr>
        <w:ind w:left="660" w:right="140" w:hanging="328"/>
        <w:spacing w:after="0" w:line="279" w:lineRule="auto"/>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prior to our initial business combination, we may not issue additional shares that would entitle the holders thereof to (1) receive funds from the trust account or (2) vote as a class with our public shares (a) on any initial business combination or (b) to approve an amendment to our amended and restated memorandum and articles of association to (x) extend the time we have to consummate a business combination beyond 18 months from the closing of our initial public offering or (y) amend the foregoing provisions.</w:t>
      </w:r>
    </w:p>
    <w:p>
      <w:pPr>
        <w:spacing w:after="0" w:line="191" w:lineRule="exact"/>
        <w:rPr>
          <w:sz w:val="20"/>
          <w:szCs w:val="20"/>
          <w:color w:val="auto"/>
        </w:rPr>
      </w:pPr>
    </w:p>
    <w:p>
      <w:pPr>
        <w:ind w:right="40" w:firstLine="324"/>
        <w:spacing w:after="0" w:line="252" w:lineRule="auto"/>
        <w:rPr>
          <w:sz w:val="20"/>
          <w:szCs w:val="20"/>
          <w:color w:val="auto"/>
        </w:rPr>
      </w:pPr>
      <w:r>
        <w:rPr>
          <w:rFonts w:ascii="Arial" w:cs="Arial" w:eastAsia="Arial" w:hAnsi="Arial"/>
          <w:sz w:val="21"/>
          <w:szCs w:val="21"/>
          <w:color w:val="auto"/>
        </w:rPr>
        <w:t>These provisions cannot be amended without the approval of holders of at least two-thirds of our ordinary shares. In the event we seek shareholder approval in connection with our initial business combination, our amended and restated memorandum and articles of association provides that we may consummate our initial business combination only if approved by a majority of the ordinary shares voted by our shareholders at a duly held shareholders meeting.</w:t>
      </w:r>
    </w:p>
    <w:p>
      <w:pPr>
        <w:spacing w:after="0" w:line="201" w:lineRule="exact"/>
        <w:rPr>
          <w:sz w:val="20"/>
          <w:szCs w:val="20"/>
          <w:color w:val="auto"/>
        </w:rPr>
      </w:pPr>
    </w:p>
    <w:p>
      <w:pPr>
        <w:ind w:right="20" w:firstLine="324"/>
        <w:spacing w:after="0" w:line="277" w:lineRule="auto"/>
        <w:rPr>
          <w:sz w:val="20"/>
          <w:szCs w:val="20"/>
          <w:color w:val="auto"/>
        </w:rPr>
      </w:pPr>
      <w:r>
        <w:rPr>
          <w:rFonts w:ascii="Arial" w:cs="Arial" w:eastAsia="Arial" w:hAnsi="Arial"/>
          <w:sz w:val="19"/>
          <w:szCs w:val="19"/>
          <w:color w:val="auto"/>
        </w:rPr>
        <w:t>Additionally, our amended and restated memorandum and articles of association provides that, prior to our initial business combination, only holders of our founder shares have the right to vote on the election of directors and that holders of a majority of our founder shares may remove a member of the board of directors for any reason. These provisions of our amended and restated memorandum and articles of association may only be amended by a special resolution passed by at least 90% of our ordinary shares voting in a general meeting. With respect to any other matter submitted to a vote of our shareholders, including any vote in connection with our initial business combination, except as required by law, holders of our founder shares and holders of our public shares will vote together as a single class, with each share entitling the holder to one vote.</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Competition</w:t>
      </w:r>
    </w:p>
    <w:p>
      <w:pPr>
        <w:spacing w:after="0" w:line="239" w:lineRule="exact"/>
        <w:rPr>
          <w:sz w:val="20"/>
          <w:szCs w:val="20"/>
          <w:color w:val="auto"/>
        </w:rPr>
      </w:pPr>
    </w:p>
    <w:p>
      <w:pPr>
        <w:ind w:firstLine="324"/>
        <w:spacing w:after="0" w:line="272" w:lineRule="auto"/>
        <w:rPr>
          <w:sz w:val="20"/>
          <w:szCs w:val="20"/>
          <w:color w:val="auto"/>
        </w:rPr>
      </w:pPr>
      <w:r>
        <w:rPr>
          <w:rFonts w:ascii="Arial" w:cs="Arial" w:eastAsia="Arial" w:hAnsi="Arial"/>
          <w:sz w:val="19"/>
          <w:szCs w:val="19"/>
          <w:color w:val="auto"/>
        </w:rPr>
        <w:t>We expect to encounter intense competition from other entities having a business objective similar to ours, including private investors (which may be individuals or investment partnerships), other blank check companies and other entities, domestic and international, competing for the types of businesses we intend to acquire. Many of these individuals and entities are well established and have extensive experience in identifying and effecting, directly or indirectly, acquisitions of companies operating in or providing services to various industries. Many of these competitors possess greater technical, human and other resources or more local industry knowledge than we do and our financial resources will be relatively limited when contrasted with those of many of these competitors. While we believe there are numerous target businesses we could potentially acquire with the net proceeds of our initial public offering and the sale of the private placement warrants, our ability to compete with respect to the acquisition of certain target businesses that are sizable will be limited by our available financial resources. This inherent competitive limitation gives others an advantage in pursuing the acquisition of certain target businesses. Furthermore, in the event we seek shareholder approval of our initial business combination and we are obligated to pay cash for our Class A ordinary shares, it will potentially reduce the resources available to us for our initial business combination. Any of these obligations may place us at a competitive disadvantage in successfully negotiating a business combination.</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Conflicts of Interest</w:t>
      </w:r>
    </w:p>
    <w:p>
      <w:pPr>
        <w:spacing w:after="0" w:line="239" w:lineRule="exact"/>
        <w:rPr>
          <w:sz w:val="20"/>
          <w:szCs w:val="20"/>
          <w:color w:val="auto"/>
        </w:rPr>
      </w:pPr>
    </w:p>
    <w:p>
      <w:pPr>
        <w:ind w:right="80" w:firstLine="324"/>
        <w:spacing w:after="0" w:line="238" w:lineRule="auto"/>
        <w:rPr>
          <w:sz w:val="20"/>
          <w:szCs w:val="20"/>
          <w:color w:val="auto"/>
        </w:rPr>
      </w:pPr>
      <w:r>
        <w:rPr>
          <w:rFonts w:ascii="Arial" w:cs="Arial" w:eastAsia="Arial" w:hAnsi="Arial"/>
          <w:sz w:val="22"/>
          <w:szCs w:val="22"/>
          <w:color w:val="auto"/>
        </w:rPr>
        <w:t>All of our executive officers and certain of our directors have or may have fiduciary and contractual duties to certain companies in which they have invested. These entities may compete with us for acquisition opportunities. If these entities decide to pursue any such opportunity, we may be precluded from pursuing it. However, we do not expect these duties to present a significant conflict of interest with our search for an initial business combination.</w:t>
      </w:r>
    </w:p>
    <w:p>
      <w:pPr>
        <w:spacing w:after="0" w:line="212" w:lineRule="exact"/>
        <w:rPr>
          <w:sz w:val="20"/>
          <w:szCs w:val="20"/>
          <w:color w:val="auto"/>
        </w:rPr>
      </w:pPr>
    </w:p>
    <w:p>
      <w:pPr>
        <w:ind w:right="80" w:firstLine="324"/>
        <w:spacing w:after="0" w:line="277" w:lineRule="auto"/>
        <w:rPr>
          <w:sz w:val="20"/>
          <w:szCs w:val="20"/>
          <w:color w:val="auto"/>
        </w:rPr>
      </w:pPr>
      <w:r>
        <w:rPr>
          <w:rFonts w:ascii="Arial" w:cs="Arial" w:eastAsia="Arial" w:hAnsi="Arial"/>
          <w:sz w:val="19"/>
          <w:szCs w:val="19"/>
          <w:color w:val="auto"/>
        </w:rPr>
        <w:t>Certain of our officers and directors presently have, and any of them in the future may have additional, fiduciary or contractual obligations to other entities pursuant to which such officer or director is or will be required to present a business combination opportunity to such entity. Accordingly, if any of our officers or directors becomes aware of a business combination opportunity that is suitable for an entity to which he or she has then-current fiduciary or contractual obligations, he or she may need to honor these fiduciary or contractual obligations to present such business combination opportunity to such entity, subject to their fiduciary duties under Cayman Islands law. We do not believe, however, that the fiduciary duties or contractual obligations of our officers or directors will materially affect our ability to complete our initial business combination.</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Indemnity</w:t>
      </w:r>
    </w:p>
    <w:p>
      <w:pPr>
        <w:spacing w:after="0" w:line="239" w:lineRule="exact"/>
        <w:rPr>
          <w:sz w:val="20"/>
          <w:szCs w:val="20"/>
          <w:color w:val="auto"/>
        </w:rPr>
      </w:pPr>
    </w:p>
    <w:p>
      <w:pPr>
        <w:ind w:firstLine="324"/>
        <w:spacing w:after="0" w:line="273" w:lineRule="auto"/>
        <w:rPr>
          <w:sz w:val="20"/>
          <w:szCs w:val="20"/>
          <w:color w:val="auto"/>
        </w:rPr>
      </w:pPr>
      <w:r>
        <w:rPr>
          <w:rFonts w:ascii="Arial" w:cs="Arial" w:eastAsia="Arial" w:hAnsi="Arial"/>
          <w:sz w:val="19"/>
          <w:szCs w:val="19"/>
          <w:color w:val="auto"/>
        </w:rPr>
        <w:t>Our sponsor has agreed that it will be liable to us if and to the extent any claims by a third party (other than our independent auditors) for services rendered or products sold to us, or a prospective target business with which we have discussed entering into a transaction agreement, reduce the amount of funds in the trust account to below (1) $10.00 per public share or (2) such lesser amount per public share held in the trust account as of the date of the liquidation of the trust account due to reductions in the value of the trust assets, in each case net of the interest which may be withdrawn to pay taxes, except as to any claims by a third party who executed a waiver of any and all rights to seek access to the trust account and except as to any claims under our indemnity of the underwriters of our initial public offering against certain liabilities, including liabilities under the Securities Act. Moreover, in the event that an executed waiver is deemed to be unenforceable against a third party, our sponsor will not be responsible to the extent of any liability for such third-party claims. We have not independently verified whether our sponsor has sufficient funds to satisfy its indemnity obligations and believe that our sponsor’s only assets are securities of our company and, therefore, our sponsor may not be able to satisfy those obligations. We have not asked our sponsor to reserve for such obligations.</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Facilities</w:t>
      </w:r>
    </w:p>
    <w:p>
      <w:pPr>
        <w:spacing w:after="0" w:line="233" w:lineRule="exact"/>
        <w:rPr>
          <w:sz w:val="20"/>
          <w:szCs w:val="20"/>
          <w:color w:val="auto"/>
        </w:rPr>
      </w:pPr>
    </w:p>
    <w:p>
      <w:pPr>
        <w:jc w:val="both"/>
        <w:ind w:right="140" w:firstLine="324"/>
        <w:spacing w:after="0" w:line="202" w:lineRule="auto"/>
        <w:rPr>
          <w:sz w:val="20"/>
          <w:szCs w:val="20"/>
          <w:color w:val="auto"/>
        </w:rPr>
      </w:pPr>
      <w:r>
        <w:rPr>
          <w:rFonts w:ascii="Arial" w:cs="Arial" w:eastAsia="Arial" w:hAnsi="Arial"/>
          <w:sz w:val="22"/>
          <w:szCs w:val="22"/>
          <w:color w:val="auto"/>
        </w:rPr>
        <w:t>We currently maintain our executive offices at 600 Madison Ave, 17</w:t>
      </w:r>
      <w:r>
        <w:rPr>
          <w:rFonts w:ascii="Arial" w:cs="Arial" w:eastAsia="Arial" w:hAnsi="Arial"/>
          <w:sz w:val="35"/>
          <w:szCs w:val="35"/>
          <w:color w:val="auto"/>
          <w:vertAlign w:val="superscript"/>
        </w:rPr>
        <w:t>th</w:t>
      </w:r>
      <w:r>
        <w:rPr>
          <w:rFonts w:ascii="Arial" w:cs="Arial" w:eastAsia="Arial" w:hAnsi="Arial"/>
          <w:sz w:val="22"/>
          <w:szCs w:val="22"/>
          <w:color w:val="auto"/>
        </w:rPr>
        <w:t xml:space="preserve"> Floor, New York, New York, 10022. The cost for the space is included in the up to $20,000 monthly fee that we pay our sponsor for office space, administrative and support services. We consider our current office space adequate for our current operations.</w:t>
      </w:r>
    </w:p>
    <w:p>
      <w:pPr>
        <w:spacing w:after="0" w:line="20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Employees</w:t>
      </w:r>
    </w:p>
    <w:p>
      <w:pPr>
        <w:spacing w:after="0" w:line="239" w:lineRule="exact"/>
        <w:rPr>
          <w:sz w:val="20"/>
          <w:szCs w:val="20"/>
          <w:color w:val="auto"/>
        </w:rPr>
      </w:pPr>
    </w:p>
    <w:p>
      <w:pPr>
        <w:ind w:right="160" w:firstLine="324"/>
        <w:spacing w:after="0" w:line="282" w:lineRule="auto"/>
        <w:rPr>
          <w:sz w:val="20"/>
          <w:szCs w:val="20"/>
          <w:color w:val="auto"/>
        </w:rPr>
      </w:pPr>
      <w:r>
        <w:rPr>
          <w:rFonts w:ascii="Arial" w:cs="Arial" w:eastAsia="Arial" w:hAnsi="Arial"/>
          <w:sz w:val="19"/>
          <w:szCs w:val="19"/>
          <w:color w:val="auto"/>
        </w:rPr>
        <w:t>We currently have three executive officers and do not intend to have any full-time employees prior to the completion of our initial business combination. Members of our management team are not obligated to devote any specific number of hours to our matters but they intend to devote as much of their time as they deem necessary to our affairs until we have completed our initial business combination. The amount of time that any such person will devote in any time period will vary based on whether a target business has been selected for our initial business combination and the current stage of the business combination process.</w:t>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Periodic Reporting and Financial Information</w:t>
      </w:r>
    </w:p>
    <w:p>
      <w:pPr>
        <w:spacing w:after="0" w:line="239" w:lineRule="exact"/>
        <w:rPr>
          <w:sz w:val="20"/>
          <w:szCs w:val="20"/>
          <w:color w:val="auto"/>
        </w:rPr>
      </w:pPr>
    </w:p>
    <w:p>
      <w:pPr>
        <w:ind w:right="60" w:firstLine="324"/>
        <w:spacing w:after="0" w:line="249" w:lineRule="auto"/>
        <w:rPr>
          <w:sz w:val="20"/>
          <w:szCs w:val="20"/>
          <w:color w:val="auto"/>
        </w:rPr>
      </w:pPr>
      <w:r>
        <w:rPr>
          <w:rFonts w:ascii="Arial" w:cs="Arial" w:eastAsia="Arial" w:hAnsi="Arial"/>
          <w:sz w:val="21"/>
          <w:szCs w:val="21"/>
          <w:color w:val="auto"/>
        </w:rPr>
        <w:t>We have registered our units, Class A ordinary shares and warrants under the Exchange Act and have reporting obligations, including the requirement that we file annual, quarterly and current reports with the SEC. In accordance with the requirements of the Exchange Act, our annual report contains financial statements audited and reported on by our independent registered public auditors. We have no current intention of filing a Form 15 to suspend our reporting or other obligations under the Exchange Act prior or subsequent to the completion of our initial business combination.</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2" w:name="page23"/>
    <w:bookmarkEnd w:id="22"/>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ind w:right="60" w:firstLine="324"/>
        <w:spacing w:after="0" w:line="273" w:lineRule="auto"/>
        <w:rPr>
          <w:sz w:val="20"/>
          <w:szCs w:val="20"/>
          <w:color w:val="auto"/>
        </w:rPr>
      </w:pPr>
      <w:r>
        <w:rPr>
          <w:rFonts w:ascii="Arial" w:cs="Arial" w:eastAsia="Arial" w:hAnsi="Arial"/>
          <w:sz w:val="19"/>
          <w:szCs w:val="19"/>
          <w:color w:val="auto"/>
        </w:rPr>
        <w:t>We will provide shareholders with audited financial statements of the prospective target business as part of the tender offer materials or proxy solicitation materials sent to shareholders to assist them in assessing the target business. These financial statements may be required to be prepared in accordance with, or be reconciled to, accounting principles generally accepted in the United States of America, or U.S. GAAP, or international financing reporting standards as issued by the International Accounting Standards Board, or IFRS, depending on the circumstances and the historical financial statements may be required to be audited in accordance with the standards of the Public Company Accounting Oversight Board (United States), or PCAOB. These financial statement requirements may limit the pool of potential target businesses we may acquire because some targets may be unable to provide such financial statements in time for us to disclose such financial statements in accordance with federal proxy rules and complete our initial business combination within the prescribed time frame. While this may limit the pool of potential business combination candidates, we do not believe that this limitation will be material.</w:t>
      </w:r>
    </w:p>
    <w:p>
      <w:pPr>
        <w:spacing w:after="0" w:line="188" w:lineRule="exact"/>
        <w:rPr>
          <w:sz w:val="20"/>
          <w:szCs w:val="20"/>
          <w:color w:val="auto"/>
        </w:rPr>
      </w:pPr>
    </w:p>
    <w:p>
      <w:pPr>
        <w:ind w:right="20" w:firstLine="324"/>
        <w:spacing w:after="0" w:line="248" w:lineRule="auto"/>
        <w:rPr>
          <w:sz w:val="20"/>
          <w:szCs w:val="20"/>
          <w:color w:val="auto"/>
        </w:rPr>
      </w:pPr>
      <w:r>
        <w:rPr>
          <w:rFonts w:ascii="Arial" w:cs="Arial" w:eastAsia="Arial" w:hAnsi="Arial"/>
          <w:sz w:val="21"/>
          <w:szCs w:val="21"/>
          <w:color w:val="auto"/>
        </w:rPr>
        <w:t>We will be required to evaluate our internal control procedures for the fiscal year ending December 31, 2020 as required by the Sarbanes-Oxley Act. Only in the event we are deemed to be a large accelerated filer or an accelerated filer, and no longer qualify as an emerging growth company, will we be required to have our internal control procedures audited. A target business may not be in compliance with the provisions of the Sarbanes-Oxley Act regarding adequacy of their internal controls. The development of the internal controls of any such entity to achieve compliance with the Sarbanes-Oxley Act may increase the time and costs necessary to complete any such acquisition.</w:t>
      </w:r>
    </w:p>
    <w:p>
      <w:pPr>
        <w:spacing w:after="0" w:line="204" w:lineRule="exact"/>
        <w:rPr>
          <w:sz w:val="20"/>
          <w:szCs w:val="20"/>
          <w:color w:val="auto"/>
        </w:rPr>
      </w:pPr>
    </w:p>
    <w:p>
      <w:pPr>
        <w:ind w:right="140" w:firstLine="324"/>
        <w:spacing w:after="0" w:line="246" w:lineRule="auto"/>
        <w:rPr>
          <w:sz w:val="20"/>
          <w:szCs w:val="20"/>
          <w:color w:val="auto"/>
        </w:rPr>
      </w:pPr>
      <w:r>
        <w:rPr>
          <w:rFonts w:ascii="Arial" w:cs="Arial" w:eastAsia="Arial" w:hAnsi="Arial"/>
          <w:sz w:val="21"/>
          <w:szCs w:val="21"/>
          <w:color w:val="auto"/>
        </w:rPr>
        <w:t>We are an “emerging growth company,” as defined in Section 2(a) of the Securities Act, as modified by the JOBS Act. As such, we are eligible to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shareholder approval of any golden parachute payments not previously approved. If some investors find our securities less attractive as a result, there may be a less active trading market for our securities and the prices of our securities may be more volatile.</w:t>
      </w:r>
    </w:p>
    <w:p>
      <w:pPr>
        <w:spacing w:after="0" w:line="207" w:lineRule="exact"/>
        <w:rPr>
          <w:sz w:val="20"/>
          <w:szCs w:val="20"/>
          <w:color w:val="auto"/>
        </w:rPr>
      </w:pPr>
    </w:p>
    <w:p>
      <w:pPr>
        <w:ind w:right="400" w:firstLine="324"/>
        <w:spacing w:after="0" w:line="236" w:lineRule="auto"/>
        <w:rPr>
          <w:sz w:val="20"/>
          <w:szCs w:val="20"/>
          <w:color w:val="auto"/>
        </w:rPr>
      </w:pPr>
      <w:r>
        <w:rPr>
          <w:rFonts w:ascii="Arial" w:cs="Arial" w:eastAsia="Arial" w:hAnsi="Arial"/>
          <w:sz w:val="22"/>
          <w:szCs w:val="22"/>
          <w:color w:val="auto"/>
        </w:rPr>
        <w:t>In addition, Section 107 of the JOBS Act also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We intend to take advantage of the benefits of this extended transition period.</w:t>
      </w:r>
    </w:p>
    <w:p>
      <w:pPr>
        <w:spacing w:after="0" w:line="214" w:lineRule="exact"/>
        <w:rPr>
          <w:sz w:val="20"/>
          <w:szCs w:val="20"/>
          <w:color w:val="auto"/>
        </w:rPr>
      </w:pPr>
    </w:p>
    <w:p>
      <w:pPr>
        <w:ind w:right="60" w:firstLine="324"/>
        <w:spacing w:after="0" w:line="279" w:lineRule="auto"/>
        <w:rPr>
          <w:sz w:val="20"/>
          <w:szCs w:val="20"/>
          <w:color w:val="auto"/>
        </w:rPr>
      </w:pPr>
      <w:r>
        <w:rPr>
          <w:rFonts w:ascii="Arial" w:cs="Arial" w:eastAsia="Arial" w:hAnsi="Arial"/>
          <w:sz w:val="19"/>
          <w:szCs w:val="19"/>
          <w:color w:val="auto"/>
        </w:rPr>
        <w:t>We will remain an emerging growth company until the earlier of (1) the last day of the fiscal year (a) following the fifth anniversary of the completion of our initial public offering, (b) in which we have total annual gross revenue of at least $1.07 billion, or (c) in which we are deemed to be a large accelerated filer, which means the market value of our ordinary shares that is held by non-affiliates exceeds $700 million as of the end of the prior fiscal year’s second fiscal quarter, and (2) the date on which we have issued more than $1.00 billion in non-convertible debt securities during the prior three-year period. References herein to “emerging growth company” shall have the meaning associated with it in the JOBS Act.</w:t>
      </w:r>
    </w:p>
    <w:p>
      <w:pPr>
        <w:spacing w:after="0" w:line="177" w:lineRule="exact"/>
        <w:rPr>
          <w:sz w:val="20"/>
          <w:szCs w:val="20"/>
          <w:color w:val="auto"/>
        </w:rPr>
      </w:pPr>
    </w:p>
    <w:p>
      <w:pPr>
        <w:ind w:firstLine="324"/>
        <w:spacing w:after="0" w:line="279" w:lineRule="auto"/>
        <w:rPr>
          <w:sz w:val="20"/>
          <w:szCs w:val="20"/>
          <w:color w:val="auto"/>
        </w:rPr>
      </w:pPr>
      <w:r>
        <w:rPr>
          <w:rFonts w:ascii="Arial" w:cs="Arial" w:eastAsia="Arial" w:hAnsi="Arial"/>
          <w:sz w:val="19"/>
          <w:szCs w:val="19"/>
          <w:color w:val="auto"/>
        </w:rPr>
        <w:t>Additionally, we are a “smaller reporting company” as defined in Rule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(1) the market value of our ordinary shares held by non-affiliates exceeds $250 million as of the end of that year’s second fiscal quarter, or (2) our annual revenues exceeded $100 million during such completed fiscal year and the market value of our ordinary shares held by non-affiliates exceeds $700 million as of the end of that year’s second fiscal quarter.</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Legal Proceedings</w:t>
      </w:r>
    </w:p>
    <w:p>
      <w:pPr>
        <w:spacing w:after="0" w:line="239" w:lineRule="exact"/>
        <w:rPr>
          <w:sz w:val="20"/>
          <w:szCs w:val="20"/>
          <w:color w:val="auto"/>
        </w:rPr>
      </w:pPr>
    </w:p>
    <w:p>
      <w:pPr>
        <w:ind w:right="100" w:firstLine="324"/>
        <w:spacing w:after="0"/>
        <w:rPr>
          <w:sz w:val="20"/>
          <w:szCs w:val="20"/>
          <w:color w:val="auto"/>
        </w:rPr>
      </w:pPr>
      <w:r>
        <w:rPr>
          <w:rFonts w:ascii="Arial" w:cs="Arial" w:eastAsia="Arial" w:hAnsi="Arial"/>
          <w:sz w:val="22"/>
          <w:szCs w:val="22"/>
          <w:color w:val="auto"/>
        </w:rPr>
        <w:t>There is no material litigation, arbitration or governmental proceeding currently pending against us or any members of our management team in their capacity as such, and we and the members of our management team have not been subject to any such proceeding in the 12 months preceding the date of this Annual Report.</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3" w:name="page24"/>
    <w:bookmarkEnd w:id="23"/>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49" w:lineRule="exact"/>
        <w:rPr>
          <w:sz w:val="20"/>
          <w:szCs w:val="20"/>
          <w:color w:val="auto"/>
        </w:rPr>
      </w:pPr>
    </w:p>
    <w:p>
      <w:pPr>
        <w:ind w:right="20" w:firstLine="324"/>
        <w:spacing w:after="0" w:line="287" w:lineRule="auto"/>
        <w:rPr>
          <w:sz w:val="20"/>
          <w:szCs w:val="20"/>
          <w:color w:val="auto"/>
        </w:rPr>
      </w:pPr>
      <w:r>
        <w:rPr>
          <w:rFonts w:ascii="Arial" w:cs="Arial" w:eastAsia="Arial" w:hAnsi="Arial"/>
          <w:sz w:val="19"/>
          <w:szCs w:val="19"/>
          <w:i w:val="1"/>
          <w:iCs w:val="1"/>
          <w:color w:val="auto"/>
        </w:rPr>
        <w:t>An investment in our securities involves a high degree of risk. You should consider carefully all of the risks described below, together with the other information contained in this Annual Report, before making a decision to invest in our securities. If any of the following events occur, our business, financial condition and operating results may be materially adversely affected. In that event, the trading price of our securities could decline, and you could lose all or part of your investment.</w:t>
      </w:r>
    </w:p>
    <w:p>
      <w:pPr>
        <w:spacing w:after="0" w:line="170" w:lineRule="exact"/>
        <w:rPr>
          <w:sz w:val="20"/>
          <w:szCs w:val="20"/>
          <w:color w:val="auto"/>
        </w:rPr>
      </w:pPr>
    </w:p>
    <w:p>
      <w:pPr>
        <w:ind w:left="180" w:right="680"/>
        <w:spacing w:after="0" w:line="250" w:lineRule="auto"/>
        <w:rPr>
          <w:sz w:val="20"/>
          <w:szCs w:val="20"/>
          <w:color w:val="auto"/>
        </w:rPr>
      </w:pPr>
      <w:r>
        <w:rPr>
          <w:rFonts w:ascii="Arial" w:cs="Arial" w:eastAsia="Arial" w:hAnsi="Arial"/>
          <w:sz w:val="22"/>
          <w:szCs w:val="22"/>
          <w:b w:val="1"/>
          <w:bCs w:val="1"/>
          <w:i w:val="1"/>
          <w:iCs w:val="1"/>
          <w:color w:val="auto"/>
        </w:rPr>
        <w:t>We have no operating history and no revenues, and you have no basis on which to evaluate our ability to achieve our business objective.</w:t>
      </w:r>
    </w:p>
    <w:p>
      <w:pPr>
        <w:spacing w:after="0" w:line="202" w:lineRule="exact"/>
        <w:rPr>
          <w:sz w:val="20"/>
          <w:szCs w:val="20"/>
          <w:color w:val="auto"/>
        </w:rPr>
      </w:pPr>
    </w:p>
    <w:p>
      <w:pPr>
        <w:ind w:right="120" w:firstLine="324"/>
        <w:spacing w:after="0" w:line="236" w:lineRule="auto"/>
        <w:rPr>
          <w:sz w:val="20"/>
          <w:szCs w:val="20"/>
          <w:color w:val="auto"/>
        </w:rPr>
      </w:pPr>
      <w:r>
        <w:rPr>
          <w:rFonts w:ascii="Arial" w:cs="Arial" w:eastAsia="Arial" w:hAnsi="Arial"/>
          <w:sz w:val="22"/>
          <w:szCs w:val="22"/>
          <w:color w:val="auto"/>
        </w:rPr>
        <w:t>We are a newly incorporated company incorporated under the laws of the Cayman Islands and all of our activities to date have been related to our formation, our initial public offering and our search for a business combination target. Because we lack a significant operating history, you have no basis upon which to evaluate our ability to achieve our business objective of completing our initial business combination with one or more target businesses. If we fail to complete our initial business combination, we will never generate any operating revenues.</w:t>
      </w:r>
    </w:p>
    <w:p>
      <w:pPr>
        <w:spacing w:after="0" w:line="214" w:lineRule="exact"/>
        <w:rPr>
          <w:sz w:val="20"/>
          <w:szCs w:val="20"/>
          <w:color w:val="auto"/>
        </w:rPr>
      </w:pPr>
    </w:p>
    <w:p>
      <w:pPr>
        <w:ind w:left="180" w:right="280"/>
        <w:spacing w:after="0" w:line="250" w:lineRule="auto"/>
        <w:rPr>
          <w:sz w:val="20"/>
          <w:szCs w:val="20"/>
          <w:color w:val="auto"/>
        </w:rPr>
      </w:pPr>
      <w:r>
        <w:rPr>
          <w:rFonts w:ascii="Arial" w:cs="Arial" w:eastAsia="Arial" w:hAnsi="Arial"/>
          <w:sz w:val="22"/>
          <w:szCs w:val="22"/>
          <w:b w:val="1"/>
          <w:bCs w:val="1"/>
          <w:i w:val="1"/>
          <w:iCs w:val="1"/>
          <w:color w:val="auto"/>
        </w:rPr>
        <w:t>Our independent registered public accounting firm’s report contains an explanatory paragraph that expresses substantial doubt about our ability to continue as a “going concern.”</w:t>
      </w:r>
    </w:p>
    <w:p>
      <w:pPr>
        <w:spacing w:after="0" w:line="202" w:lineRule="exact"/>
        <w:rPr>
          <w:sz w:val="20"/>
          <w:szCs w:val="20"/>
          <w:color w:val="auto"/>
        </w:rPr>
      </w:pPr>
    </w:p>
    <w:p>
      <w:pPr>
        <w:ind w:firstLine="324"/>
        <w:spacing w:after="0" w:line="236" w:lineRule="auto"/>
        <w:rPr>
          <w:sz w:val="20"/>
          <w:szCs w:val="20"/>
          <w:color w:val="auto"/>
        </w:rPr>
      </w:pPr>
      <w:r>
        <w:rPr>
          <w:rFonts w:ascii="Arial" w:cs="Arial" w:eastAsia="Arial" w:hAnsi="Arial"/>
          <w:sz w:val="22"/>
          <w:szCs w:val="22"/>
          <w:color w:val="auto"/>
        </w:rPr>
        <w:t>We have incurred and expect to continue to incur significant costs in pursuit of our financing and acquisition plans. Management’s plans to address this need for capital are discussed in the section of this Annual Report titled “Item 7. Management’s Discussion and Analysis of Financial Condition and Results of Operations.” We cannot assure you that our plans to raise capital or to consummate an initial business combination will be successful. These factors, among others, raise substantial doubt about our ability to continue as a going concern.</w:t>
      </w:r>
    </w:p>
    <w:p>
      <w:pPr>
        <w:spacing w:after="0" w:line="214" w:lineRule="exact"/>
        <w:rPr>
          <w:sz w:val="20"/>
          <w:szCs w:val="20"/>
          <w:color w:val="auto"/>
        </w:rPr>
      </w:pPr>
    </w:p>
    <w:p>
      <w:pPr>
        <w:ind w:left="180" w:right="120"/>
        <w:spacing w:after="0"/>
        <w:rPr>
          <w:sz w:val="20"/>
          <w:szCs w:val="20"/>
          <w:color w:val="auto"/>
        </w:rPr>
      </w:pPr>
      <w:r>
        <w:rPr>
          <w:rFonts w:ascii="Arial" w:cs="Arial" w:eastAsia="Arial" w:hAnsi="Arial"/>
          <w:sz w:val="22"/>
          <w:szCs w:val="22"/>
          <w:b w:val="1"/>
          <w:bCs w:val="1"/>
          <w:i w:val="1"/>
          <w:iCs w:val="1"/>
          <w:color w:val="auto"/>
        </w:rPr>
        <w:t>Our public shareholders may not be afforded an opportunity to vote on our proposed business combination, which means we may complete our initial business combination even though a majority of our public shareholders do not support such a combination.</w:t>
      </w:r>
    </w:p>
    <w:p>
      <w:pPr>
        <w:spacing w:after="0" w:line="213" w:lineRule="exact"/>
        <w:rPr>
          <w:sz w:val="20"/>
          <w:szCs w:val="20"/>
          <w:color w:val="auto"/>
        </w:rPr>
      </w:pPr>
    </w:p>
    <w:p>
      <w:pPr>
        <w:ind w:right="60" w:firstLine="324"/>
        <w:spacing w:after="0" w:line="271" w:lineRule="auto"/>
        <w:rPr>
          <w:sz w:val="20"/>
          <w:szCs w:val="20"/>
          <w:color w:val="auto"/>
        </w:rPr>
      </w:pPr>
      <w:r>
        <w:rPr>
          <w:rFonts w:ascii="Arial" w:cs="Arial" w:eastAsia="Arial" w:hAnsi="Arial"/>
          <w:sz w:val="19"/>
          <w:szCs w:val="19"/>
          <w:color w:val="auto"/>
        </w:rPr>
        <w:t>We will either (1) seek shareholder approval of our initial business combination at a meeting called for such purpose at which public shareholders may elect to redeem their public shares without voting, and if they do vote, irrespective of whether they vote for or against the proposed business combination, or (2) provide our public shareholders with the opportunity to redeem all or a portion of their public shares upon the completion of our initial business combination by means of a tender offer (and thereby avoid the need for a shareholder vote), in each in cash, for an amount payable in cash equal to the aggregate amount then on deposit in the trust account as of two business days prior to the completion of our initial business combination, including interest (which interest shall be net of taxes payable), divided by the number of then issued and outstanding public shares, subject to the limitations described herein. Accordingly, it is possible that we will consummate our initial business combination even if holders of a majority of our public shares do not approve of the business combination we consummate. The decision as to whether we will seek shareholder approval of a proposed business combination or will allow shareholders to sell their shares to us in a tender offer will be made by us, solely in our discretion, and will be based on a variety of factors such as the timing of the transaction and whether the terms of the transaction would otherwise require us to seek shareholder approval. For instance, Nasdaq rules currently allow us to engage in a tender offer in lieu of a shareholder meeting but would still require us to obtain shareholder approval if we were seeking to issue more than 20% of our outstanding shares to a target business as consideration in any business combination. Therefore, if we were structuring a business combination that required us to issue more than 20% of our outstanding shares, we would seek shareholder approval of such business combination instead of conducting a tender offer.</w:t>
      </w:r>
    </w:p>
    <w:p>
      <w:pPr>
        <w:spacing w:after="0" w:line="184" w:lineRule="exact"/>
        <w:rPr>
          <w:sz w:val="20"/>
          <w:szCs w:val="20"/>
          <w:color w:val="auto"/>
        </w:rPr>
      </w:pPr>
    </w:p>
    <w:p>
      <w:pPr>
        <w:ind w:left="180" w:right="380"/>
        <w:spacing w:after="0" w:line="328" w:lineRule="auto"/>
        <w:rPr>
          <w:sz w:val="20"/>
          <w:szCs w:val="20"/>
          <w:color w:val="auto"/>
        </w:rPr>
      </w:pPr>
      <w:r>
        <w:rPr>
          <w:rFonts w:ascii="Arial" w:cs="Arial" w:eastAsia="Arial" w:hAnsi="Arial"/>
          <w:sz w:val="19"/>
          <w:szCs w:val="19"/>
          <w:b w:val="1"/>
          <w:bCs w:val="1"/>
          <w:i w:val="1"/>
          <w:iCs w:val="1"/>
          <w:color w:val="auto"/>
        </w:rPr>
        <w:t>If we seek shareholder approval of our initial business combination, our initial shareholders, officers and directors have agreed to vote in favor of such initial business combination, regardless of how our public shareholders vote.</w:t>
      </w:r>
    </w:p>
    <w:p>
      <w:pPr>
        <w:spacing w:after="0" w:line="132" w:lineRule="exact"/>
        <w:rPr>
          <w:sz w:val="20"/>
          <w:szCs w:val="20"/>
          <w:color w:val="auto"/>
        </w:rPr>
      </w:pPr>
    </w:p>
    <w:p>
      <w:pPr>
        <w:ind w:right="20" w:firstLine="324"/>
        <w:spacing w:after="0" w:line="272" w:lineRule="auto"/>
        <w:rPr>
          <w:sz w:val="20"/>
          <w:szCs w:val="20"/>
          <w:color w:val="auto"/>
        </w:rPr>
      </w:pPr>
      <w:r>
        <w:rPr>
          <w:rFonts w:ascii="Arial" w:cs="Arial" w:eastAsia="Arial" w:hAnsi="Arial"/>
          <w:sz w:val="19"/>
          <w:szCs w:val="19"/>
          <w:color w:val="auto"/>
        </w:rPr>
        <w:t>Unlike many other blank check companies in which the initial shareholders agree to vote their founder shares in accordance with the majority of the votes cast by the public shareholders in connection with an initial business combination, our initial shareholders have agreed (and their permitted transferees will agree), pursuant to the terms of a letter agreement entered into with us, to vote their founder shares and any public shares held by them in favor of our initial business combination. As a result, in addition to our initial shareholders’ founder shares, we would need 9,375,001, or 37.5%, of the 25,000,000 public shares sold in our initial public offering to be voted in favor of a transaction (assuming all issued and outstanding shares are voted), subject to any higher threshold as is required by Cayman Islands or other applicable law, in order to have such initial business combination approved. Our directors and officers have also entered into the letter agreement, imposing similar obligations on them with respect to public shares acquired by them, if any. We expect that our initial shareholders and their permitted transferees will own at least 20% of our issued and outstanding ordinary shares at the time of any such shareholder vote. Accordingly, if we seek shareholder approval of our initial business combination, it is more likely that the necessary shareholder approval will be received than would be the case if such persons agreed to vote their founder shares in accordance with the majority of the votes cast by our public shareholders.</w:t>
      </w:r>
    </w:p>
    <w:p>
      <w:pPr>
        <w:sectPr>
          <w:pgSz w:w="11900" w:h="16838" w:orient="portrait"/>
          <w:cols w:equalWidth="0" w:num="1">
            <w:col w:w="11240"/>
          </w:cols>
          <w:pgMar w:left="320" w:top="121" w:right="339" w:bottom="22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220" w:gutter="0" w:footer="0" w:header="0"/>
          <w:type w:val="continuous"/>
        </w:sectPr>
      </w:pPr>
    </w:p>
    <w:bookmarkStart w:id="24" w:name="page25"/>
    <w:bookmarkEnd w:id="24"/>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ind w:left="180" w:right="440"/>
        <w:spacing w:after="0"/>
        <w:rPr>
          <w:sz w:val="20"/>
          <w:szCs w:val="20"/>
          <w:color w:val="auto"/>
        </w:rPr>
      </w:pPr>
      <w:r>
        <w:rPr>
          <w:rFonts w:ascii="Arial" w:cs="Arial" w:eastAsia="Arial" w:hAnsi="Arial"/>
          <w:sz w:val="22"/>
          <w:szCs w:val="22"/>
          <w:b w:val="1"/>
          <w:bCs w:val="1"/>
          <w:i w:val="1"/>
          <w:iCs w:val="1"/>
          <w:color w:val="auto"/>
        </w:rPr>
        <w:t>Your only opportunity to affect the investment decision regarding a potential business combination will be limited to the exercise of your right to redeem your shares from us for cash, unless we seek shareholder approval of such business combination.</w:t>
      </w:r>
    </w:p>
    <w:p>
      <w:pPr>
        <w:spacing w:after="0" w:line="213" w:lineRule="exact"/>
        <w:rPr>
          <w:sz w:val="20"/>
          <w:szCs w:val="20"/>
          <w:color w:val="auto"/>
        </w:rPr>
      </w:pPr>
    </w:p>
    <w:p>
      <w:pPr>
        <w:ind w:right="120" w:firstLine="324"/>
        <w:spacing w:after="0" w:line="246" w:lineRule="auto"/>
        <w:rPr>
          <w:sz w:val="20"/>
          <w:szCs w:val="20"/>
          <w:color w:val="auto"/>
        </w:rPr>
      </w:pPr>
      <w:r>
        <w:rPr>
          <w:rFonts w:ascii="Arial" w:cs="Arial" w:eastAsia="Arial" w:hAnsi="Arial"/>
          <w:sz w:val="21"/>
          <w:szCs w:val="21"/>
          <w:color w:val="auto"/>
        </w:rPr>
        <w:t>At the time of your investment in us, you will not be provided with an opportunity to evaluate the specific merits or risks of any target businesses. Additionally, since our board of directors may complete a business combination without seeking shareholder approval, public shareholders may not have the right or opportunity to vote on the business combination, unless we seek such shareholder approval. Accordingly, if we do not seek shareholder approval, your only opportunity to affect the investment decision regarding a potential business combination may be limited to exercising your redemption rights within the period of time (which will be at least 20 business days) set forth in our tender offer documents mailed to our public shareholders in which we describe our initial business combination.</w:t>
      </w:r>
    </w:p>
    <w:p>
      <w:pPr>
        <w:spacing w:after="0" w:line="211" w:lineRule="exact"/>
        <w:rPr>
          <w:sz w:val="20"/>
          <w:szCs w:val="20"/>
          <w:color w:val="auto"/>
        </w:rPr>
      </w:pPr>
    </w:p>
    <w:p>
      <w:pPr>
        <w:ind w:left="180" w:right="20"/>
        <w:spacing w:after="0" w:line="359" w:lineRule="auto"/>
        <w:rPr>
          <w:sz w:val="20"/>
          <w:szCs w:val="20"/>
          <w:color w:val="auto"/>
        </w:rPr>
      </w:pPr>
      <w:r>
        <w:rPr>
          <w:rFonts w:ascii="Arial" w:cs="Arial" w:eastAsia="Arial" w:hAnsi="Arial"/>
          <w:sz w:val="18"/>
          <w:szCs w:val="18"/>
          <w:b w:val="1"/>
          <w:bCs w:val="1"/>
          <w:i w:val="1"/>
          <w:iCs w:val="1"/>
          <w:color w:val="auto"/>
        </w:rPr>
        <w:t>The ability of our public shareholders to redeem their shares for cash may make our financial condition unattractive to potential business combination targets, which may make it difficult for us to enter into a business combination with a target.</w:t>
      </w:r>
    </w:p>
    <w:p>
      <w:pPr>
        <w:spacing w:after="0" w:line="110" w:lineRule="exact"/>
        <w:rPr>
          <w:sz w:val="20"/>
          <w:szCs w:val="20"/>
          <w:color w:val="auto"/>
        </w:rPr>
      </w:pPr>
    </w:p>
    <w:p>
      <w:pPr>
        <w:ind w:firstLine="324"/>
        <w:spacing w:after="0" w:line="271" w:lineRule="auto"/>
        <w:rPr>
          <w:sz w:val="20"/>
          <w:szCs w:val="20"/>
          <w:color w:val="auto"/>
        </w:rPr>
      </w:pPr>
      <w:r>
        <w:rPr>
          <w:rFonts w:ascii="Arial" w:cs="Arial" w:eastAsia="Arial" w:hAnsi="Arial"/>
          <w:sz w:val="19"/>
          <w:szCs w:val="19"/>
          <w:color w:val="auto"/>
        </w:rPr>
        <w:t>We may seek to enter into a business combination transaction agreement with a prospective target that requires as a closing condition that we have a minimum net worth or a certain amount of cash. If too many public shareholders exercise their redemption rights, we would not be able to meet such closing condition and, as a result, would not be able to proceed with the business combination. The amount of the deferred underwriting commissions payable to the underwriters will not be adjusted for any shares that are redeemed in connection with a business combination and such amount of deferred underwriting discount is not available for us to use as consideration in an initial business combination. Furthermore, in no event will we redeem our public shares in an amount that would cause our net tangible assets, after payment of the deferred underwriting commissions, to be less than $5,000,001 upon completion of our initial business combination (so that we do not then become subject to the SEC’s “penny stock” rules), or any greater net tangible asset or cash requirement that may be contained in the agreement relating to our initial business combination. Consequently, if accepting all properly submitted redemption requests would cause our net tangible assets, after payment of the deferred underwriting commissions, to be less than $5,000,001 upon completion of our initial business combination or less than such greater amount necessary to satisfy a closing condition as described above, we would not proceed with such redemption of our public shares and the related business combination, and we instead may search for an alternate business combination. Prospective targets will be aware of these risks and, thus, may be reluctant to enter into a business combination transaction with us. If we are able to consummate an initial business combination, the per-share value of shares held by non-redeeming stockholders will reflect our obligation to pay the deferred underwriting commissions.</w:t>
      </w:r>
    </w:p>
    <w:p>
      <w:pPr>
        <w:spacing w:after="0" w:line="184" w:lineRule="exact"/>
        <w:rPr>
          <w:sz w:val="20"/>
          <w:szCs w:val="20"/>
          <w:color w:val="auto"/>
        </w:rPr>
      </w:pPr>
    </w:p>
    <w:p>
      <w:pPr>
        <w:ind w:left="180" w:right="300"/>
        <w:spacing w:after="0" w:line="328" w:lineRule="auto"/>
        <w:rPr>
          <w:sz w:val="20"/>
          <w:szCs w:val="20"/>
          <w:color w:val="auto"/>
        </w:rPr>
      </w:pPr>
      <w:r>
        <w:rPr>
          <w:rFonts w:ascii="Arial" w:cs="Arial" w:eastAsia="Arial" w:hAnsi="Arial"/>
          <w:sz w:val="19"/>
          <w:szCs w:val="19"/>
          <w:b w:val="1"/>
          <w:bCs w:val="1"/>
          <w:i w:val="1"/>
          <w:iCs w:val="1"/>
          <w:color w:val="auto"/>
        </w:rPr>
        <w:t>The ability of our public shareholders to exercise redemption rights with respect to a large number of our shares may not allow us to complete the most desirable business combination or optimize our capital structure.</w:t>
      </w:r>
    </w:p>
    <w:p>
      <w:pPr>
        <w:spacing w:after="0" w:line="132" w:lineRule="exact"/>
        <w:rPr>
          <w:sz w:val="20"/>
          <w:szCs w:val="20"/>
          <w:color w:val="auto"/>
        </w:rPr>
      </w:pPr>
    </w:p>
    <w:p>
      <w:pPr>
        <w:ind w:right="40" w:firstLine="324"/>
        <w:spacing w:after="0" w:line="277" w:lineRule="auto"/>
        <w:rPr>
          <w:sz w:val="20"/>
          <w:szCs w:val="20"/>
          <w:color w:val="auto"/>
        </w:rPr>
      </w:pPr>
      <w:r>
        <w:rPr>
          <w:rFonts w:ascii="Arial" w:cs="Arial" w:eastAsia="Arial" w:hAnsi="Arial"/>
          <w:sz w:val="19"/>
          <w:szCs w:val="19"/>
          <w:color w:val="auto"/>
        </w:rPr>
        <w:t>At the time we enter into an agreement for our initial business combination, we will not know how many shareholders may exercise their redemption rights and, therefore, we will need to structure the transaction based on our expectations as to the number of shares that will be submitted for redemption. If our initial business combination agreement requires us to use a portion of the cash in the trust account to pay the purchase price, or requires us to have a minimum amount of cash at closing, we will need to reserve a portion of the cash in the trust account to meet such requirements, or arrange for third-party financing. In addition, if a larger number of shares is submitted for redemption than we initially expected, we may need to restructure the transaction to reserve a greater portion of the cash in the trust account or arrange for third-party financing.</w:t>
      </w: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5" w:name="page26"/>
    <w:bookmarkEnd w:id="25"/>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jc w:val="both"/>
        <w:ind w:right="20" w:firstLine="324"/>
        <w:spacing w:after="0"/>
        <w:rPr>
          <w:sz w:val="20"/>
          <w:szCs w:val="20"/>
          <w:color w:val="auto"/>
        </w:rPr>
      </w:pPr>
      <w:r>
        <w:rPr>
          <w:rFonts w:ascii="Arial" w:cs="Arial" w:eastAsia="Arial" w:hAnsi="Arial"/>
          <w:sz w:val="22"/>
          <w:szCs w:val="22"/>
          <w:color w:val="auto"/>
        </w:rPr>
        <w:t>Raising additional third-party financing may involve dilutive equity issuances or the incurrence of indebtedness at higher than desirable levels. The above considerations may limit our ability to complete the most desirable business combination available to us or optimize our capital structure.</w:t>
      </w:r>
    </w:p>
    <w:p>
      <w:pPr>
        <w:spacing w:after="0" w:line="213" w:lineRule="exact"/>
        <w:rPr>
          <w:sz w:val="20"/>
          <w:szCs w:val="20"/>
          <w:color w:val="auto"/>
        </w:rPr>
      </w:pPr>
    </w:p>
    <w:p>
      <w:pPr>
        <w:ind w:left="180" w:right="380"/>
        <w:spacing w:after="0"/>
        <w:rPr>
          <w:sz w:val="20"/>
          <w:szCs w:val="20"/>
          <w:color w:val="auto"/>
        </w:rPr>
      </w:pPr>
      <w:r>
        <w:rPr>
          <w:rFonts w:ascii="Arial" w:cs="Arial" w:eastAsia="Arial" w:hAnsi="Arial"/>
          <w:sz w:val="22"/>
          <w:szCs w:val="22"/>
          <w:b w:val="1"/>
          <w:bCs w:val="1"/>
          <w:i w:val="1"/>
          <w:iCs w:val="1"/>
          <w:color w:val="auto"/>
        </w:rPr>
        <w:t>The ability of our public shareholders to exercise redemption rights with respect to a large number of our shares could increase the probability that our initial business combination would be unsuccessful and that you would have to wait for liquidation in order to redeem your shares.</w:t>
      </w:r>
    </w:p>
    <w:p>
      <w:pPr>
        <w:spacing w:after="0" w:line="213" w:lineRule="exact"/>
        <w:rPr>
          <w:sz w:val="20"/>
          <w:szCs w:val="20"/>
          <w:color w:val="auto"/>
        </w:rPr>
      </w:pPr>
    </w:p>
    <w:p>
      <w:pPr>
        <w:ind w:right="60" w:firstLine="324"/>
        <w:spacing w:after="0" w:line="277" w:lineRule="auto"/>
        <w:rPr>
          <w:sz w:val="20"/>
          <w:szCs w:val="20"/>
          <w:color w:val="auto"/>
        </w:rPr>
      </w:pPr>
      <w:r>
        <w:rPr>
          <w:rFonts w:ascii="Arial" w:cs="Arial" w:eastAsia="Arial" w:hAnsi="Arial"/>
          <w:sz w:val="19"/>
          <w:szCs w:val="19"/>
          <w:color w:val="auto"/>
        </w:rPr>
        <w:t>If our initial business combination agreement requires us to use a portion of the cash in the trust account to pay the purchase price, or requires us to have a minimum amount of cash at closing, the probability that our initial business combination would be unsuccessful increases. If our initial business combination is unsuccessful, you would not receive your pro rata portion of the trust account until we liquidate the trust account. If you are in need of immediate liquidity, you could attempt to sell your shares in the open market; however, at such time our shares may trade at a discount to the pro rata amount per share in the trust account. In either situation, you may suffer a material loss on your investment or lose the benefit of funds expected in connection with our redemption until we liquidate or you are able to sell your shares in the open market.</w:t>
      </w:r>
    </w:p>
    <w:p>
      <w:pPr>
        <w:spacing w:after="0" w:line="179" w:lineRule="exact"/>
        <w:rPr>
          <w:sz w:val="20"/>
          <w:szCs w:val="20"/>
          <w:color w:val="auto"/>
        </w:rPr>
      </w:pPr>
    </w:p>
    <w:p>
      <w:pPr>
        <w:ind w:left="180" w:right="160"/>
        <w:spacing w:after="0" w:line="236" w:lineRule="auto"/>
        <w:rPr>
          <w:sz w:val="20"/>
          <w:szCs w:val="20"/>
          <w:color w:val="auto"/>
        </w:rPr>
      </w:pPr>
      <w:r>
        <w:rPr>
          <w:rFonts w:ascii="Arial" w:cs="Arial" w:eastAsia="Arial" w:hAnsi="Arial"/>
          <w:sz w:val="22"/>
          <w:szCs w:val="22"/>
          <w:b w:val="1"/>
          <w:bCs w:val="1"/>
          <w:i w:val="1"/>
          <w:iCs w:val="1"/>
          <w:color w:val="auto"/>
        </w:rPr>
        <w:t>The requirement that we complete our initial business combination within the prescribed time frame may give potential target businesses leverage over us in negotiating a business combination and may limit the time we have in which to conduct due diligence on potential business combination targets, in particular as we approach our dissolution deadline, which could undermine our ability to complete our initial business combination on terms that would produce value for our shareholders.</w:t>
      </w:r>
    </w:p>
    <w:p>
      <w:pPr>
        <w:spacing w:after="0" w:line="214" w:lineRule="exact"/>
        <w:rPr>
          <w:sz w:val="20"/>
          <w:szCs w:val="20"/>
          <w:color w:val="auto"/>
        </w:rPr>
      </w:pPr>
    </w:p>
    <w:p>
      <w:pPr>
        <w:ind w:right="100" w:firstLine="324"/>
        <w:spacing w:after="0" w:line="246" w:lineRule="auto"/>
        <w:rPr>
          <w:sz w:val="20"/>
          <w:szCs w:val="20"/>
          <w:color w:val="auto"/>
        </w:rPr>
      </w:pPr>
      <w:r>
        <w:rPr>
          <w:rFonts w:ascii="Arial" w:cs="Arial" w:eastAsia="Arial" w:hAnsi="Arial"/>
          <w:sz w:val="21"/>
          <w:szCs w:val="21"/>
          <w:color w:val="auto"/>
        </w:rPr>
        <w:t>Any potential target business with which we enter into negotiations concerning a business combination will be aware that we must complete our initial business combination within 18 months from the closing of our initial public offering. Consequently, such target business may obtain leverage over us in negotiating a business combination, knowing that if we do not complete our initial business combination with that particular target business, we may be unable to complete our initial business combination with any target business. This risk will increase as we get closer to the end of the 18-month period. In addition, we may have limited time to conduct due diligence and may enter into our initial business combination on terms that we would have rejected upon a more comprehensive investigation.</w:t>
      </w:r>
    </w:p>
    <w:p>
      <w:pPr>
        <w:spacing w:after="0" w:line="211" w:lineRule="exact"/>
        <w:rPr>
          <w:sz w:val="20"/>
          <w:szCs w:val="20"/>
          <w:color w:val="auto"/>
        </w:rPr>
      </w:pPr>
    </w:p>
    <w:p>
      <w:pPr>
        <w:ind w:left="180" w:right="20"/>
        <w:spacing w:after="0" w:line="238" w:lineRule="auto"/>
        <w:rPr>
          <w:sz w:val="20"/>
          <w:szCs w:val="20"/>
          <w:color w:val="auto"/>
        </w:rPr>
      </w:pPr>
      <w:r>
        <w:rPr>
          <w:rFonts w:ascii="Arial" w:cs="Arial" w:eastAsia="Arial" w:hAnsi="Arial"/>
          <w:sz w:val="22"/>
          <w:szCs w:val="22"/>
          <w:b w:val="1"/>
          <w:bCs w:val="1"/>
          <w:i w:val="1"/>
          <w:iCs w:val="1"/>
          <w:color w:val="auto"/>
        </w:rPr>
        <w:t>We may not be able to complete our initial business combination within the prescribed time frame, in which case we would cease all operations except for the purpose of winding up and we would redeem our public shares and liquidate, in which case our public shareholders may receive only $10.00 per share, or less than such amount in certain circumstances, and our warrants will expire worthless.</w:t>
      </w:r>
    </w:p>
    <w:p>
      <w:pPr>
        <w:spacing w:after="0" w:line="212" w:lineRule="exact"/>
        <w:rPr>
          <w:sz w:val="20"/>
          <w:szCs w:val="20"/>
          <w:color w:val="auto"/>
        </w:rPr>
      </w:pPr>
    </w:p>
    <w:p>
      <w:pPr>
        <w:ind w:right="440" w:firstLine="324"/>
        <w:spacing w:after="0" w:line="287" w:lineRule="auto"/>
        <w:rPr>
          <w:sz w:val="20"/>
          <w:szCs w:val="20"/>
          <w:color w:val="auto"/>
        </w:rPr>
      </w:pPr>
      <w:r>
        <w:rPr>
          <w:rFonts w:ascii="Arial" w:cs="Arial" w:eastAsia="Arial" w:hAnsi="Arial"/>
          <w:sz w:val="19"/>
          <w:szCs w:val="19"/>
          <w:color w:val="auto"/>
        </w:rPr>
        <w:t>Our sponsor, officers and directors have agreed that we must complete our initial business combination within 18 months from the closing of our initial public offering. We may not be able to find a suitable target business and complete our initial business combination within such time period. Our ability to complete our initial business combination may be negatively impacted by general market conditions, volatility in the capital and debt markets and the other risks described herein.</w:t>
      </w:r>
    </w:p>
    <w:p>
      <w:pPr>
        <w:spacing w:after="0" w:line="170" w:lineRule="exact"/>
        <w:rPr>
          <w:sz w:val="20"/>
          <w:szCs w:val="20"/>
          <w:color w:val="auto"/>
        </w:rPr>
      </w:pPr>
    </w:p>
    <w:p>
      <w:pPr>
        <w:ind w:right="20" w:firstLine="324"/>
        <w:spacing w:after="0" w:line="272" w:lineRule="auto"/>
        <w:rPr>
          <w:sz w:val="20"/>
          <w:szCs w:val="20"/>
          <w:color w:val="auto"/>
        </w:rPr>
      </w:pPr>
      <w:r>
        <w:rPr>
          <w:rFonts w:ascii="Arial" w:cs="Arial" w:eastAsia="Arial" w:hAnsi="Arial"/>
          <w:sz w:val="19"/>
          <w:szCs w:val="19"/>
          <w:color w:val="auto"/>
        </w:rPr>
        <w:t>If we are unable to complete our initial business combination within such 18-month period, we will: (1) cease all operations except for the purpose of winding up; (2) as promptly as reasonably possible but not more than 10 business days thereafter, redeem the public shares, at a per-share price, payable in cash, equal to the aggregate amount then on deposit in the trust account, including interest (less up to $100,000 of interest to pay dissolution expenses and which interest shall be net of taxes payable), divided by the number of then issued and outstanding public shares, which redemption will completely extinguish public shareholders’ rights as shareholders (including the right to receive further liquidating distributions, if any); and (3) as promptly as reasonably possible following such redemption, subject to the approval of our remaining shareholders and our board of directors, dissolve and liquidate, subject in each case to our obligations under Cayman Islands law to provide for claims of creditors and the requirements of other applicable law. In such case, our public shareholders may receive only $10.00 per share, or less than $10.00 per share, on the redemption of their shares, and our warrants will expire worthless. See “—If third parties bring claims against us, the proceeds held in the trust account could be reduced and the per-share redemption amount received by shareholders may be less than $10.00 per share” and other risk factors herein.</w:t>
      </w:r>
    </w:p>
    <w:p>
      <w:pPr>
        <w:spacing w:after="0" w:line="188" w:lineRule="exact"/>
        <w:rPr>
          <w:sz w:val="20"/>
          <w:szCs w:val="20"/>
          <w:color w:val="auto"/>
        </w:rPr>
      </w:pPr>
    </w:p>
    <w:p>
      <w:pPr>
        <w:ind w:left="180" w:right="840"/>
        <w:spacing w:after="0" w:line="250" w:lineRule="auto"/>
        <w:rPr>
          <w:sz w:val="20"/>
          <w:szCs w:val="20"/>
          <w:color w:val="auto"/>
        </w:rPr>
      </w:pPr>
      <w:r>
        <w:rPr>
          <w:rFonts w:ascii="Arial" w:cs="Arial" w:eastAsia="Arial" w:hAnsi="Arial"/>
          <w:sz w:val="22"/>
          <w:szCs w:val="22"/>
          <w:b w:val="1"/>
          <w:bCs w:val="1"/>
          <w:i w:val="1"/>
          <w:iCs w:val="1"/>
          <w:color w:val="auto"/>
        </w:rPr>
        <w:t>Our search for a business combination may be materially adversely affected by the recent coronavirus (COVID-19) outbreak.</w:t>
      </w:r>
    </w:p>
    <w:p>
      <w:pPr>
        <w:spacing w:after="0" w:line="202" w:lineRule="exact"/>
        <w:rPr>
          <w:sz w:val="20"/>
          <w:szCs w:val="20"/>
          <w:color w:val="auto"/>
        </w:rPr>
      </w:pPr>
    </w:p>
    <w:p>
      <w:pPr>
        <w:ind w:firstLine="324"/>
        <w:spacing w:after="0" w:line="273" w:lineRule="auto"/>
        <w:rPr>
          <w:sz w:val="20"/>
          <w:szCs w:val="20"/>
          <w:color w:val="auto"/>
        </w:rPr>
      </w:pPr>
      <w:r>
        <w:rPr>
          <w:rFonts w:ascii="Arial" w:cs="Arial" w:eastAsia="Arial" w:hAnsi="Arial"/>
          <w:sz w:val="19"/>
          <w:szCs w:val="19"/>
          <w:color w:val="auto"/>
        </w:rPr>
        <w:t>In December 2019, a novel strain of coronavirus was reported to have surfaced in Wuhan, China, which has and is continuing to spread throughout China and other parts of the world, including the United States. On January 30, 2020, the World Health Organization declared the outbreak of the coronavirus disease (COVID-19) a “Public Health Emergency of International Concern.” On January 31, 2020, U.S. Health and Human Services Secretary Alex M. Azar II declared a public health emergency for the United States to aid the U.S. healthcare community in responding to COVID-19. A significant outbreak of COVID-19 and other infectious diseases could result in a widespread health crisis that could adversely affect the economies and financial markets worldwide, and potential target companies may defer or end discussions for a potential business combination with us whether or not COVID-19 materially adversely affects their business operations. Additionally, we may be unable to complete a business combination if continued concerns relating to COVID-19 restrict travel, limit the ability to have meetings with potential investors or the target company’s personnel, vendors and services providers are unavailable to negotiate and consummate a transaction in a</w:t>
      </w:r>
    </w:p>
    <w:p>
      <w:pPr>
        <w:sectPr>
          <w:pgSz w:w="11900" w:h="16838" w:orient="portrait"/>
          <w:cols w:equalWidth="0" w:num="1">
            <w:col w:w="11240"/>
          </w:cols>
          <w:pgMar w:left="320" w:top="121" w:right="339" w:bottom="0" w:gutter="0" w:footer="0" w:header="0"/>
        </w:sectPr>
      </w:pPr>
    </w:p>
    <w:bookmarkStart w:id="26" w:name="page27"/>
    <w:bookmarkEnd w:id="26"/>
    <w:p>
      <w:pPr>
        <w:spacing w:after="0" w:line="236" w:lineRule="auto"/>
        <w:rPr>
          <w:sz w:val="20"/>
          <w:szCs w:val="20"/>
          <w:color w:val="auto"/>
        </w:rPr>
      </w:pPr>
      <w:r>
        <w:rPr>
          <w:rFonts w:ascii="Arial" w:cs="Arial" w:eastAsia="Arial" w:hAnsi="Arial"/>
          <w:sz w:val="22"/>
          <w:szCs w:val="22"/>
          <w:color w:val="auto"/>
        </w:rPr>
        <w:t>timely manner. The extent to which COVID-19 impacts our search for a business combination will depend on future developments, which are highly uncertain and cannot be predicted, including new information which may emerge concerning the severity of COVID-19 and the actions to contain COVID-19 or treat its impact, among others. If the disruptions posed by COVID-19 or other matters of global concern continue for an extensive period of time, our ability to consummate a business combination may be materially adversely affected.</w:t>
      </w:r>
    </w:p>
    <w:p>
      <w:pPr>
        <w:spacing w:after="0" w:line="393"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27" w:name="page28"/>
    <w:bookmarkEnd w:id="27"/>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ind w:left="180" w:right="60"/>
        <w:spacing w:after="0" w:line="257" w:lineRule="auto"/>
        <w:rPr>
          <w:sz w:val="20"/>
          <w:szCs w:val="20"/>
          <w:color w:val="auto"/>
        </w:rPr>
      </w:pPr>
      <w:r>
        <w:rPr>
          <w:rFonts w:ascii="Arial" w:cs="Arial" w:eastAsia="Arial" w:hAnsi="Arial"/>
          <w:sz w:val="21"/>
          <w:szCs w:val="21"/>
          <w:b w:val="1"/>
          <w:bCs w:val="1"/>
          <w:i w:val="1"/>
          <w:iCs w:val="1"/>
          <w:color w:val="auto"/>
        </w:rPr>
        <w:t>If we seek shareholder approval of our initial business combination, our sponsor, directors, officers, advisors or any of their affiliates may elect to purchase shares or warrants from public shareholders, which may influence a vote on a proposed business combination and reduce the public “float” of our securities.</w:t>
      </w:r>
    </w:p>
    <w:p>
      <w:pPr>
        <w:spacing w:after="0" w:line="196" w:lineRule="exact"/>
        <w:rPr>
          <w:sz w:val="20"/>
          <w:szCs w:val="20"/>
          <w:color w:val="auto"/>
        </w:rPr>
      </w:pPr>
    </w:p>
    <w:p>
      <w:pPr>
        <w:ind w:firstLine="324"/>
        <w:spacing w:after="0" w:line="270" w:lineRule="auto"/>
        <w:rPr>
          <w:sz w:val="20"/>
          <w:szCs w:val="20"/>
          <w:color w:val="auto"/>
        </w:rPr>
      </w:pPr>
      <w:r>
        <w:rPr>
          <w:rFonts w:ascii="Arial" w:cs="Arial" w:eastAsia="Arial" w:hAnsi="Arial"/>
          <w:sz w:val="19"/>
          <w:szCs w:val="19"/>
          <w:color w:val="auto"/>
        </w:rPr>
        <w:t>If we seek shareholder approval of our initial business combination and we do not conduct redemptions in connection with our initial business combination pursuant to the tender offer rules, our initial shareholders, directors, officers, advisors or any of their affiliates may purchase public shares or public warrants or a combination thereof in privately negotiated transactions or in the open market either prior to or following the completion of our initial business combination, although they are under no obligation or duty to do so. Please see “Item 1. Business—Permitted purchases of our securities” for a description of how such persons will determine from which shareholders to seek to acquire securities. Such a purchase may include a contractual acknowledgement that such shareholder, although still the record holder of our shares, is no longer the beneficial owner thereof and therefore agrees not to exercise its redemption rights. In the event that our sponsor, directors, officers, advisors or any of their affiliates purchase shares in privately negotiated transactions from public shareholders who have already elected to exercise their redemption rights or submitted a proxy to vote against our initial business combination, such selling shareholders would be required to revoke their prior elections to redeem their shares and any proxy to vote against our initial business combination. The price per share paid in any such transaction may be different than the amount per share a public shareholder would receive if it elected to redeem its shares in connection with our initial business combination. The purpose of such purchases could be to vote such shares in favor of our initial business combination and thereby increase the likelihood of obtaining shareholder approval of our initial business combination or to satisfy a closing condition in an agreement with a target that requires us to have a minimum net worth or a certain amount of cash at the closing of our initial business combination, where it appears that such requirement would otherwise not be met. The purpose of any such purchases of public warrants could be to reduce the number of public warrants outstanding or to vote such warrants on any matters submitted to the warrant holders for approval in connection with our initial business combination. This may result in the completion of our initial business combination that may not otherwise have been possible.</w:t>
      </w:r>
    </w:p>
    <w:p>
      <w:pPr>
        <w:spacing w:after="0" w:line="200" w:lineRule="exact"/>
        <w:rPr>
          <w:sz w:val="20"/>
          <w:szCs w:val="20"/>
          <w:color w:val="auto"/>
        </w:rPr>
      </w:pPr>
    </w:p>
    <w:p>
      <w:pPr>
        <w:spacing w:after="0" w:line="233" w:lineRule="exact"/>
        <w:rPr>
          <w:sz w:val="20"/>
          <w:szCs w:val="20"/>
          <w:color w:val="auto"/>
        </w:rPr>
      </w:pPr>
    </w:p>
    <w:p>
      <w:pPr>
        <w:jc w:val="both"/>
        <w:ind w:right="200" w:firstLine="324"/>
        <w:spacing w:after="0"/>
        <w:rPr>
          <w:sz w:val="20"/>
          <w:szCs w:val="20"/>
          <w:color w:val="auto"/>
        </w:rPr>
      </w:pPr>
      <w:r>
        <w:rPr>
          <w:rFonts w:ascii="Arial" w:cs="Arial" w:eastAsia="Arial" w:hAnsi="Arial"/>
          <w:sz w:val="22"/>
          <w:szCs w:val="22"/>
          <w:color w:val="auto"/>
        </w:rPr>
        <w:t>In addition, if such purchases are made, the public “float” of our Class A ordinary shares or public warrants and the number of beneficial holders of our securities may be reduced, possibly making it difficult to maintain or obtain the quotation, listing or trading of our securities on a national securities exchange.</w:t>
      </w:r>
    </w:p>
    <w:p>
      <w:pPr>
        <w:spacing w:after="0" w:line="213" w:lineRule="exact"/>
        <w:rPr>
          <w:sz w:val="20"/>
          <w:szCs w:val="20"/>
          <w:color w:val="auto"/>
        </w:rPr>
      </w:pPr>
    </w:p>
    <w:p>
      <w:pPr>
        <w:ind w:left="180" w:right="620"/>
        <w:spacing w:after="0" w:line="359" w:lineRule="auto"/>
        <w:rPr>
          <w:sz w:val="20"/>
          <w:szCs w:val="20"/>
          <w:color w:val="auto"/>
        </w:rPr>
      </w:pPr>
      <w:r>
        <w:rPr>
          <w:rFonts w:ascii="Arial" w:cs="Arial" w:eastAsia="Arial" w:hAnsi="Arial"/>
          <w:sz w:val="18"/>
          <w:szCs w:val="18"/>
          <w:b w:val="1"/>
          <w:bCs w:val="1"/>
          <w:i w:val="1"/>
          <w:iCs w:val="1"/>
          <w:color w:val="auto"/>
        </w:rPr>
        <w:t>If a shareholder fails to receive notice of our offer to redeem our public shares in connection with our initial business combination, or fails to comply with the procedures for tendering its shares, such shares may not be redeemed.</w:t>
      </w:r>
    </w:p>
    <w:p>
      <w:pPr>
        <w:spacing w:after="0" w:line="110" w:lineRule="exact"/>
        <w:rPr>
          <w:sz w:val="20"/>
          <w:szCs w:val="20"/>
          <w:color w:val="auto"/>
        </w:rPr>
      </w:pPr>
    </w:p>
    <w:p>
      <w:pPr>
        <w:ind w:right="20" w:firstLine="324"/>
        <w:spacing w:after="0" w:line="246" w:lineRule="auto"/>
        <w:rPr>
          <w:sz w:val="20"/>
          <w:szCs w:val="20"/>
          <w:color w:val="auto"/>
        </w:rPr>
      </w:pPr>
      <w:r>
        <w:rPr>
          <w:rFonts w:ascii="Arial" w:cs="Arial" w:eastAsia="Arial" w:hAnsi="Arial"/>
          <w:sz w:val="21"/>
          <w:szCs w:val="21"/>
          <w:color w:val="auto"/>
        </w:rPr>
        <w:t>We will comply with the tender offer rules or proxy rules, as applicable, when conducting redemptions in connection with our initial business combination. Despite our compliance with these rules, if a shareholder fails to receive our tender offer or proxy materials, as applicable, such shareholder may not become aware of the opportunity to redeem its shares. In addition, the tender offer documents or proxy materials, as applicable, that we will furnish to holders of our public shares in connection with our initial business combination will describe the various procedures that must be complied with in order to validly tender or redeem public shares. In the event that a shareholder fails to comply with these procedures, its shares may not be redeemed. See “Item 1. Business—Effecting Our Initial Business Combination—Tendering share certificates in connection with a tender offer or redemption rights.”</w:t>
      </w:r>
    </w:p>
    <w:p>
      <w:pPr>
        <w:spacing w:after="0" w:line="207" w:lineRule="exact"/>
        <w:rPr>
          <w:sz w:val="20"/>
          <w:szCs w:val="20"/>
          <w:color w:val="auto"/>
        </w:rPr>
      </w:pPr>
    </w:p>
    <w:p>
      <w:pPr>
        <w:ind w:left="180" w:right="460"/>
        <w:spacing w:after="0" w:line="359" w:lineRule="auto"/>
        <w:rPr>
          <w:sz w:val="20"/>
          <w:szCs w:val="20"/>
          <w:color w:val="auto"/>
        </w:rPr>
      </w:pPr>
      <w:r>
        <w:rPr>
          <w:rFonts w:ascii="Arial" w:cs="Arial" w:eastAsia="Arial" w:hAnsi="Arial"/>
          <w:sz w:val="18"/>
          <w:szCs w:val="18"/>
          <w:b w:val="1"/>
          <w:bCs w:val="1"/>
          <w:i w:val="1"/>
          <w:iCs w:val="1"/>
          <w:color w:val="auto"/>
        </w:rPr>
        <w:t>You will not have any rights or interests in funds from the trust account, except under certain limited circumstances. To liquidate your investment, therefore, you may be forced to sell your public shares or warrants, potentially at a loss.</w:t>
      </w:r>
    </w:p>
    <w:p>
      <w:pPr>
        <w:spacing w:after="0" w:line="110" w:lineRule="exact"/>
        <w:rPr>
          <w:sz w:val="20"/>
          <w:szCs w:val="20"/>
          <w:color w:val="auto"/>
        </w:rPr>
      </w:pPr>
    </w:p>
    <w:p>
      <w:pPr>
        <w:ind w:right="20" w:firstLine="324"/>
        <w:spacing w:after="0" w:line="244" w:lineRule="auto"/>
        <w:rPr>
          <w:sz w:val="20"/>
          <w:szCs w:val="20"/>
          <w:color w:val="auto"/>
        </w:rPr>
      </w:pPr>
      <w:r>
        <w:rPr>
          <w:rFonts w:ascii="Arial" w:cs="Arial" w:eastAsia="Arial" w:hAnsi="Arial"/>
          <w:sz w:val="21"/>
          <w:szCs w:val="21"/>
          <w:color w:val="auto"/>
        </w:rPr>
        <w:t>Our public shareholders will be entitled to receive funds from the trust account only upon the earliest to occur of: (1) the completion of our initial business combination, and then only in connection with those Class A ordinary shares that such shareholder properly elected to redeem, subject to the limitations described herein, (2) the redemption of any public shares properly submitted in connection with a shareholder vote to amend our amended and restated memorandum and articles of association (A) to modify the substance or timing of our obligation to redeem 100% of our public shares if we do not complete our initial business combination within 18 months from the closing of our initial public offering or (B) with respect to any other provision relating to shareholders’ rights or pre-initial business combination activity and (3) the redemption of our public shares if we are unable to complete our initial business combination within 18 months from the closing of our initial public offering, subject to applicable law and as further described herein. In no other circumstances will a shareholder have any right or interest of any kind in the trust account. Holders of warrants will not have any right to the proceeds held in the trust account with respect to the warrants. Accordingly, to liquidate your investment, you may be forced to sell your public shares or warrants, potentially at a loss.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8" w:name="page29"/>
    <w:bookmarkEnd w:id="28"/>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ind w:left="180" w:right="840"/>
        <w:spacing w:after="0" w:line="250" w:lineRule="auto"/>
        <w:rPr>
          <w:sz w:val="20"/>
          <w:szCs w:val="20"/>
          <w:color w:val="auto"/>
        </w:rPr>
      </w:pPr>
      <w:r>
        <w:rPr>
          <w:rFonts w:ascii="Arial" w:cs="Arial" w:eastAsia="Arial" w:hAnsi="Arial"/>
          <w:sz w:val="22"/>
          <w:szCs w:val="22"/>
          <w:b w:val="1"/>
          <w:bCs w:val="1"/>
          <w:i w:val="1"/>
          <w:iCs w:val="1"/>
          <w:color w:val="auto"/>
        </w:rPr>
        <w:t>Nasdaq may delist our securities from its exchange, which could limit investors’ ability to make transactions in our securities and subject us to additional trading restrictions.</w:t>
      </w:r>
    </w:p>
    <w:p>
      <w:pPr>
        <w:spacing w:after="0" w:line="202" w:lineRule="exact"/>
        <w:rPr>
          <w:sz w:val="20"/>
          <w:szCs w:val="20"/>
          <w:color w:val="auto"/>
        </w:rPr>
      </w:pPr>
    </w:p>
    <w:p>
      <w:pPr>
        <w:ind w:firstLine="324"/>
        <w:spacing w:after="0" w:line="273" w:lineRule="auto"/>
        <w:rPr>
          <w:sz w:val="20"/>
          <w:szCs w:val="20"/>
          <w:color w:val="auto"/>
        </w:rPr>
      </w:pPr>
      <w:r>
        <w:rPr>
          <w:rFonts w:ascii="Arial" w:cs="Arial" w:eastAsia="Arial" w:hAnsi="Arial"/>
          <w:sz w:val="19"/>
          <w:szCs w:val="19"/>
          <w:color w:val="auto"/>
        </w:rPr>
        <w:t>Our units, Class A ordinary shares and warrants are listed on Nasdaq. Although, we expect to meet on a pro forma basis Nasdaq’s minimum initial listing standards, which generally only require that we meet certain requirements relating to shareholders’ equity, market capitalization, aggregate market value of publicly held shares and distribution requirements, we cannot assure you that our securities will continue to be listed on Nasdaq in the future or prior to our initial business combination. In order to continue listing our securities on Nasdaq prior to our initial business combination, we must maintain certain financial, distribution and share price levels. Generally, we must maintain a minimum amount in stockholders’ equity (generally $2,500,000) and a minimum number of holders of our securities (generally 300 public holders). Additionally, in connection with our initial business combination, it is likely that Nasdaq will require us to file a new initial listing application and meet its initial listing requirements as well as certain qualitative requirements, as opposed to its more lenient continued listing requirements. We cannot assure you that we will be able to meet those initial listing requirements at that time.</w:t>
      </w:r>
    </w:p>
    <w:p>
      <w:pPr>
        <w:spacing w:after="0" w:line="188" w:lineRule="exact"/>
        <w:rPr>
          <w:sz w:val="20"/>
          <w:szCs w:val="20"/>
          <w:color w:val="auto"/>
        </w:rPr>
      </w:pPr>
    </w:p>
    <w:p>
      <w:pPr>
        <w:ind w:right="180" w:firstLine="324"/>
        <w:spacing w:after="0"/>
        <w:rPr>
          <w:sz w:val="20"/>
          <w:szCs w:val="20"/>
          <w:color w:val="auto"/>
        </w:rPr>
      </w:pPr>
      <w:r>
        <w:rPr>
          <w:rFonts w:ascii="Arial" w:cs="Arial" w:eastAsia="Arial" w:hAnsi="Arial"/>
          <w:sz w:val="22"/>
          <w:szCs w:val="22"/>
          <w:color w:val="auto"/>
        </w:rPr>
        <w:t>If Nasdaq delists any of our securities from trading on its exchange and we are not able to list such securities on another national securities exchange, we expect such securities could be quoted on an over-the-counter market. If this were to occur, we could face significant material adverse consequences, including:</w:t>
      </w:r>
    </w:p>
    <w:p>
      <w:pPr>
        <w:spacing w:after="0" w:line="220"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limited availability of market quotations for our securities;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reduced liquidity with respect to such securities;</w:t>
      </w:r>
    </w:p>
    <w:p>
      <w:pPr>
        <w:spacing w:after="0" w:line="252"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a determination that our Class A ordinary shares are a “penny stock” which will require brokers trading in our Class A ordinary shares to adhere to more stringent rules, possibly resulting in a reduced level of trading activity in the secondary trading market for our securities;</w:t>
      </w:r>
    </w:p>
    <w:p>
      <w:pPr>
        <w:spacing w:after="0" w:line="173" w:lineRule="exact"/>
        <w:rPr>
          <w:rFonts w:ascii="Arial" w:cs="Arial" w:eastAsia="Arial" w:hAnsi="Arial"/>
          <w:sz w:val="17"/>
          <w:szCs w:val="17"/>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limited amount of news and analyst coverage for our company;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decreased ability to issue additional securities or obtain additional financing in the future.</w:t>
      </w:r>
    </w:p>
    <w:p>
      <w:pPr>
        <w:spacing w:after="0" w:line="245" w:lineRule="exact"/>
        <w:rPr>
          <w:sz w:val="20"/>
          <w:szCs w:val="20"/>
          <w:color w:val="auto"/>
        </w:rPr>
      </w:pPr>
    </w:p>
    <w:p>
      <w:pPr>
        <w:ind w:right="120" w:firstLine="324"/>
        <w:spacing w:after="0" w:line="273" w:lineRule="auto"/>
        <w:rPr>
          <w:sz w:val="20"/>
          <w:szCs w:val="20"/>
          <w:color w:val="auto"/>
        </w:rPr>
      </w:pPr>
      <w:r>
        <w:rPr>
          <w:rFonts w:ascii="Arial" w:cs="Arial" w:eastAsia="Arial" w:hAnsi="Arial"/>
          <w:sz w:val="19"/>
          <w:szCs w:val="19"/>
          <w:color w:val="auto"/>
        </w:rPr>
        <w:t>The National Securities Markets Improvement Act of 1996, which is a federal statute, prevents or preempts the states from regulating the sale of certain securities, which are referred to as “covered securities.” Because our units, Class A ordinary shares and warrants are listed on Nasdaq, our units, Class A ordinary shares and warrants qualify as covered securities under such statute. Although the states are preempted from regulating the sale of covered securities, the federal statute does allow the states to investigate companies if there is a suspicion of fraud, and, if there is a finding of fraudulent activity, then the states can regulate or bar the sale of covered securities in a particular case. While we are not aware of a state having used these powers to prohibit or restrict the sale of securities issued by blank check companies, other than the State of Idaho, certain state securities regulators view blank check companies unfavorably and might use these powers, or threaten to use these powers, to hinder the sale of securities of blank check companies in their states. Further, if we were no longer listed on Nasdaq, our securities would not qualify as covered securities under such statute and we would be subject to regulation in each state in which we offer our securities.</w:t>
      </w:r>
    </w:p>
    <w:p>
      <w:pPr>
        <w:spacing w:after="0" w:line="200" w:lineRule="exact"/>
        <w:rPr>
          <w:sz w:val="20"/>
          <w:szCs w:val="20"/>
          <w:color w:val="auto"/>
        </w:rPr>
      </w:pPr>
    </w:p>
    <w:p>
      <w:pPr>
        <w:spacing w:after="0" w:line="231" w:lineRule="exact"/>
        <w:rPr>
          <w:sz w:val="20"/>
          <w:szCs w:val="20"/>
          <w:color w:val="auto"/>
        </w:rPr>
      </w:pPr>
    </w:p>
    <w:p>
      <w:pPr>
        <w:ind w:left="180"/>
        <w:spacing w:after="0"/>
        <w:rPr>
          <w:sz w:val="20"/>
          <w:szCs w:val="20"/>
          <w:color w:val="auto"/>
        </w:rPr>
      </w:pPr>
      <w:r>
        <w:rPr>
          <w:rFonts w:ascii="Arial" w:cs="Arial" w:eastAsia="Arial" w:hAnsi="Arial"/>
          <w:sz w:val="21"/>
          <w:szCs w:val="21"/>
          <w:b w:val="1"/>
          <w:bCs w:val="1"/>
          <w:i w:val="1"/>
          <w:iCs w:val="1"/>
          <w:color w:val="auto"/>
        </w:rPr>
        <w:t>You are not be entitled to protections normally afforded to investors of many other blank check companies.</w:t>
      </w:r>
    </w:p>
    <w:p>
      <w:pPr>
        <w:spacing w:after="0" w:line="245" w:lineRule="exact"/>
        <w:rPr>
          <w:sz w:val="20"/>
          <w:szCs w:val="20"/>
          <w:color w:val="auto"/>
        </w:rPr>
      </w:pPr>
    </w:p>
    <w:p>
      <w:pPr>
        <w:ind w:right="20" w:firstLine="324"/>
        <w:spacing w:after="0" w:line="244" w:lineRule="auto"/>
        <w:rPr>
          <w:sz w:val="20"/>
          <w:szCs w:val="20"/>
          <w:color w:val="auto"/>
        </w:rPr>
      </w:pPr>
      <w:r>
        <w:rPr>
          <w:rFonts w:ascii="Arial" w:cs="Arial" w:eastAsia="Arial" w:hAnsi="Arial"/>
          <w:sz w:val="21"/>
          <w:szCs w:val="21"/>
          <w:color w:val="auto"/>
        </w:rPr>
        <w:t>Since the net proceeds of our initial public offering and the sale of the private placement warrants are intended to be used to complete an initial business combination with a target business that has not been identified, we may be deemed to be a “blank check” company under the U.S. securities laws. However, because we have net tangible assets in excess of $5,000,000 as of the successful completion of our initial public offering and the sale of the private placement warrants and we filed a Current Report on Form 8-K, including an audited balance sheet of the Company demonstrating this fact, we are exempt from rules promulgated by the SEC to protect investors in blank check companies, such as Rule 419. Accordingly, investors are not be afforded the benefits or protections of those rules. Among other things, this means our units were immediately tradable and we have a longer period of time to complete our initial business combination than do companies subject to Rule 419. Moreover, if our initial public offering were subject to Rule 419, that rule would have prohibited the release of any interest earned on funds held in the trust account to us unless and until the funds in the trust account were released to us in connection with our completion of an initial business combination.</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29" w:name="page30"/>
    <w:bookmarkEnd w:id="29"/>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jc w:val="both"/>
        <w:ind w:left="180" w:right="440"/>
        <w:spacing w:after="0" w:line="297" w:lineRule="auto"/>
        <w:rPr>
          <w:sz w:val="20"/>
          <w:szCs w:val="20"/>
          <w:color w:val="auto"/>
        </w:rPr>
      </w:pPr>
      <w:r>
        <w:rPr>
          <w:rFonts w:ascii="Arial" w:cs="Arial" w:eastAsia="Arial" w:hAnsi="Arial"/>
          <w:sz w:val="19"/>
          <w:szCs w:val="19"/>
          <w:b w:val="1"/>
          <w:bCs w:val="1"/>
          <w:i w:val="1"/>
          <w:iCs w:val="1"/>
          <w:color w:val="auto"/>
        </w:rPr>
        <w:t>If we seek shareholder approval of our initial business combination and we do not conduct redemptions pursuant to the tender offer rules, and if you or a “group” of shareholders are deemed to hold in excess of 15% of our Class A ordinary shares, you will lose the ability to redeem all such shares in excess of 15% of our Class A ordinary shares.</w:t>
      </w:r>
    </w:p>
    <w:p>
      <w:pPr>
        <w:spacing w:after="0" w:line="161" w:lineRule="exact"/>
        <w:rPr>
          <w:sz w:val="20"/>
          <w:szCs w:val="20"/>
          <w:color w:val="auto"/>
        </w:rPr>
      </w:pPr>
    </w:p>
    <w:p>
      <w:pPr>
        <w:ind w:firstLine="324"/>
        <w:spacing w:after="0" w:line="272" w:lineRule="auto"/>
        <w:rPr>
          <w:sz w:val="20"/>
          <w:szCs w:val="20"/>
          <w:color w:val="auto"/>
        </w:rPr>
      </w:pPr>
      <w:r>
        <w:rPr>
          <w:rFonts w:ascii="Arial" w:cs="Arial" w:eastAsia="Arial" w:hAnsi="Arial"/>
          <w:sz w:val="19"/>
          <w:szCs w:val="19"/>
          <w:color w:val="auto"/>
        </w:rPr>
        <w:t>If we seek shareholder approval of our initial business combination and we do not conduct redemptions in connection with our initial business combination pursuant to the tender offer rules, our amended and restated memorandum and articles of association provides that a public shareholder, together with any affiliate of such shareholder or any other person with whom such shareholder is acting in concert or as a “group” (as defined under Section 13 of the Exchange Act), is restricted from redeeming its shares with respect to more than an aggregate of 15% of the shares sold in our initial public offering, which we refer to as the “Excess Shares,” without our prior consent. However, we would not be restricting our shareholders’ ability to vote all of their shares (including Excess Shares) for or against our initial business combination. Your inability to redeem the Excess Shares reduces your influence over our ability to complete our initial business combination and you could suffer a material loss on your investment in us if you sell Excess Shares in open market transactions. Additionally, you will not receive redemption distributions with respect to the Excess Shares if we complete our initial business combination. And as a result, you will continue to hold that number of shares exceeding 15% and, in order to dispose of such shares, would be required to sell your shares in open market transactions, potentially at a loss.</w:t>
      </w:r>
    </w:p>
    <w:p>
      <w:pPr>
        <w:spacing w:after="0" w:line="200" w:lineRule="exact"/>
        <w:rPr>
          <w:sz w:val="20"/>
          <w:szCs w:val="20"/>
          <w:color w:val="auto"/>
        </w:rPr>
      </w:pPr>
    </w:p>
    <w:p>
      <w:pPr>
        <w:spacing w:after="0" w:line="235" w:lineRule="exact"/>
        <w:rPr>
          <w:sz w:val="20"/>
          <w:szCs w:val="20"/>
          <w:color w:val="auto"/>
        </w:rPr>
      </w:pPr>
    </w:p>
    <w:p>
      <w:pPr>
        <w:ind w:left="180" w:right="180"/>
        <w:spacing w:after="0" w:line="252" w:lineRule="auto"/>
        <w:rPr>
          <w:sz w:val="20"/>
          <w:szCs w:val="20"/>
          <w:color w:val="auto"/>
        </w:rPr>
      </w:pPr>
      <w:r>
        <w:rPr>
          <w:rFonts w:ascii="Arial" w:cs="Arial" w:eastAsia="Arial" w:hAnsi="Arial"/>
          <w:sz w:val="21"/>
          <w:szCs w:val="21"/>
          <w:b w:val="1"/>
          <w:bCs w:val="1"/>
          <w:i w:val="1"/>
          <w:iCs w:val="1"/>
          <w:color w:val="auto"/>
        </w:rPr>
        <w:t>Because of our limited resources and the significant competition for business combination opportunities, it may be more difficult for us to complete our initial business combination. If we are unable to complete our initial business combination, our public shareholders may receive only approximately $10.00 per share, or less in certain circumstances, on our redemption of their shares, and our warrants will expire worthless.</w:t>
      </w:r>
    </w:p>
    <w:p>
      <w:pPr>
        <w:spacing w:after="0" w:line="201" w:lineRule="exact"/>
        <w:rPr>
          <w:sz w:val="20"/>
          <w:szCs w:val="20"/>
          <w:color w:val="auto"/>
        </w:rPr>
      </w:pPr>
    </w:p>
    <w:p>
      <w:pPr>
        <w:ind w:firstLine="324"/>
        <w:spacing w:after="0" w:line="270" w:lineRule="auto"/>
        <w:rPr>
          <w:sz w:val="20"/>
          <w:szCs w:val="20"/>
          <w:color w:val="auto"/>
        </w:rPr>
      </w:pPr>
      <w:r>
        <w:rPr>
          <w:rFonts w:ascii="Arial" w:cs="Arial" w:eastAsia="Arial" w:hAnsi="Arial"/>
          <w:sz w:val="19"/>
          <w:szCs w:val="19"/>
          <w:color w:val="auto"/>
        </w:rPr>
        <w:t>We expect to encounter intense competition from other entities having a business objective similar to ours, including private investors (which may be individuals or investment partnerships), other blank check companies and other entities, domestic and international, competing for the types of businesses we intend to acquire. Many of these individuals and entities are well established and have extensive experience in identifying and effecting, directly or indirectly, acquisitions of companies operating in or providing services to various industries. Many of these competitors possess greater technical, human and other resources or more local industry knowledge than we do and our financial resources will be relatively limited when contrasted with those of many of these competitors. While we believe there are numerous target businesses we could potentially acquire with the net proceeds of our initial public offering and the sale of the private placement warrants, our ability to compete with respect to the acquisition of certain target businesses that are sizable will be limited by our available financial resources. This inherent competitive limitation gives others an advantage in pursuing the acquisition of certain target businesses. Furthermore, in the event we seek shareholder approval of our initial business combination and we are obligated to pay cash for our Class A ordinary shares, it will potentially reduce the resources available to us for our initial business combination. Any of these obligations may place us at a competitive disadvantage in successfully negotiating a business combination. If we are unable to complete our initial business combination, our public shareholders may receive only approximately $10.00 per share, or less in certain circumstances, on the liquidation of our trust account and our warrants will expire worthless. See “—If third parties bring claims against us, the proceeds held in the trust account could be reduced and the per-share redemption amount received by shareholders may be less than $10.00 per share” and other risk factors herein.</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ind w:left="180"/>
        <w:spacing w:after="0" w:line="328" w:lineRule="auto"/>
        <w:rPr>
          <w:sz w:val="20"/>
          <w:szCs w:val="20"/>
          <w:color w:val="auto"/>
        </w:rPr>
      </w:pPr>
      <w:r>
        <w:rPr>
          <w:rFonts w:ascii="Arial" w:cs="Arial" w:eastAsia="Arial" w:hAnsi="Arial"/>
          <w:sz w:val="19"/>
          <w:szCs w:val="19"/>
          <w:b w:val="1"/>
          <w:bCs w:val="1"/>
          <w:i w:val="1"/>
          <w:iCs w:val="1"/>
          <w:color w:val="auto"/>
        </w:rPr>
        <w:t>If the funds not being held in the trust account are insufficient to allow us to operate for at least the 18 months following the closing of our initial public offering, we may be unable to complete our initial business combination.</w:t>
      </w:r>
    </w:p>
    <w:p>
      <w:pPr>
        <w:spacing w:after="0" w:line="132" w:lineRule="exact"/>
        <w:rPr>
          <w:sz w:val="20"/>
          <w:szCs w:val="20"/>
          <w:color w:val="auto"/>
        </w:rPr>
      </w:pPr>
    </w:p>
    <w:p>
      <w:pPr>
        <w:ind w:right="120" w:firstLine="324"/>
        <w:spacing w:after="0" w:line="246" w:lineRule="auto"/>
        <w:rPr>
          <w:sz w:val="20"/>
          <w:szCs w:val="20"/>
          <w:color w:val="auto"/>
        </w:rPr>
      </w:pPr>
      <w:r>
        <w:rPr>
          <w:rFonts w:ascii="Arial" w:cs="Arial" w:eastAsia="Arial" w:hAnsi="Arial"/>
          <w:sz w:val="21"/>
          <w:szCs w:val="21"/>
          <w:color w:val="auto"/>
        </w:rPr>
        <w:t>The funds available to us outside of the trust account may not be sufficient to allow us to operate for at least the 18 months following the closing of our initial public offering, assuming that our initial business combination is not completed during that time. We expect to incur significant costs in pursuit of our acquisition plans. Management’s plans to address this need for capital through our initial public offering and potential loans from certain of our affiliates are discussed in the section of this Annual Report titled “Item 7. Management’s Discussion and Analysis of Financial Condition and Results of Operations.” However, our affiliates are not obligated to make loans to us in the future, and we may not be able to raise additional financing from unaffiliated parties necessary to fund our expenses. Any such event in the future may negatively impact the analysis regarding our ability to continue as a going concern at such time.</w:t>
      </w:r>
    </w:p>
    <w:p>
      <w:pPr>
        <w:spacing w:after="0" w:line="207" w:lineRule="exact"/>
        <w:rPr>
          <w:sz w:val="20"/>
          <w:szCs w:val="20"/>
          <w:color w:val="auto"/>
        </w:rPr>
      </w:pPr>
    </w:p>
    <w:p>
      <w:pPr>
        <w:ind w:left="340"/>
        <w:spacing w:after="0"/>
        <w:rPr>
          <w:sz w:val="20"/>
          <w:szCs w:val="20"/>
          <w:color w:val="auto"/>
        </w:rPr>
      </w:pPr>
      <w:r>
        <w:rPr>
          <w:rFonts w:ascii="Arial" w:cs="Arial" w:eastAsia="Arial" w:hAnsi="Arial"/>
          <w:sz w:val="19"/>
          <w:szCs w:val="19"/>
          <w:color w:val="auto"/>
        </w:rPr>
        <w:t>We believe that the funds available to us outside of the trust account, will be sufficient to allow us to operate for at least the</w:t>
      </w:r>
    </w:p>
    <w:p>
      <w:pPr>
        <w:spacing w:after="0" w:line="43" w:lineRule="exact"/>
        <w:rPr>
          <w:sz w:val="20"/>
          <w:szCs w:val="20"/>
          <w:color w:val="auto"/>
        </w:rPr>
      </w:pPr>
    </w:p>
    <w:p>
      <w:pPr>
        <w:ind w:right="40"/>
        <w:spacing w:after="0" w:line="270" w:lineRule="auto"/>
        <w:rPr>
          <w:sz w:val="20"/>
          <w:szCs w:val="20"/>
          <w:color w:val="auto"/>
        </w:rPr>
      </w:pPr>
      <w:r>
        <w:rPr>
          <w:rFonts w:ascii="Arial" w:cs="Arial" w:eastAsia="Arial" w:hAnsi="Arial"/>
          <w:sz w:val="19"/>
          <w:szCs w:val="19"/>
          <w:color w:val="auto"/>
        </w:rPr>
        <w:t>18 months following the closing of our initial public offering; however, we cannot assure you that our estimate is accurate. Of the funds available to us, we could use a portion of the funds available to us to pay fees to consultants to assist us with our search for a target business. We could also use a portion of the funds as a down payment or to fund a “no-shop” provision (a provision in letters of intent designed to keep target businesses from “shopping” around for transactions with other companies or investors on terms more favorable to such target businesses) with respect to a particular proposed business combination, although we do not have any current intention to do so. If we entered into a letter of intent where we paid for the right to receive exclusivity from a target business and were subsequently required to forfeit such funds (whether as a result of our breach or otherwise), we might not have sufficient funds to continue searching for, or conduct due diligence with respect to, a target business. If we are unable to complete our initial business combination, our public shareholders may receive only approximately $10.00 per share, or less in certain circumstances, on the liquidation of our trust account and our warrants will expire worthless. See “—If third parties bring claims against us, the proceeds held in the trust account could be reduced and the per-share redemption amount received by shareholders may be less than $10.00 per share” and other risk factors herein.</w:t>
      </w:r>
    </w:p>
    <w:p>
      <w:pPr>
        <w:spacing w:after="0" w:line="191" w:lineRule="exact"/>
        <w:rPr>
          <w:sz w:val="20"/>
          <w:szCs w:val="20"/>
          <w:color w:val="auto"/>
        </w:rPr>
      </w:pPr>
    </w:p>
    <w:p>
      <w:pPr>
        <w:ind w:left="180" w:right="120"/>
        <w:spacing w:after="0" w:line="307" w:lineRule="auto"/>
        <w:rPr>
          <w:sz w:val="20"/>
          <w:szCs w:val="20"/>
          <w:color w:val="auto"/>
        </w:rPr>
      </w:pPr>
      <w:r>
        <w:rPr>
          <w:rFonts w:ascii="Arial" w:cs="Arial" w:eastAsia="Arial" w:hAnsi="Arial"/>
          <w:sz w:val="18"/>
          <w:szCs w:val="18"/>
          <w:b w:val="1"/>
          <w:bCs w:val="1"/>
          <w:i w:val="1"/>
          <w:iCs w:val="1"/>
          <w:color w:val="auto"/>
        </w:rPr>
        <w:t>If the net proceeds of our initial public offering and the sale of the private placement warrants not being held in the trust account are insufficient, it could limit the amount available to fund our search for a target business or businesses and complete our initial business combination and we may depend on loans from our sponsor or management team to fund our search, to pay our taxes and to complete our initial business combination. Our sponsor is not obligated to fund such loans.</w:t>
      </w:r>
    </w:p>
    <w:p>
      <w:pPr>
        <w:spacing w:after="0" w:line="156" w:lineRule="exact"/>
        <w:rPr>
          <w:sz w:val="20"/>
          <w:szCs w:val="20"/>
          <w:color w:val="auto"/>
        </w:rPr>
      </w:pPr>
    </w:p>
    <w:p>
      <w:pPr>
        <w:ind w:right="20" w:firstLine="324"/>
        <w:spacing w:after="0" w:line="271" w:lineRule="auto"/>
        <w:rPr>
          <w:sz w:val="20"/>
          <w:szCs w:val="20"/>
          <w:color w:val="auto"/>
        </w:rPr>
      </w:pPr>
      <w:r>
        <w:rPr>
          <w:rFonts w:ascii="Arial" w:cs="Arial" w:eastAsia="Arial" w:hAnsi="Arial"/>
          <w:sz w:val="19"/>
          <w:szCs w:val="19"/>
          <w:color w:val="auto"/>
        </w:rPr>
        <w:t>Of the net proceeds of our initial public offering and the sale of the private placement warrants, only approximately $1,000,000 are available to us initially outside the trust account to fund our working capital requirements. In the event that our offering expenses exceed our estimate of $1,000,000, we may fund such excess with funds not to be held in the trust account. In such case, the amount of funds we intend to be held outside the trust account would decrease by a corresponding amount. Conversely, in the event that the offering expenses are less than our estimate of $1,000,000, the amount of funds we intend to be held outside the trust account would increase by a corresponding amount. If we are required to seek additional capital, we would need to borrow funds from our sponsor, management team or other third parties to operate or may be forced to liquidate. Neither our sponsor, members of our management team nor any of their affiliates is under any obligation to loan funds to, or invest in, us in such circumstances. Any such loans may be repaid only from funds held outside the trust account or from funds released to us upon completion of our initial business combination. If we are unable to complete our initial business combination because we do not have sufficient funds available to us, we will be forced to cease operations and liquidate the trust account. In such case, our public shareholders may receive only $10.00 per share, or less in certain circumstances, and our warrants will expire worthless. See “—If third parties bring claims against us, the proceeds held in the trust account could be reduced and the per-share redemption amount received by shareholders may be less than $10.00 per share” and other risk factors herein.</w:t>
      </w:r>
    </w:p>
    <w:p>
      <w:pPr>
        <w:spacing w:after="0" w:line="191" w:lineRule="exact"/>
        <w:rPr>
          <w:sz w:val="20"/>
          <w:szCs w:val="20"/>
          <w:color w:val="auto"/>
        </w:rPr>
      </w:pPr>
    </w:p>
    <w:p>
      <w:pPr>
        <w:jc w:val="both"/>
        <w:ind w:left="180" w:right="480"/>
        <w:spacing w:after="0" w:line="257" w:lineRule="auto"/>
        <w:rPr>
          <w:sz w:val="20"/>
          <w:szCs w:val="20"/>
          <w:color w:val="auto"/>
        </w:rPr>
      </w:pPr>
      <w:r>
        <w:rPr>
          <w:rFonts w:ascii="Arial" w:cs="Arial" w:eastAsia="Arial" w:hAnsi="Arial"/>
          <w:sz w:val="21"/>
          <w:szCs w:val="21"/>
          <w:b w:val="1"/>
          <w:bCs w:val="1"/>
          <w:i w:val="1"/>
          <w:iCs w:val="1"/>
          <w:color w:val="auto"/>
        </w:rPr>
        <w:t>We may be required to subsequently take write-downs or write-offs, restructuring and impairment or other charges that could have a significant negative effect on our financial condition, results of operations and the price of our securities, which could cause you to lose some or all of your investment.</w:t>
      </w:r>
    </w:p>
    <w:p>
      <w:pPr>
        <w:spacing w:after="0" w:line="196" w:lineRule="exact"/>
        <w:rPr>
          <w:sz w:val="20"/>
          <w:szCs w:val="20"/>
          <w:color w:val="auto"/>
        </w:rPr>
      </w:pPr>
    </w:p>
    <w:p>
      <w:pPr>
        <w:ind w:right="20" w:firstLine="324"/>
        <w:spacing w:after="0" w:line="272" w:lineRule="auto"/>
        <w:rPr>
          <w:sz w:val="20"/>
          <w:szCs w:val="20"/>
          <w:color w:val="auto"/>
        </w:rPr>
      </w:pPr>
      <w:r>
        <w:rPr>
          <w:rFonts w:ascii="Arial" w:cs="Arial" w:eastAsia="Arial" w:hAnsi="Arial"/>
          <w:sz w:val="19"/>
          <w:szCs w:val="19"/>
          <w:color w:val="auto"/>
        </w:rPr>
        <w:t>Even if we conduct extensive due diligence on a target business with which we combine, we cannot assure you that this diligence will identify all material issues that may be present with a particular target business, that it would be possible to uncover all material issues through a customary amount of due diligence, or that factors outside of the target business and outside of our control will not later arise. As a result of these factors, we may be forced to later write down or write off assets, restructure our operations, or incur impairment or other charges that could result in our reporting losses. Even if our due diligence successfully identifies certain risks, unexpected risks may arise and previously known risks may materialize in a manner not consistent with our preliminary risk analysis. Even though these charges may be non-cash items and not have an immediate impact on our liquidity, the fact that we report charges of this nature could contribute to negative market perceptions about us or our securities. In addition, charges of this nature may cause us to violate net worth or other covenants to which we may be subject as a result of assuming pre-existing debt held by a target business or by virtue of our obtaining post-combination debt financing. Accordingly, any shareholder or warrant holder who chooses to remain a shareholder or warrant holder following our initial business combination could suffer a reduction in the value of their securities. Such shareholders and warrant holders are unlikely to have a remedy for such reduction in value.</w:t>
      </w:r>
    </w:p>
    <w:p>
      <w:pPr>
        <w:sectPr>
          <w:pgSz w:w="11900" w:h="16838" w:orient="portrait"/>
          <w:cols w:equalWidth="0" w:num="1">
            <w:col w:w="11240"/>
          </w:cols>
          <w:pgMar w:left="320" w:top="121" w:right="3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0" w:gutter="0" w:footer="0" w:header="0"/>
          <w:type w:val="continuous"/>
        </w:sectPr>
      </w:pPr>
    </w:p>
    <w:bookmarkStart w:id="31" w:name="page32"/>
    <w:bookmarkEnd w:id="31"/>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ind w:left="180" w:right="980"/>
        <w:spacing w:after="0" w:line="274" w:lineRule="auto"/>
        <w:rPr>
          <w:sz w:val="20"/>
          <w:szCs w:val="20"/>
          <w:color w:val="auto"/>
        </w:rPr>
      </w:pPr>
      <w:r>
        <w:rPr>
          <w:rFonts w:ascii="Arial" w:cs="Arial" w:eastAsia="Arial" w:hAnsi="Arial"/>
          <w:sz w:val="21"/>
          <w:szCs w:val="21"/>
          <w:b w:val="1"/>
          <w:bCs w:val="1"/>
          <w:i w:val="1"/>
          <w:iCs w:val="1"/>
          <w:color w:val="auto"/>
        </w:rPr>
        <w:t>If third parties bring claims against us, the proceeds held in the trust account could be reduced and the per-share redemption amount received by shareholders may be less than $10.00 per share.</w:t>
      </w:r>
    </w:p>
    <w:p>
      <w:pPr>
        <w:spacing w:after="0" w:line="178" w:lineRule="exact"/>
        <w:rPr>
          <w:sz w:val="20"/>
          <w:szCs w:val="20"/>
          <w:color w:val="auto"/>
        </w:rPr>
      </w:pPr>
    </w:p>
    <w:p>
      <w:pPr>
        <w:ind w:right="20" w:firstLine="324"/>
        <w:spacing w:after="0" w:line="273" w:lineRule="auto"/>
        <w:rPr>
          <w:sz w:val="20"/>
          <w:szCs w:val="20"/>
          <w:color w:val="auto"/>
        </w:rPr>
      </w:pPr>
      <w:r>
        <w:rPr>
          <w:rFonts w:ascii="Arial" w:cs="Arial" w:eastAsia="Arial" w:hAnsi="Arial"/>
          <w:sz w:val="19"/>
          <w:szCs w:val="19"/>
          <w:color w:val="auto"/>
        </w:rPr>
        <w:t>Our placing of funds in the trust account may not protect those funds from third-party claims against us. Although we will seek to have all vendors, service providers (other than our independent auditors), prospective target businesses or other entities with which we do business execute agreements with us waiving any right, title, interest or claim of any kind in or to any monies held in the trust account for the benefit of our public shareholders, such parties may not execute such agreements, or even if they execute such agreements they may not be prevented from bringing claims against the trust account, including, but not limited to, fraudulent inducement, breach of fiduciary responsibility or other similar claims, as well as claims challenging the enforceability of the waiver, in each case in order to gain advantage with respect to a claim against our assets, including the funds held in the trust account. If any third party refuses to execute an agreement waiving such claims to the monies held in the trust account, our management will perform an analysis of the alternatives available to it and will enter into an agreement with a third party that has not executed a waiver only if management believes that such third party’s engagement would be significantly more beneficial to us than any alternative.</w:t>
      </w:r>
    </w:p>
    <w:p>
      <w:pPr>
        <w:spacing w:after="0" w:line="182" w:lineRule="exact"/>
        <w:rPr>
          <w:sz w:val="20"/>
          <w:szCs w:val="20"/>
          <w:color w:val="auto"/>
        </w:rPr>
      </w:pPr>
    </w:p>
    <w:p>
      <w:pPr>
        <w:ind w:firstLine="324"/>
        <w:spacing w:after="0" w:line="272" w:lineRule="auto"/>
        <w:rPr>
          <w:sz w:val="20"/>
          <w:szCs w:val="20"/>
          <w:color w:val="auto"/>
        </w:rPr>
      </w:pPr>
      <w:r>
        <w:rPr>
          <w:rFonts w:ascii="Arial" w:cs="Arial" w:eastAsia="Arial" w:hAnsi="Arial"/>
          <w:sz w:val="19"/>
          <w:szCs w:val="19"/>
          <w:color w:val="auto"/>
        </w:rPr>
        <w:t>Examples of possible instances where we may engage a third party that refuses to execute a waiver include the engagement of a third-party consultant whose particular expertise or skills are believed by management to be significantly superior to those of other consultants that would agree to execute a waiver or in cases where we are unable to find a service provider willing to execute a waiver. For example, Marcum LLP, our independent registered public accounting firm and the underwriters of our initial public offering will not execute agreements with us waiving such claims to the monies held in the trust account. In addition, there is no guarantee that such entities will agree to waive any claims they may have in the future as a result of, or arising out of, any negotiations, contracts or agreements with us and will not seek recourse against the trust account for any reason. Upon redemption of our public shares, if we are unable to complete our initial business combination within the prescribed timeframe, or upon the exercise of a redemption right in connection with our initial business combination, we will be required to provide for payment of claims of creditors that were not waived that may be brought against us within the 10 years following redemption. Accordingly, the per-share redemption amount received by public shareholders could be less than the $10.00 per share initially held in the trust account, due to claims of such creditors.</w:t>
      </w:r>
    </w:p>
    <w:p>
      <w:pPr>
        <w:spacing w:after="0" w:line="188" w:lineRule="exact"/>
        <w:rPr>
          <w:sz w:val="20"/>
          <w:szCs w:val="20"/>
          <w:color w:val="auto"/>
        </w:rPr>
      </w:pPr>
    </w:p>
    <w:p>
      <w:pPr>
        <w:ind w:right="20" w:firstLine="324"/>
        <w:spacing w:after="0" w:line="270" w:lineRule="auto"/>
        <w:rPr>
          <w:sz w:val="20"/>
          <w:szCs w:val="20"/>
          <w:color w:val="auto"/>
        </w:rPr>
      </w:pPr>
      <w:r>
        <w:rPr>
          <w:rFonts w:ascii="Arial" w:cs="Arial" w:eastAsia="Arial" w:hAnsi="Arial"/>
          <w:sz w:val="19"/>
          <w:szCs w:val="19"/>
          <w:color w:val="auto"/>
        </w:rPr>
        <w:t>Our sponsor has agreed that it will be liable to us if and to the extent any claims by a third party (other than our independent auditors) for services rendered or products sold to us, or a prospective target business with which we have discussed entering into a transaction agreement, reduce the amount of funds in the trust account to below (1) $10.00 per public share or (2) such lesser amount per public share held in the trust account as of the date of the liquidation of the trust account due to reductions in the value of the trust assets, in each case net of the interest which may be withdrawn to pay taxes, except as to any claims by a third party who executed a waiver of any and all rights to seek access to the trust account and except as to any claims under our indemnity of the underwriters of our initial public offering against certain liabilities, including liabilities under the Securities Act. Moreover, in the event that an executed waiver is deemed to be unenforceable against a third party, our sponsor will not be responsible to the extent of any liability for such third-party claims. We have not independently verified whether our sponsor has sufficient funds to satisfy its indemnity obligations and believe that our sponsor’s only assets are securities of our company. Our sponsor may not have sufficient funds available to satisfy those obligations. We have not asked our sponsor to reserve for such obligations, and therefore, no funds are currently set aside to cover any such obligations. As a result, if any such claims were successfully made against the trust account, the funds available for our initial business combination and redemptions could be reduced to less than $10.00 per public share. In such event, we may not be able to complete our initial business combination, and you would receive such lesser amount per share in connection with any redemption of your public shares. None of our officers or directors will indemnify us for claims by third parties including, without limitation, claims by vendors and prospective target businesses.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2" w:name="page33"/>
    <w:bookmarkEnd w:id="32"/>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ind w:left="180" w:right="600"/>
        <w:spacing w:after="0" w:line="328" w:lineRule="auto"/>
        <w:rPr>
          <w:sz w:val="20"/>
          <w:szCs w:val="20"/>
          <w:color w:val="auto"/>
        </w:rPr>
      </w:pPr>
      <w:r>
        <w:rPr>
          <w:rFonts w:ascii="Arial" w:cs="Arial" w:eastAsia="Arial" w:hAnsi="Arial"/>
          <w:sz w:val="19"/>
          <w:szCs w:val="19"/>
          <w:b w:val="1"/>
          <w:bCs w:val="1"/>
          <w:i w:val="1"/>
          <w:iCs w:val="1"/>
          <w:color w:val="auto"/>
        </w:rPr>
        <w:t>Our directors may decide not to enforce the indemnification obligations of our sponsor, resulting in a reduction in the amount of funds in the trust account available for distribution to our public shareholders.</w:t>
      </w:r>
    </w:p>
    <w:p>
      <w:pPr>
        <w:spacing w:after="0" w:line="132" w:lineRule="exact"/>
        <w:rPr>
          <w:sz w:val="20"/>
          <w:szCs w:val="20"/>
          <w:color w:val="auto"/>
        </w:rPr>
      </w:pPr>
    </w:p>
    <w:p>
      <w:pPr>
        <w:ind w:firstLine="324"/>
        <w:spacing w:after="0" w:line="274" w:lineRule="auto"/>
        <w:rPr>
          <w:sz w:val="20"/>
          <w:szCs w:val="20"/>
          <w:color w:val="auto"/>
        </w:rPr>
      </w:pPr>
      <w:r>
        <w:rPr>
          <w:rFonts w:ascii="Arial" w:cs="Arial" w:eastAsia="Arial" w:hAnsi="Arial"/>
          <w:sz w:val="19"/>
          <w:szCs w:val="19"/>
          <w:color w:val="auto"/>
        </w:rPr>
        <w:t>In the event that the proceeds in the trust account are reduced below the lesser of (1) $10.00 per public share or (2) such lesser amount per share held in the trust account as of the date of the liquidation of the trust account due to reductions in the value of the trust assets, in each case net of the interest which may be withdrawn to pay taxes, and our sponsor asserts that it is unable to satisfy its obligations or that it has no indemnification obligations related to a particular claim, our independent directors would determine whether to take legal action against our sponsor to enforce its indemnification obligations. While we currently expect that our independent directors would take legal action on our behalf against our sponsor to enforce its indemnification obligations to us, it is possible that our independent directors in exercising their business judgment may choose not to do so in any particular instance. If our independent directors choose not to enforce these indemnification obligations, the amount of funds in the trust account available for distribution to our public shareholders may be reduced below $10.00 per share.</w:t>
      </w:r>
    </w:p>
    <w:p>
      <w:pPr>
        <w:spacing w:after="0" w:line="185" w:lineRule="exact"/>
        <w:rPr>
          <w:sz w:val="20"/>
          <w:szCs w:val="20"/>
          <w:color w:val="auto"/>
        </w:rPr>
      </w:pPr>
    </w:p>
    <w:p>
      <w:pPr>
        <w:ind w:left="180" w:right="420"/>
        <w:spacing w:after="0" w:line="236" w:lineRule="auto"/>
        <w:rPr>
          <w:sz w:val="20"/>
          <w:szCs w:val="20"/>
          <w:color w:val="auto"/>
        </w:rPr>
      </w:pPr>
      <w:r>
        <w:rPr>
          <w:rFonts w:ascii="Arial" w:cs="Arial" w:eastAsia="Arial" w:hAnsi="Arial"/>
          <w:sz w:val="22"/>
          <w:szCs w:val="22"/>
          <w:b w:val="1"/>
          <w:bCs w:val="1"/>
          <w:i w:val="1"/>
          <w:iCs w:val="1"/>
          <w:color w:val="auto"/>
        </w:rPr>
        <w:t>If, after we distribute the proceeds in the trust account to our public shareholders, we file a winding-up or bankruptcy petition or an involuntary winding-up or bankruptcy petition is filed against us that is not dismissed, a bankruptcy court may seek to recover such proceeds, and the members of our board of directors may be viewed as having breached their fiduciary duties to our creditors, thereby exposing the members of our board of directors and us to claims of punitive damages.</w:t>
      </w:r>
    </w:p>
    <w:p>
      <w:pPr>
        <w:spacing w:after="0" w:line="214" w:lineRule="exact"/>
        <w:rPr>
          <w:sz w:val="20"/>
          <w:szCs w:val="20"/>
          <w:color w:val="auto"/>
        </w:rPr>
      </w:pPr>
    </w:p>
    <w:p>
      <w:pPr>
        <w:ind w:right="60" w:firstLine="324"/>
        <w:spacing w:after="0" w:line="279" w:lineRule="auto"/>
        <w:rPr>
          <w:sz w:val="20"/>
          <w:szCs w:val="20"/>
          <w:color w:val="auto"/>
        </w:rPr>
      </w:pPr>
      <w:r>
        <w:rPr>
          <w:rFonts w:ascii="Arial" w:cs="Arial" w:eastAsia="Arial" w:hAnsi="Arial"/>
          <w:sz w:val="19"/>
          <w:szCs w:val="19"/>
          <w:color w:val="auto"/>
        </w:rPr>
        <w:t>If, after we distribute the proceeds in the trust account to our public shareholders, we file a winding-up or bankruptcy petition or an involuntary winding-up or bankruptcy petition is filed against us that is not dismissed, any distributions received by shareholders could be viewed under applicable debtor/creditor and/or insolvency laws as a voidable performance. As a result, a liquidator could seek to recover some or all amounts received by our shareholders. In addition, our board of directors may be viewed as having breached its fiduciary duty to our creditors and/or having acted in bad faith by paying public shareholders from the trust account prior to addressing the claims of creditors, thereby exposing itself and us to claims of punitive damages.</w:t>
      </w:r>
    </w:p>
    <w:p>
      <w:pPr>
        <w:spacing w:after="0" w:line="177" w:lineRule="exact"/>
        <w:rPr>
          <w:sz w:val="20"/>
          <w:szCs w:val="20"/>
          <w:color w:val="auto"/>
        </w:rPr>
      </w:pPr>
    </w:p>
    <w:p>
      <w:pPr>
        <w:ind w:left="180" w:right="20"/>
        <w:spacing w:after="0" w:line="287" w:lineRule="auto"/>
        <w:rPr>
          <w:sz w:val="20"/>
          <w:szCs w:val="20"/>
          <w:color w:val="auto"/>
        </w:rPr>
      </w:pPr>
      <w:r>
        <w:rPr>
          <w:rFonts w:ascii="Arial" w:cs="Arial" w:eastAsia="Arial" w:hAnsi="Arial"/>
          <w:sz w:val="19"/>
          <w:szCs w:val="19"/>
          <w:b w:val="1"/>
          <w:bCs w:val="1"/>
          <w:i w:val="1"/>
          <w:iCs w:val="1"/>
          <w:color w:val="auto"/>
        </w:rPr>
        <w:t>If, before distributing the proceeds in the trust account to our public shareholders, we file a winding-up or bankruptcy petition or an involuntary winding-up or bankruptcy petition is filed against us that is not dismissed, the claims of creditors in such proceeding may have priority over the claims of our shareholders and the per-share amount that would otherwise be received by our shareholders in connection with our liquidation may be reduced.</w:t>
      </w:r>
    </w:p>
    <w:p>
      <w:pPr>
        <w:spacing w:after="0" w:line="170" w:lineRule="exact"/>
        <w:rPr>
          <w:sz w:val="20"/>
          <w:szCs w:val="20"/>
          <w:color w:val="auto"/>
        </w:rPr>
      </w:pPr>
    </w:p>
    <w:p>
      <w:pPr>
        <w:ind w:right="20" w:firstLine="324"/>
        <w:spacing w:after="0" w:line="282" w:lineRule="auto"/>
        <w:rPr>
          <w:sz w:val="20"/>
          <w:szCs w:val="20"/>
          <w:color w:val="auto"/>
        </w:rPr>
      </w:pPr>
      <w:r>
        <w:rPr>
          <w:rFonts w:ascii="Arial" w:cs="Arial" w:eastAsia="Arial" w:hAnsi="Arial"/>
          <w:sz w:val="19"/>
          <w:szCs w:val="19"/>
          <w:color w:val="auto"/>
        </w:rPr>
        <w:t>If, before distributing the proceeds in the trust account to our public shareholders, we file a winding-up or bankruptcy petition or an involuntary winding-up or bankruptcy petition is filed against us that is not dismissed, the proceeds held in the trust account could be subject to applicable insolvency law, and may be included in our liquidation estate and subject to the claims of third parties with priority over the claims of our shareholders. To the extent any liquidation claims deplete the trust account, the per-share amount that would otherwise be received by our shareholders in connection with our liquidation would be reduced.</w:t>
      </w:r>
    </w:p>
    <w:p>
      <w:pPr>
        <w:spacing w:after="0" w:line="174" w:lineRule="exact"/>
        <w:rPr>
          <w:sz w:val="20"/>
          <w:szCs w:val="20"/>
          <w:color w:val="auto"/>
        </w:rPr>
      </w:pPr>
    </w:p>
    <w:p>
      <w:pPr>
        <w:ind w:left="180" w:right="320"/>
        <w:spacing w:after="0"/>
        <w:rPr>
          <w:sz w:val="20"/>
          <w:szCs w:val="20"/>
          <w:color w:val="auto"/>
        </w:rPr>
      </w:pPr>
      <w:r>
        <w:rPr>
          <w:rFonts w:ascii="Arial" w:cs="Arial" w:eastAsia="Arial" w:hAnsi="Arial"/>
          <w:sz w:val="22"/>
          <w:szCs w:val="22"/>
          <w:b w:val="1"/>
          <w:bCs w:val="1"/>
          <w:i w:val="1"/>
          <w:iCs w:val="1"/>
          <w:color w:val="auto"/>
        </w:rPr>
        <w:t>If we are deemed to be an investment company under the Investment Company Act, we may be required to institute burdensome compliance requirements and our activities may be restricted, which may make it difficult for us to complete our initial business combination.</w:t>
      </w:r>
    </w:p>
    <w:p>
      <w:pPr>
        <w:spacing w:after="0" w:line="213" w:lineRule="exact"/>
        <w:rPr>
          <w:sz w:val="20"/>
          <w:szCs w:val="20"/>
          <w:color w:val="auto"/>
        </w:rPr>
      </w:pPr>
    </w:p>
    <w:p>
      <w:pPr>
        <w:ind w:right="860" w:firstLine="324"/>
        <w:spacing w:after="0" w:line="250" w:lineRule="auto"/>
        <w:rPr>
          <w:sz w:val="20"/>
          <w:szCs w:val="20"/>
          <w:color w:val="auto"/>
        </w:rPr>
      </w:pPr>
      <w:r>
        <w:rPr>
          <w:rFonts w:ascii="Arial" w:cs="Arial" w:eastAsia="Arial" w:hAnsi="Arial"/>
          <w:sz w:val="22"/>
          <w:szCs w:val="22"/>
          <w:color w:val="auto"/>
        </w:rPr>
        <w:t>If we are deemed to be an investment company under the Investment Company Act, our activities may be restricted, including:</w:t>
      </w:r>
    </w:p>
    <w:p>
      <w:pPr>
        <w:spacing w:after="0" w:line="209"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restrictions on the nature of our investments;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restrictions on the issuance of securities;</w:t>
      </w:r>
    </w:p>
    <w:p>
      <w:pPr>
        <w:spacing w:after="0" w:line="245" w:lineRule="exact"/>
        <w:rPr>
          <w:sz w:val="20"/>
          <w:szCs w:val="20"/>
          <w:color w:val="auto"/>
        </w:rPr>
      </w:pPr>
    </w:p>
    <w:p>
      <w:pPr>
        <w:ind w:left="340"/>
        <w:spacing w:after="0"/>
        <w:rPr>
          <w:sz w:val="20"/>
          <w:szCs w:val="20"/>
          <w:color w:val="auto"/>
        </w:rPr>
      </w:pPr>
      <w:r>
        <w:rPr>
          <w:rFonts w:ascii="Arial" w:cs="Arial" w:eastAsia="Arial" w:hAnsi="Arial"/>
          <w:sz w:val="22"/>
          <w:szCs w:val="22"/>
          <w:color w:val="auto"/>
        </w:rPr>
        <w:t>each of which may make it difficult for us to complete our initial business combination.</w:t>
      </w:r>
    </w:p>
    <w:p>
      <w:pPr>
        <w:spacing w:after="0" w:line="233" w:lineRule="exact"/>
        <w:rPr>
          <w:sz w:val="20"/>
          <w:szCs w:val="20"/>
          <w:color w:val="auto"/>
        </w:rPr>
      </w:pPr>
    </w:p>
    <w:p>
      <w:pPr>
        <w:ind w:left="340"/>
        <w:spacing w:after="0"/>
        <w:rPr>
          <w:sz w:val="20"/>
          <w:szCs w:val="20"/>
          <w:color w:val="auto"/>
        </w:rPr>
      </w:pPr>
      <w:r>
        <w:rPr>
          <w:rFonts w:ascii="Arial" w:cs="Arial" w:eastAsia="Arial" w:hAnsi="Arial"/>
          <w:sz w:val="22"/>
          <w:szCs w:val="22"/>
          <w:color w:val="auto"/>
        </w:rPr>
        <w:t>In addition, we may have imposed upon us burdensome requirements, including:</w:t>
      </w:r>
    </w:p>
    <w:p>
      <w:pPr>
        <w:spacing w:after="0" w:line="240"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registration as an investment company with the SEC;</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adoption of a specific form of corporate structure; and</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3" w:name="page34"/>
    <w:bookmarkEnd w:id="33"/>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reporting, record keeping, voting, proxy and disclosure requirements and other rules and regulations that we are currently not subject to.</w:t>
      </w:r>
    </w:p>
    <w:p>
      <w:pPr>
        <w:spacing w:after="0" w:line="256" w:lineRule="exact"/>
        <w:rPr>
          <w:sz w:val="20"/>
          <w:szCs w:val="20"/>
          <w:color w:val="auto"/>
        </w:rPr>
      </w:pPr>
    </w:p>
    <w:p>
      <w:pPr>
        <w:ind w:right="20" w:firstLine="324"/>
        <w:spacing w:after="0" w:line="274" w:lineRule="auto"/>
        <w:rPr>
          <w:sz w:val="20"/>
          <w:szCs w:val="20"/>
          <w:color w:val="auto"/>
        </w:rPr>
      </w:pPr>
      <w:r>
        <w:rPr>
          <w:rFonts w:ascii="Arial" w:cs="Arial" w:eastAsia="Arial" w:hAnsi="Arial"/>
          <w:sz w:val="19"/>
          <w:szCs w:val="19"/>
          <w:color w:val="auto"/>
        </w:rPr>
        <w:t>We do not believe that our principal activities will subject us to the Investment Company Act. The proceeds held in the trust account may be invested by the trustee only in U.S. government treasury bills with a maturity of 180 days or less or in money market funds investing solely in U.S. Treasuries and meeting certain conditions under Rule 2a-7 under the Investment Company Act. Because the investment of the proceeds will be restricted to these instruments, we believe we will meet the requirements for the exemption provided in Rule 3a-1 promulgated under the Investment Company Act. If we were deemed to be subject to the Investment Company Act, compliance with these additional regulatory burdens would require additional expenses for which we have not allotted funds and may hinder our ability to complete a business combination. If we are unable to complete our initial business combination, our public shareholders may receive only approximately $10.00 per share, or less in certain circumstances, on the liquidation of our trust account and our warrants will expire worthless.</w:t>
      </w:r>
    </w:p>
    <w:p>
      <w:pPr>
        <w:spacing w:after="0" w:line="185" w:lineRule="exact"/>
        <w:rPr>
          <w:sz w:val="20"/>
          <w:szCs w:val="20"/>
          <w:color w:val="auto"/>
        </w:rPr>
      </w:pPr>
    </w:p>
    <w:p>
      <w:pPr>
        <w:ind w:left="180" w:right="380"/>
        <w:spacing w:after="0" w:line="328" w:lineRule="auto"/>
        <w:rPr>
          <w:sz w:val="20"/>
          <w:szCs w:val="20"/>
          <w:color w:val="auto"/>
        </w:rPr>
      </w:pPr>
      <w:r>
        <w:rPr>
          <w:rFonts w:ascii="Arial" w:cs="Arial" w:eastAsia="Arial" w:hAnsi="Arial"/>
          <w:sz w:val="19"/>
          <w:szCs w:val="19"/>
          <w:b w:val="1"/>
          <w:bCs w:val="1"/>
          <w:i w:val="1"/>
          <w:iCs w:val="1"/>
          <w:color w:val="auto"/>
        </w:rPr>
        <w:t>Changes in laws or regulations, or a failure to comply with any laws and regulations, may adversely affect our business, including our ability to negotiate and complete our initial business combination, and results of operations.</w:t>
      </w:r>
    </w:p>
    <w:p>
      <w:pPr>
        <w:spacing w:after="0" w:line="132" w:lineRule="exact"/>
        <w:rPr>
          <w:sz w:val="20"/>
          <w:szCs w:val="20"/>
          <w:color w:val="auto"/>
        </w:rPr>
      </w:pPr>
    </w:p>
    <w:p>
      <w:pPr>
        <w:ind w:firstLine="324"/>
        <w:spacing w:after="0" w:line="277" w:lineRule="auto"/>
        <w:rPr>
          <w:sz w:val="20"/>
          <w:szCs w:val="20"/>
          <w:color w:val="auto"/>
        </w:rPr>
      </w:pPr>
      <w:r>
        <w:rPr>
          <w:rFonts w:ascii="Arial" w:cs="Arial" w:eastAsia="Arial" w:hAnsi="Arial"/>
          <w:sz w:val="19"/>
          <w:szCs w:val="19"/>
          <w:color w:val="auto"/>
        </w:rPr>
        <w:t>We are subject to laws and regulations enacted by national, regional and local governments. In particular, we are required to comply with certain SEC and other legal requirements. Compliance with, and monitoring of, applicable laws and regulations may be difficult, time consuming and costly. Those laws and regulations and their interpretation and application may also change from time to time and those changes could have a material adverse effect on our business, investments and results of operations. In addition, a failure to comply with applicable laws or regulations, as interpreted and applied, could have a material adverse effect on our business, including our ability to negotiate and complete our initial business combination, and results of operations. See “—Risks Relating to the Cannabis Industry” for additional risks we may face in connection with our initial business combination.</w:t>
      </w:r>
    </w:p>
    <w:p>
      <w:pPr>
        <w:spacing w:after="0" w:line="179" w:lineRule="exact"/>
        <w:rPr>
          <w:sz w:val="20"/>
          <w:szCs w:val="20"/>
          <w:color w:val="auto"/>
        </w:rPr>
      </w:pPr>
    </w:p>
    <w:p>
      <w:pPr>
        <w:ind w:left="180" w:right="180"/>
        <w:spacing w:after="0" w:line="359" w:lineRule="auto"/>
        <w:rPr>
          <w:sz w:val="20"/>
          <w:szCs w:val="20"/>
          <w:color w:val="auto"/>
        </w:rPr>
      </w:pPr>
      <w:r>
        <w:rPr>
          <w:rFonts w:ascii="Arial" w:cs="Arial" w:eastAsia="Arial" w:hAnsi="Arial"/>
          <w:sz w:val="18"/>
          <w:szCs w:val="18"/>
          <w:b w:val="1"/>
          <w:bCs w:val="1"/>
          <w:i w:val="1"/>
          <w:iCs w:val="1"/>
          <w:color w:val="auto"/>
        </w:rPr>
        <w:t>If we are unable to consummate our initial business combination within 18 months of the closing of our initial public offering, our public shareholders may be forced to wait beyond such 18 months before redemption from our trust account.</w:t>
      </w:r>
    </w:p>
    <w:p>
      <w:pPr>
        <w:spacing w:after="0" w:line="110" w:lineRule="exact"/>
        <w:rPr>
          <w:sz w:val="20"/>
          <w:szCs w:val="20"/>
          <w:color w:val="auto"/>
        </w:rPr>
      </w:pPr>
    </w:p>
    <w:p>
      <w:pPr>
        <w:ind w:right="40" w:firstLine="324"/>
        <w:spacing w:after="0" w:line="271" w:lineRule="auto"/>
        <w:rPr>
          <w:sz w:val="20"/>
          <w:szCs w:val="20"/>
          <w:color w:val="auto"/>
        </w:rPr>
      </w:pPr>
      <w:r>
        <w:rPr>
          <w:rFonts w:ascii="Arial" w:cs="Arial" w:eastAsia="Arial" w:hAnsi="Arial"/>
          <w:sz w:val="19"/>
          <w:szCs w:val="19"/>
          <w:color w:val="auto"/>
        </w:rPr>
        <w:t>If we are unable to consummate our initial business combination within 18 months from the closing of our initial public offering, we will distribute the aggregate amount then on deposit in the trust account, including interest (less up to $100,000 of interest to pay dissolution expenses and which interest shall be net of taxes payable), pro rata to our public shareholders by way of redemption and cease all operations except for the purposes of winding up of our affairs, as further described herein. Any redemption of public shareholders from the trust account shall be effected automatically by function of our amended and restated memorandum and articles of association prior to any voluntary winding up. If we are required to windup, liquidate the trust account and distribute such amount therein, pro rata, to our public shareholders, as part of any liquidation process, such winding up, liquidation and distribution must comply with the applicable provisions of the Companies Law. In that case, investors may be forced to wait beyond the initial 18 months before the redemption proceeds of our trust account become available to them and they receive the return of their pro rata portion of the proceeds from our trust account. We have no obligation to return funds to investors prior to the date of our redemption or liquidation unless, prior thereto, we consummate our initial business combination or amend certain provisions of our amended and restated memorandum and articles of association and then only in cases where investors have properly sought to redeem their Class A ordinary shares. Only upon our redemption or any liquidation will public shareholders be entitled to distributions if we are unable to complete our initial business combination and do not amend certain provisions of our amended and restated memorandum and articles of association prior thereto.</w:t>
      </w:r>
    </w:p>
    <w:p>
      <w:pPr>
        <w:spacing w:after="0" w:line="187" w:lineRule="exact"/>
        <w:rPr>
          <w:sz w:val="20"/>
          <w:szCs w:val="20"/>
          <w:color w:val="auto"/>
        </w:rPr>
      </w:pPr>
    </w:p>
    <w:p>
      <w:pPr>
        <w:ind w:left="180" w:right="420"/>
        <w:spacing w:after="0" w:line="250" w:lineRule="auto"/>
        <w:rPr>
          <w:sz w:val="20"/>
          <w:szCs w:val="20"/>
          <w:color w:val="auto"/>
        </w:rPr>
      </w:pPr>
      <w:r>
        <w:rPr>
          <w:rFonts w:ascii="Arial" w:cs="Arial" w:eastAsia="Arial" w:hAnsi="Arial"/>
          <w:sz w:val="22"/>
          <w:szCs w:val="22"/>
          <w:b w:val="1"/>
          <w:bCs w:val="1"/>
          <w:i w:val="1"/>
          <w:iCs w:val="1"/>
          <w:color w:val="auto"/>
        </w:rPr>
        <w:t>Our shareholders may be held liable for claims by third parties against us to the extent of distributions received by them upon redemption of their shares.</w:t>
      </w:r>
    </w:p>
    <w:p>
      <w:pPr>
        <w:spacing w:after="0" w:line="202" w:lineRule="exact"/>
        <w:rPr>
          <w:sz w:val="20"/>
          <w:szCs w:val="20"/>
          <w:color w:val="auto"/>
        </w:rPr>
      </w:pPr>
    </w:p>
    <w:p>
      <w:pPr>
        <w:ind w:firstLine="324"/>
        <w:spacing w:after="0" w:line="245" w:lineRule="auto"/>
        <w:rPr>
          <w:sz w:val="20"/>
          <w:szCs w:val="20"/>
          <w:color w:val="auto"/>
        </w:rPr>
      </w:pPr>
      <w:r>
        <w:rPr>
          <w:rFonts w:ascii="Arial" w:cs="Arial" w:eastAsia="Arial" w:hAnsi="Arial"/>
          <w:sz w:val="21"/>
          <w:szCs w:val="21"/>
          <w:color w:val="auto"/>
        </w:rPr>
        <w:t>If we are forced to enter into an insolvent liquidation, any distributions received by shareholders could be viewed as an unlawful payment if it was proved that immediately following the date on which the distribution was made, we were unable to pay our debts as they fall due in the ordinary course of business. As a result, a liquidator could seek to recover some or all amounts received by our shareholders. Furthermore, our directors may be viewed as having breached their fiduciary duties to us or our creditors and/or may have acted in bad faith, and thereby exposing themselves and our company to claims, by paying public shareholders from the trust account prior to addressing the claims of creditors. We cannot assure you that claims will not be brought against us for these reasons. We and our directors and officers who knowingly and willfully authorized or permitted any distribution to be paid out of our share premium account while we were unable to pay our debts as they fall due in the ordinary course of business would be guilty of an offence and may be liable to a fine of up to $18,292.68 and to imprisonment for five years in the Cayman Islands.</w:t>
      </w:r>
    </w:p>
    <w:p>
      <w:pPr>
        <w:sectPr>
          <w:pgSz w:w="11900" w:h="16838" w:orient="portrait"/>
          <w:cols w:equalWidth="0" w:num="1">
            <w:col w:w="11220"/>
          </w:cols>
          <w:pgMar w:left="320" w:top="121" w:right="359" w:bottom="1440" w:gutter="0" w:footer="0" w:header="0"/>
        </w:sectPr>
      </w:pP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34" w:name="page35"/>
    <w:bookmarkEnd w:id="34"/>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We may not hold an annual general meeting of shareholders until after the completion of our initial business combination.</w:t>
      </w:r>
    </w:p>
    <w:p>
      <w:pPr>
        <w:spacing w:after="0" w:line="43"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Our public shareholders will not have the right to elect directors prior to the consummation of our Business Combination.</w:t>
      </w:r>
    </w:p>
    <w:p>
      <w:pPr>
        <w:spacing w:after="0" w:line="250" w:lineRule="exact"/>
        <w:rPr>
          <w:sz w:val="20"/>
          <w:szCs w:val="20"/>
          <w:color w:val="auto"/>
        </w:rPr>
      </w:pPr>
    </w:p>
    <w:p>
      <w:pPr>
        <w:ind w:right="140" w:firstLine="324"/>
        <w:spacing w:after="0" w:line="234" w:lineRule="auto"/>
        <w:rPr>
          <w:sz w:val="20"/>
          <w:szCs w:val="20"/>
          <w:color w:val="auto"/>
        </w:rPr>
      </w:pPr>
      <w:r>
        <w:rPr>
          <w:rFonts w:ascii="Arial" w:cs="Arial" w:eastAsia="Arial" w:hAnsi="Arial"/>
          <w:sz w:val="22"/>
          <w:szCs w:val="22"/>
          <w:color w:val="auto"/>
        </w:rPr>
        <w:t>In accordance with Nasdaq corporate governance requirements, we are not required to hold an annual meeting until one year after our first fiscal year end following our listing on Nasdaq. There is no requirement under the Companies Law for us to hold annual or general meetings to elect directors. Until we hold an annual general meeting of shareholders, public shareholders may not be afforded the opportunity to discuss company affairs with management. As holders of our Class A ordinary shares, our public shareholders also will not have the right to vote on the election of directors prior to completion of our initial business combination. In addition, holders of a majority of our founder shares may remove a member of the board of directors for any reason.</w:t>
      </w:r>
    </w:p>
    <w:p>
      <w:pPr>
        <w:spacing w:after="0" w:line="218" w:lineRule="exact"/>
        <w:rPr>
          <w:sz w:val="20"/>
          <w:szCs w:val="20"/>
          <w:color w:val="auto"/>
        </w:rPr>
      </w:pPr>
    </w:p>
    <w:p>
      <w:pPr>
        <w:jc w:val="both"/>
        <w:ind w:left="180" w:right="300"/>
        <w:spacing w:after="0" w:line="238" w:lineRule="auto"/>
        <w:rPr>
          <w:sz w:val="20"/>
          <w:szCs w:val="20"/>
          <w:color w:val="auto"/>
        </w:rPr>
      </w:pPr>
      <w:r>
        <w:rPr>
          <w:rFonts w:ascii="Arial" w:cs="Arial" w:eastAsia="Arial" w:hAnsi="Arial"/>
          <w:sz w:val="22"/>
          <w:szCs w:val="22"/>
          <w:b w:val="1"/>
          <w:bCs w:val="1"/>
          <w:i w:val="1"/>
          <w:iCs w:val="1"/>
          <w:color w:val="auto"/>
        </w:rPr>
        <w:t>We are not registering the Class A ordinary shares issuable upon exercise of the warrants under the Securities Act or any state securities laws at this time, and such registration may not be in place when an investor desires to exercise warrants, thus precluding such investor from being able to exercise its warrants except on a cashless basis and potentially causing such warrants to expire worthless.</w:t>
      </w:r>
    </w:p>
    <w:p>
      <w:pPr>
        <w:spacing w:after="0" w:line="212" w:lineRule="exact"/>
        <w:rPr>
          <w:sz w:val="20"/>
          <w:szCs w:val="20"/>
          <w:color w:val="auto"/>
        </w:rPr>
      </w:pPr>
    </w:p>
    <w:p>
      <w:pPr>
        <w:ind w:firstLine="324"/>
        <w:spacing w:after="0" w:line="269" w:lineRule="auto"/>
        <w:rPr>
          <w:sz w:val="20"/>
          <w:szCs w:val="20"/>
          <w:color w:val="auto"/>
        </w:rPr>
      </w:pPr>
      <w:r>
        <w:rPr>
          <w:rFonts w:ascii="Arial" w:cs="Arial" w:eastAsia="Arial" w:hAnsi="Arial"/>
          <w:sz w:val="19"/>
          <w:szCs w:val="19"/>
          <w:color w:val="auto"/>
        </w:rPr>
        <w:t>We are not registering the Class A ordinary shares issuable upon exercise of the warrants under the Securities Act or any state securities laws at this time. However, under the terms of the warrant agreement, we have agreed, as soon as practicable, but in no event later than 15 business days after the closing of our initial business combination, to use our reasonable best efforts to file a registration statement under the Securities Act covering the issuance of such shares, to use our reasonable best efforts to cause the same to become effective within 60 business days after the closing of our initial business combination and to maintain the effectiveness of such registration statement and a current prospectus relating to those Class A ordinary shares until the warrants expire or are redeemed. We cannot assure you that we will be able to do so if, for example, any facts or events arise which represent a fundamental change in the information set forth in the registration statement or prospectus, the financial statements contained or incorporated by reference therein are not current, complete or correct or the SEC issues a stop order. If the shares issuable upon exercise of the warrants are not registered under the Securities Act, we will be required to permit holders to exercise their warrants on a cashless basis. However, no warrant will be exercisable for cash or on a cashless basis, and we will not be obligated to issue any shares to holders seeking to exercise their warrants, unless the issuance of the shares upon such exercise is registered or qualified under the securities laws of the state of the exercising holder, or an exemption from registration is available. Notwithstanding the above, if our Class A ordinary shares are, at the time of any exercise of a warrant, not listed on a national securities exchange such that they do not satisfy the definition of a “covered security” under Section 18(b)(1) of the Securities Act, we may, at our option, require holders of public warrants who exercise their warrants to do so on a “cashless basis” in accordance with Section 3(a)(9) of the Securities Act and, in the event we so elect, we will not be required to file or maintain in effect a registration statement, but we will use our reasonable best efforts to register or qualify the shares under applicable blue sky laws to the extent an exemption is not available. In no event will we be required to net cash settle any warrant, or issue securities or other compensation in exchange for the warrants in the event that we are unable to register or qualify the shares underlying the warrants under applicable state securities laws and no exemption is available. If the issuance of the shares upon exercise of the warrants is not so registered or qualified or exempt from registration or qualification, the holder of such warrant shall not be entitled to exercise such warrant and such warrant may have no value and expire worthless. In such event, holders who acquired their warrants as part of a purchase of units will have paid the full unit purchase price solely for the Class A ordinary shares included in the units. If and when the warrants become redeemable by us, we may exercise our redemption right even if we are unable to register or qualify the underlying Class A ordinary shares for sale under all applicable state securities laws.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ind w:left="180" w:right="300"/>
        <w:spacing w:after="0"/>
        <w:rPr>
          <w:sz w:val="20"/>
          <w:szCs w:val="20"/>
          <w:color w:val="auto"/>
        </w:rPr>
      </w:pPr>
      <w:r>
        <w:rPr>
          <w:rFonts w:ascii="Arial" w:cs="Arial" w:eastAsia="Arial" w:hAnsi="Arial"/>
          <w:sz w:val="22"/>
          <w:szCs w:val="22"/>
          <w:b w:val="1"/>
          <w:bCs w:val="1"/>
          <w:i w:val="1"/>
          <w:iCs w:val="1"/>
          <w:color w:val="auto"/>
        </w:rPr>
        <w:t>The grant of registration rights to our initial shareholders and their permitted transferees may make it more difficult to complete our initial business combination, and the future exercise of such rights may adversely affect the market price of our Class A ordinary shares.</w:t>
      </w:r>
    </w:p>
    <w:p>
      <w:pPr>
        <w:spacing w:after="0" w:line="213" w:lineRule="exact"/>
        <w:rPr>
          <w:sz w:val="20"/>
          <w:szCs w:val="20"/>
          <w:color w:val="auto"/>
        </w:rPr>
      </w:pPr>
    </w:p>
    <w:p>
      <w:pPr>
        <w:ind w:right="20" w:firstLine="324"/>
        <w:spacing w:after="0" w:line="244" w:lineRule="auto"/>
        <w:rPr>
          <w:sz w:val="20"/>
          <w:szCs w:val="20"/>
          <w:color w:val="auto"/>
        </w:rPr>
      </w:pPr>
      <w:r>
        <w:rPr>
          <w:rFonts w:ascii="Arial" w:cs="Arial" w:eastAsia="Arial" w:hAnsi="Arial"/>
          <w:sz w:val="21"/>
          <w:szCs w:val="21"/>
          <w:color w:val="auto"/>
        </w:rPr>
        <w:t>The holders of the founder shares, private placement warrants and any warrants that may be issued on conversion of working capital loans (and any ordinary shares issuable upon the exercise of the private placement warrants or warrants issued upon conversion of the working capital loans and upon conversion of the founder shares) are entitled to registration rights pursuant to a registration rights agreement requiring us to register such securities for resale. We will bear the cost of registering these securities. The registration and availability of such a significant number of securities for trading in the public market may have an adverse effect on the market price of our Class A ordinary shares. In addition, the existence of the registration rights may make our initial business combination more costly or difficult to conclude. This is because the shareholders of the target business may increase the equity stake they seek in the combined entity or ask for more cash consideration to offset the negative impact on the market price of our Class A ordinary shares that is expected when the Class A ordinary shares owned by our initial shareholders or their permitted transferees, our private placement warrants or warrants issued in connection with working capital loans are registered for resale.</w:t>
      </w:r>
    </w:p>
    <w:p>
      <w:pPr>
        <w:spacing w:after="0" w:line="215" w:lineRule="exact"/>
        <w:rPr>
          <w:sz w:val="20"/>
          <w:szCs w:val="20"/>
          <w:color w:val="auto"/>
        </w:rPr>
      </w:pPr>
    </w:p>
    <w:p>
      <w:pPr>
        <w:ind w:left="180" w:right="540"/>
        <w:spacing w:after="0" w:line="359" w:lineRule="auto"/>
        <w:rPr>
          <w:sz w:val="20"/>
          <w:szCs w:val="20"/>
          <w:color w:val="auto"/>
        </w:rPr>
      </w:pPr>
      <w:r>
        <w:rPr>
          <w:rFonts w:ascii="Arial" w:cs="Arial" w:eastAsia="Arial" w:hAnsi="Arial"/>
          <w:sz w:val="18"/>
          <w:szCs w:val="18"/>
          <w:b w:val="1"/>
          <w:bCs w:val="1"/>
          <w:i w:val="1"/>
          <w:iCs w:val="1"/>
          <w:color w:val="auto"/>
        </w:rPr>
        <w:t>Because we are not limited to a particular industry or any specific target businesses with which to pursue our initial business combination, you will be unable to ascertain the merits or risks of any particular target business’s operations.</w:t>
      </w:r>
    </w:p>
    <w:p>
      <w:pPr>
        <w:spacing w:after="0" w:line="110" w:lineRule="exact"/>
        <w:rPr>
          <w:sz w:val="20"/>
          <w:szCs w:val="20"/>
          <w:color w:val="auto"/>
        </w:rPr>
      </w:pPr>
    </w:p>
    <w:p>
      <w:pPr>
        <w:ind w:firstLine="324"/>
        <w:spacing w:after="0" w:line="271" w:lineRule="auto"/>
        <w:rPr>
          <w:sz w:val="20"/>
          <w:szCs w:val="20"/>
          <w:color w:val="auto"/>
        </w:rPr>
      </w:pPr>
      <w:r>
        <w:rPr>
          <w:rFonts w:ascii="Arial" w:cs="Arial" w:eastAsia="Arial" w:hAnsi="Arial"/>
          <w:sz w:val="19"/>
          <w:szCs w:val="19"/>
          <w:color w:val="auto"/>
        </w:rPr>
        <w:t>We may consummate a business combination with a company in any industry we choose and are not limited to any particular industry or type of business, although we intend to focus our search for businesses in the cannabis industry that are compliant with all applicable laws and regulations within the jurisdictions in which they are located or operate and, in particular, we will not invest in, or consummate a business combination with, a target business that we determine has been operating, or whose business plan is to operate, in violation of U.S. federal laws, including the U.S. Controlled Substances Act. Accordingly, there is no current basis for you to evaluate the possible merits or risks of the particular industry in which we may ultimately operate or the target business which we may ultimately acquire. To the extent we complete a business combination with a financially unstable company or an entity in its early stages of development or growth, we may be affected by numerous risks inherent in the business operations of those entities. If we complete a business combination with an entity in an industry characterized by a high level of risk, including the cannabis industry, we may be affected by the currently unascertainable risks of that industry. Although our management will endeavor to evaluate the risks inherent in a particular industry or target business, we cannot assure you that we will properly ascertain or assess all of the significant risk factors. We also cannot assure you that an investment in our units will not ultimately prove to be less favorable to investors than a direct investment, if an opportunity were available, in a target business. See “—Risks Relating to the Cannabis Industry” for additional risks we may face in connection with our initial business combination.</w:t>
      </w:r>
    </w:p>
    <w:p>
      <w:pPr>
        <w:spacing w:after="0" w:line="200" w:lineRule="exact"/>
        <w:rPr>
          <w:sz w:val="20"/>
          <w:szCs w:val="20"/>
          <w:color w:val="auto"/>
        </w:rPr>
      </w:pPr>
    </w:p>
    <w:p>
      <w:pPr>
        <w:spacing w:after="0" w:line="234" w:lineRule="exact"/>
        <w:rPr>
          <w:sz w:val="20"/>
          <w:szCs w:val="20"/>
          <w:color w:val="auto"/>
        </w:rPr>
      </w:pPr>
    </w:p>
    <w:p>
      <w:pPr>
        <w:ind w:left="180" w:right="980"/>
        <w:spacing w:after="0" w:line="250" w:lineRule="auto"/>
        <w:rPr>
          <w:sz w:val="20"/>
          <w:szCs w:val="20"/>
          <w:color w:val="auto"/>
        </w:rPr>
      </w:pPr>
      <w:r>
        <w:rPr>
          <w:rFonts w:ascii="Arial" w:cs="Arial" w:eastAsia="Arial" w:hAnsi="Arial"/>
          <w:sz w:val="22"/>
          <w:szCs w:val="22"/>
          <w:b w:val="1"/>
          <w:bCs w:val="1"/>
          <w:i w:val="1"/>
          <w:iCs w:val="1"/>
          <w:color w:val="auto"/>
        </w:rPr>
        <w:t>Past performance by our management team and their affiliates may not be indicative of future performance of an investment in the Company.</w:t>
      </w:r>
    </w:p>
    <w:p>
      <w:pPr>
        <w:spacing w:after="0" w:line="202" w:lineRule="exact"/>
        <w:rPr>
          <w:sz w:val="20"/>
          <w:szCs w:val="20"/>
          <w:color w:val="auto"/>
        </w:rPr>
      </w:pPr>
    </w:p>
    <w:p>
      <w:pPr>
        <w:ind w:right="60" w:firstLine="324"/>
        <w:spacing w:after="0" w:line="282" w:lineRule="auto"/>
        <w:rPr>
          <w:sz w:val="20"/>
          <w:szCs w:val="20"/>
          <w:color w:val="auto"/>
        </w:rPr>
      </w:pPr>
      <w:r>
        <w:rPr>
          <w:rFonts w:ascii="Arial" w:cs="Arial" w:eastAsia="Arial" w:hAnsi="Arial"/>
          <w:sz w:val="19"/>
          <w:szCs w:val="19"/>
          <w:color w:val="auto"/>
        </w:rPr>
        <w:t>Information regarding performance by our management team and their affiliates is presented for informational purposes only. Past performance by our management team and their affiliates is not a guarantee either (1) that we will be able to identify a suitable candidate for our initial business combination or (2) of success with respect to any business combination we may consummate. You should not rely on the historical record of our management team and their affiliates as indicative of our future performance of an investment in the company or the returns the company will, or is likely to, generate going forward.</w:t>
      </w:r>
    </w:p>
    <w:p>
      <w:pPr>
        <w:spacing w:after="0" w:line="174" w:lineRule="exact"/>
        <w:rPr>
          <w:sz w:val="20"/>
          <w:szCs w:val="20"/>
          <w:color w:val="auto"/>
        </w:rPr>
      </w:pPr>
    </w:p>
    <w:p>
      <w:pPr>
        <w:ind w:left="180" w:right="80"/>
        <w:spacing w:after="0" w:line="252" w:lineRule="auto"/>
        <w:rPr>
          <w:sz w:val="20"/>
          <w:szCs w:val="20"/>
          <w:color w:val="auto"/>
        </w:rPr>
      </w:pPr>
      <w:r>
        <w:rPr>
          <w:rFonts w:ascii="Arial" w:cs="Arial" w:eastAsia="Arial" w:hAnsi="Arial"/>
          <w:sz w:val="21"/>
          <w:szCs w:val="21"/>
          <w:b w:val="1"/>
          <w:bCs w:val="1"/>
          <w:i w:val="1"/>
          <w:iCs w:val="1"/>
          <w:color w:val="auto"/>
        </w:rPr>
        <w:t>Although we have identified general criteria and guidelines that we believe are important in evaluating prospective target businesses, we may enter into our initial business combination with a target that does not meet such criteria and guidelines, and as a result, the target business with which we enter into our initial business combination may not have attributes entirely consistent with our general criteria and guidelines.</w:t>
      </w:r>
    </w:p>
    <w:p>
      <w:pPr>
        <w:spacing w:after="0" w:line="201" w:lineRule="exact"/>
        <w:rPr>
          <w:sz w:val="20"/>
          <w:szCs w:val="20"/>
          <w:color w:val="auto"/>
        </w:rPr>
      </w:pPr>
    </w:p>
    <w:p>
      <w:pPr>
        <w:ind w:right="60" w:firstLine="324"/>
        <w:spacing w:after="0" w:line="272" w:lineRule="auto"/>
        <w:rPr>
          <w:sz w:val="20"/>
          <w:szCs w:val="20"/>
          <w:color w:val="auto"/>
        </w:rPr>
      </w:pPr>
      <w:r>
        <w:rPr>
          <w:rFonts w:ascii="Arial" w:cs="Arial" w:eastAsia="Arial" w:hAnsi="Arial"/>
          <w:sz w:val="19"/>
          <w:szCs w:val="19"/>
          <w:color w:val="auto"/>
        </w:rPr>
        <w:t>Although we have identified general criteria and guidelines for evaluating prospective target businesses, it is possible that a target business with which we enter into our initial business combination will not have all of these positive attributes. If we complete our initial business combination with a target that does not meet some or all of these criteria and guidelines, such combination may not be as successful as a combination with a business that does meet all of our general criteria and guidelines. In addition, if we announce a prospective business combination with a target that does not meet our general criteria and guidelines, a greater number of shareholders may exercise their redemption rights, which may make it difficult for us to meet any closing condition with a target business that requires us to have a minimum net worth or a certain amount of cash. In addition, if shareholder approval of the transaction is required by applicable law or stock exchange listing requirement, or we decide to obtain shareholder approval for business or other reasons, it may be more difficult for us to attain shareholder approval of our initial business combination if the target business does not meet our general criteria and guidelines. If we are unable to complete our initial business combination, our public shareholders may receive only approximately $10.00 per share, or less in certain circumstances, on the liquidation of our trust account and our warrants will expire worthless.</w:t>
      </w:r>
    </w:p>
    <w:p>
      <w:pPr>
        <w:sectPr>
          <w:pgSz w:w="11900" w:h="16838" w:orient="portrait"/>
          <w:cols w:equalWidth="0" w:num="1">
            <w:col w:w="11240"/>
          </w:cols>
          <w:pgMar w:left="320" w:top="121" w:right="339" w:bottom="436" w:gutter="0" w:footer="0" w:header="0"/>
        </w:sectPr>
      </w:pP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436" w:gutter="0" w:footer="0" w:header="0"/>
          <w:type w:val="continuous"/>
        </w:sectPr>
      </w:pPr>
    </w:p>
    <w:bookmarkStart w:id="36" w:name="page37"/>
    <w:bookmarkEnd w:id="36"/>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ind w:left="180" w:right="160"/>
        <w:spacing w:after="0" w:line="250" w:lineRule="auto"/>
        <w:rPr>
          <w:sz w:val="20"/>
          <w:szCs w:val="20"/>
          <w:color w:val="auto"/>
        </w:rPr>
      </w:pPr>
      <w:r>
        <w:rPr>
          <w:rFonts w:ascii="Arial" w:cs="Arial" w:eastAsia="Arial" w:hAnsi="Arial"/>
          <w:sz w:val="22"/>
          <w:szCs w:val="22"/>
          <w:b w:val="1"/>
          <w:bCs w:val="1"/>
          <w:i w:val="1"/>
          <w:iCs w:val="1"/>
          <w:color w:val="auto"/>
        </w:rPr>
        <w:t>We may seek acquisition opportunities with an early stage company, a financially unstable business or an entity lacking an established record of revenue or earnings.</w:t>
      </w:r>
    </w:p>
    <w:p>
      <w:pPr>
        <w:spacing w:after="0" w:line="202" w:lineRule="exact"/>
        <w:rPr>
          <w:sz w:val="20"/>
          <w:szCs w:val="20"/>
          <w:color w:val="auto"/>
        </w:rPr>
      </w:pPr>
    </w:p>
    <w:p>
      <w:pPr>
        <w:ind w:right="60" w:firstLine="324"/>
        <w:spacing w:after="0" w:line="275" w:lineRule="auto"/>
        <w:rPr>
          <w:sz w:val="20"/>
          <w:szCs w:val="20"/>
          <w:color w:val="auto"/>
        </w:rPr>
      </w:pPr>
      <w:r>
        <w:rPr>
          <w:rFonts w:ascii="Arial" w:cs="Arial" w:eastAsia="Arial" w:hAnsi="Arial"/>
          <w:sz w:val="19"/>
          <w:szCs w:val="19"/>
          <w:color w:val="auto"/>
        </w:rPr>
        <w:t>To the extent we complete our initial business combination with an early stage company, a financially unstable business or an entity lacking an established record of sales or earnings, we may be affected by numerous risks inherent in the operations of the business with which we combine. These risks include investing in a business without a proven business model and with limited historical financial data, volatile revenues or earnings, intense competition and difficulties in obtaining and retaining key personnel. Although our officers and directors will endeavor to evaluate the risks inherent in a particular target business, we may not be able to properly ascertain or assess all of the significant risk factors and we may not have adequate time to complete due diligence. Furthermore, some of these risks may be outside of our control and leave us with no ability to control or reduce the chances that those risks will adversely impact a target business.</w:t>
      </w:r>
    </w:p>
    <w:p>
      <w:pPr>
        <w:spacing w:after="0" w:line="184" w:lineRule="exact"/>
        <w:rPr>
          <w:sz w:val="20"/>
          <w:szCs w:val="20"/>
          <w:color w:val="auto"/>
        </w:rPr>
      </w:pPr>
    </w:p>
    <w:p>
      <w:pPr>
        <w:ind w:left="180" w:right="80"/>
        <w:spacing w:after="0"/>
        <w:rPr>
          <w:sz w:val="20"/>
          <w:szCs w:val="20"/>
          <w:color w:val="auto"/>
        </w:rPr>
      </w:pPr>
      <w:r>
        <w:rPr>
          <w:rFonts w:ascii="Arial" w:cs="Arial" w:eastAsia="Arial" w:hAnsi="Arial"/>
          <w:sz w:val="22"/>
          <w:szCs w:val="22"/>
          <w:b w:val="1"/>
          <w:bCs w:val="1"/>
          <w:i w:val="1"/>
          <w:iCs w:val="1"/>
          <w:color w:val="auto"/>
        </w:rPr>
        <w:t>We are not required to obtain an opinion from an independent investment banking firm or from an independent accounting firm, and consequently, you may have no assurance from an independent source that the price we are paying for the business is fair to our company from a financial point of view.</w:t>
      </w:r>
    </w:p>
    <w:p>
      <w:pPr>
        <w:spacing w:after="0" w:line="213" w:lineRule="exact"/>
        <w:rPr>
          <w:sz w:val="20"/>
          <w:szCs w:val="20"/>
          <w:color w:val="auto"/>
        </w:rPr>
      </w:pPr>
    </w:p>
    <w:p>
      <w:pPr>
        <w:ind w:right="140" w:firstLine="324"/>
        <w:spacing w:after="0" w:line="235" w:lineRule="auto"/>
        <w:rPr>
          <w:sz w:val="20"/>
          <w:szCs w:val="20"/>
          <w:color w:val="auto"/>
        </w:rPr>
      </w:pPr>
      <w:r>
        <w:rPr>
          <w:rFonts w:ascii="Arial" w:cs="Arial" w:eastAsia="Arial" w:hAnsi="Arial"/>
          <w:sz w:val="22"/>
          <w:szCs w:val="22"/>
          <w:color w:val="auto"/>
        </w:rPr>
        <w:t>Unless we complete our initial business combination with an affiliated entity, we are not required to obtain an opinion from an independent investment banking firm, or from an independent accounting firm, that the price we are paying is fair to our company from a financial point of view. If no opinion is obtained, our shareholders will be relying on the judgment of our board of directors, who will determine fair market value based on standards generally accepted by the financial community. Such standards used will be disclosed in our tender offer documents or proxy solicitation materials, as applicable, related to our initial business combination.</w:t>
      </w:r>
    </w:p>
    <w:p>
      <w:pPr>
        <w:spacing w:after="0" w:line="215" w:lineRule="exact"/>
        <w:rPr>
          <w:sz w:val="20"/>
          <w:szCs w:val="20"/>
          <w:color w:val="auto"/>
        </w:rPr>
      </w:pPr>
    </w:p>
    <w:p>
      <w:pPr>
        <w:ind w:left="180" w:right="60"/>
        <w:spacing w:after="0" w:line="301" w:lineRule="auto"/>
        <w:rPr>
          <w:sz w:val="20"/>
          <w:szCs w:val="20"/>
          <w:color w:val="auto"/>
        </w:rPr>
      </w:pPr>
      <w:r>
        <w:rPr>
          <w:rFonts w:ascii="Arial" w:cs="Arial" w:eastAsia="Arial" w:hAnsi="Arial"/>
          <w:sz w:val="18"/>
          <w:szCs w:val="18"/>
          <w:b w:val="1"/>
          <w:bCs w:val="1"/>
          <w:i w:val="1"/>
          <w:iCs w:val="1"/>
          <w:color w:val="auto"/>
        </w:rPr>
        <w:t>We may issue additional Class A ordinary shares or preferred shares to complete our initial business combination or under an employee incentive plan after completion of our initial business combination. We may also issue Class A ordinary shares upon the conversion of the founder shares at a ratio greater than one-to-one at the time of our initial business combination as a result of the anti-dilution provisions contained in our amended and restated memorandum and articles of association. Any such issuances would substantially dilute the interest of our shareholders and likely present other risks.</w:t>
      </w:r>
    </w:p>
    <w:p>
      <w:pPr>
        <w:spacing w:after="0" w:line="160" w:lineRule="exact"/>
        <w:rPr>
          <w:sz w:val="20"/>
          <w:szCs w:val="20"/>
          <w:color w:val="auto"/>
        </w:rPr>
      </w:pPr>
    </w:p>
    <w:p>
      <w:pPr>
        <w:ind w:firstLine="324"/>
        <w:spacing w:after="0" w:line="235" w:lineRule="auto"/>
        <w:rPr>
          <w:sz w:val="20"/>
          <w:szCs w:val="20"/>
          <w:color w:val="auto"/>
        </w:rPr>
      </w:pPr>
      <w:r>
        <w:rPr>
          <w:rFonts w:ascii="Arial" w:cs="Arial" w:eastAsia="Arial" w:hAnsi="Arial"/>
          <w:sz w:val="22"/>
          <w:szCs w:val="22"/>
          <w:color w:val="auto"/>
        </w:rPr>
        <w:t>Our amended and restated memorandum and articles of association authorize the issuance of ordinary shares, including 200,000,000 Class A ordinary shares, par value $0.0001 per share, and 20,000,000 Class B ordinary shares, par value $0.0001 per share, as well as 1,000,000 preferred shares, par value $0.0001. There are 155,500,000 and 13,750,000 authorized but unissued Class A ordinary shares and Class B ordinary shares, respectively, available for issuance, which amount takes into account shares reserved for issuance upon exercise of outstanding warrants, and 1,000,000 authorized but unissued preferred shares available for issuance.</w:t>
      </w:r>
    </w:p>
    <w:p>
      <w:pPr>
        <w:spacing w:after="0" w:line="215" w:lineRule="exact"/>
        <w:rPr>
          <w:sz w:val="20"/>
          <w:szCs w:val="20"/>
          <w:color w:val="auto"/>
        </w:rPr>
      </w:pPr>
    </w:p>
    <w:p>
      <w:pPr>
        <w:ind w:right="80" w:firstLine="324"/>
        <w:spacing w:after="0" w:line="245" w:lineRule="auto"/>
        <w:rPr>
          <w:sz w:val="20"/>
          <w:szCs w:val="20"/>
          <w:color w:val="auto"/>
        </w:rPr>
      </w:pPr>
      <w:r>
        <w:rPr>
          <w:rFonts w:ascii="Arial" w:cs="Arial" w:eastAsia="Arial" w:hAnsi="Arial"/>
          <w:sz w:val="21"/>
          <w:szCs w:val="21"/>
          <w:color w:val="auto"/>
        </w:rPr>
        <w:t>We may issue a substantial number of additional Class A ordinary shares, and may issue preferred shares, in order to complete our initial business combination or under an employee incentive plan after completion of our initial business combination. We may also issue Class A ordinary shares upon conversion of the Class B ordinary shares at a ratio greater than one-to-one at the time of our initial business combination as a result of the anti-dilution provisions as set forth herein. However, our amended and restated memorandum and articles of association provides, among other things, that prior to our initial business combination, we may not issue additional shares that would entitle the holders thereof to (1) receive funds from the trust account or (2) vote as a class with our public shares (a) on any initial business combination or (b) to approve an amendment to our amended and restated memorandum and articles of association to (x) extend the time we have to consummate a business combination beyond 18 months from the closing of our initial public offering or (y) amend the foregoing provisions. The issuance of additional ordinary shares or preferred shares:</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may significantly dilute the equity interest of investors in our initial public offering;</w:t>
      </w:r>
    </w:p>
    <w:p>
      <w:pPr>
        <w:spacing w:after="0" w:line="252" w:lineRule="exact"/>
        <w:rPr>
          <w:rFonts w:ascii="Arial" w:cs="Arial" w:eastAsia="Arial" w:hAnsi="Arial"/>
          <w:sz w:val="18"/>
          <w:szCs w:val="18"/>
          <w:color w:val="auto"/>
        </w:rPr>
      </w:pPr>
    </w:p>
    <w:p>
      <w:pPr>
        <w:ind w:left="660" w:right="38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may subordinate the rights of holders of Class A ordinary shares if preferred shares are issued with rights senior to those afforded our Class A ordinary shares;</w:t>
      </w:r>
    </w:p>
    <w:p>
      <w:pPr>
        <w:spacing w:after="0" w:line="197" w:lineRule="exact"/>
        <w:rPr>
          <w:rFonts w:ascii="Arial" w:cs="Arial" w:eastAsia="Arial" w:hAnsi="Arial"/>
          <w:sz w:val="18"/>
          <w:szCs w:val="18"/>
          <w:color w:val="auto"/>
        </w:rPr>
      </w:pPr>
    </w:p>
    <w:p>
      <w:pPr>
        <w:ind w:left="660" w:right="80" w:hanging="328"/>
        <w:spacing w:after="0" w:line="342" w:lineRule="auto"/>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could cause a change in control if a substantial number of Class A ordinary shares are issued, which may affect, among other things, our ability to use our net operating loss carry forwards, if any, and could result in the resignation or removal of our present officers and directors; and</w:t>
      </w:r>
    </w:p>
    <w:p>
      <w:pPr>
        <w:spacing w:after="0" w:line="150" w:lineRule="exact"/>
        <w:rPr>
          <w:rFonts w:ascii="Arial" w:cs="Arial" w:eastAsia="Arial" w:hAnsi="Arial"/>
          <w:sz w:val="16"/>
          <w:szCs w:val="16"/>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may adversely affect prevailing market prices for our units, Class A ordinary shares and/or warrants.</w:t>
      </w:r>
    </w:p>
    <w:p>
      <w:pPr>
        <w:spacing w:after="0" w:line="245" w:lineRule="exact"/>
        <w:rPr>
          <w:sz w:val="20"/>
          <w:szCs w:val="20"/>
          <w:color w:val="auto"/>
        </w:rPr>
      </w:pPr>
    </w:p>
    <w:p>
      <w:pPr>
        <w:ind w:left="180" w:right="340"/>
        <w:spacing w:after="0" w:line="250" w:lineRule="auto"/>
        <w:rPr>
          <w:sz w:val="20"/>
          <w:szCs w:val="20"/>
          <w:color w:val="auto"/>
        </w:rPr>
      </w:pPr>
      <w:r>
        <w:rPr>
          <w:rFonts w:ascii="Arial" w:cs="Arial" w:eastAsia="Arial" w:hAnsi="Arial"/>
          <w:sz w:val="22"/>
          <w:szCs w:val="22"/>
          <w:b w:val="1"/>
          <w:bCs w:val="1"/>
          <w:i w:val="1"/>
          <w:iCs w:val="1"/>
          <w:color w:val="auto"/>
        </w:rPr>
        <w:t>Unlike certain other blank check companies, our initial shareholder will receive additional Class A ordinary shares if we issue shares to consummate an initial business combination.</w:t>
      </w:r>
    </w:p>
    <w:p>
      <w:pPr>
        <w:spacing w:after="0" w:line="202" w:lineRule="exact"/>
        <w:rPr>
          <w:sz w:val="20"/>
          <w:szCs w:val="20"/>
          <w:color w:val="auto"/>
        </w:rPr>
      </w:pPr>
    </w:p>
    <w:p>
      <w:pPr>
        <w:ind w:right="40" w:firstLine="324"/>
        <w:spacing w:after="0" w:line="272" w:lineRule="auto"/>
        <w:rPr>
          <w:sz w:val="20"/>
          <w:szCs w:val="20"/>
          <w:color w:val="auto"/>
        </w:rPr>
      </w:pPr>
      <w:r>
        <w:rPr>
          <w:rFonts w:ascii="Arial" w:cs="Arial" w:eastAsia="Arial" w:hAnsi="Arial"/>
          <w:sz w:val="19"/>
          <w:szCs w:val="19"/>
          <w:color w:val="auto"/>
        </w:rPr>
        <w:t>The founder shares will automatically convert into Class A ordinary shares on the first business day following the completion of our initial business combination on a one-for-one basis, subject to adjustment as provided herein. In the case that additional Class A ordinary shares, or equity-linked securities convertible or exercisable for Class A ordinary shares, are issued or deemed issued in excess of the amounts issued in our initial public offering and related to the closing of our initial business combination, the ratio at which founder shares will convert into Class A ordinary shares will be adjusted (subject to waiver by holders of a majority of the Class B ordinary shares then in issue) so that the number of Class A ordinary shares issuable upon conversion of all Class B ordinary shares will equal, in the aggregate, on an as-converted basis, 20% of the sum of our ordinary shares issued and outstanding upon the completion of our initial public offering plus the number of Class A ordinary shares and equity-linked securities issued or deemed issued in connection with our initial business combination (net of redemptions), excluding any Class A ordinary shares or equity-linked securities issued, or to be issued, to any seller in our initial business combination and any private placement warrants issued to our sponsor, an affiliate of our sponsor or any of our officers or directors. This is different than certain other blank check companies in which the initial shareholder will only be issued an aggregate of 20% of the total number of shares to be outstanding prior to our initial business combination.</w:t>
      </w:r>
    </w:p>
    <w:p>
      <w:pPr>
        <w:spacing w:after="0" w:line="183" w:lineRule="exact"/>
        <w:rPr>
          <w:sz w:val="20"/>
          <w:szCs w:val="20"/>
          <w:color w:val="auto"/>
        </w:rPr>
      </w:pPr>
    </w:p>
    <w:p>
      <w:pPr>
        <w:ind w:left="180" w:right="280"/>
        <w:spacing w:after="0" w:line="250" w:lineRule="auto"/>
        <w:rPr>
          <w:sz w:val="20"/>
          <w:szCs w:val="20"/>
          <w:color w:val="auto"/>
        </w:rPr>
      </w:pPr>
      <w:r>
        <w:rPr>
          <w:rFonts w:ascii="Arial" w:cs="Arial" w:eastAsia="Arial" w:hAnsi="Arial"/>
          <w:sz w:val="22"/>
          <w:szCs w:val="22"/>
          <w:b w:val="1"/>
          <w:bCs w:val="1"/>
          <w:i w:val="1"/>
          <w:iCs w:val="1"/>
          <w:color w:val="auto"/>
        </w:rPr>
        <w:t>We may be a passive foreign investment company, or “PFIC,” which could result in adverse United States federal income tax consequences to U.S. investors.</w:t>
      </w:r>
    </w:p>
    <w:p>
      <w:pPr>
        <w:spacing w:after="0" w:line="202" w:lineRule="exact"/>
        <w:rPr>
          <w:sz w:val="20"/>
          <w:szCs w:val="20"/>
          <w:color w:val="auto"/>
        </w:rPr>
      </w:pPr>
    </w:p>
    <w:p>
      <w:pPr>
        <w:ind w:right="120" w:firstLine="324"/>
        <w:spacing w:after="0" w:line="244" w:lineRule="auto"/>
        <w:rPr>
          <w:sz w:val="20"/>
          <w:szCs w:val="20"/>
          <w:color w:val="auto"/>
        </w:rPr>
      </w:pPr>
      <w:r>
        <w:rPr>
          <w:rFonts w:ascii="Arial" w:cs="Arial" w:eastAsia="Arial" w:hAnsi="Arial"/>
          <w:sz w:val="21"/>
          <w:szCs w:val="21"/>
          <w:color w:val="auto"/>
        </w:rPr>
        <w:t>If we are a PFIC for any taxable year (or portion thereof) that is included in the holding period of a U.S. Holder of our Class A ordinary shares or warrants, the U.S. Holder may be subject to adverse U.S. federal income tax consequences and may be subject to additional reporting requirements. Our PFIC status for our current and subsequent taxable years may depend on whether we qualify for the PFIC start-up exception. Depending on the particular circumstances, the application of the start-up exception may be subject to uncertainty, and there cannot be any assurance that we will qualify for the start-up exception. Accordingly, there can be no assurances with respect to our status as a PFIC for our current taxable year or any subsequent taxable year. Our actual PFIC status for any taxable year, moreover, will not be determinable until after the end of such taxable year. If we determine we are a PFIC for any taxable year (of which there can be no assurance), we will endeavor to provide to a U.S. Holder such information as the Internal Revenue Service (“IRS”) may require, including a PFIC annual information statement, in order to enable the U.S. Holder to make and maintain a “qualified electing fund” election, but there can be no assurance that we will timely provide such required information, and such election would be unavailable with respect to our warrants in all cases. We urge U.S. investors to consult their own tax advisors regarding the possible application of the PFIC rules.</w:t>
      </w:r>
    </w:p>
    <w:p>
      <w:pPr>
        <w:spacing w:after="0" w:line="210" w:lineRule="exact"/>
        <w:rPr>
          <w:sz w:val="20"/>
          <w:szCs w:val="20"/>
          <w:color w:val="auto"/>
        </w:rPr>
      </w:pPr>
    </w:p>
    <w:p>
      <w:pPr>
        <w:ind w:left="180" w:right="80"/>
        <w:spacing w:after="0" w:line="250" w:lineRule="auto"/>
        <w:rPr>
          <w:sz w:val="20"/>
          <w:szCs w:val="20"/>
          <w:color w:val="auto"/>
        </w:rPr>
      </w:pPr>
      <w:r>
        <w:rPr>
          <w:rFonts w:ascii="Arial" w:cs="Arial" w:eastAsia="Arial" w:hAnsi="Arial"/>
          <w:sz w:val="22"/>
          <w:szCs w:val="22"/>
          <w:b w:val="1"/>
          <w:bCs w:val="1"/>
          <w:i w:val="1"/>
          <w:iCs w:val="1"/>
          <w:color w:val="auto"/>
        </w:rPr>
        <w:t>We may reincorporate in another jurisdiction in connection with our initial business combination and such reincorporation may result in taxes imposed on shareholders.</w:t>
      </w:r>
    </w:p>
    <w:p>
      <w:pPr>
        <w:spacing w:after="0" w:line="202" w:lineRule="exact"/>
        <w:rPr>
          <w:sz w:val="20"/>
          <w:szCs w:val="20"/>
          <w:color w:val="auto"/>
        </w:rPr>
      </w:pPr>
    </w:p>
    <w:p>
      <w:pPr>
        <w:ind w:firstLine="324"/>
        <w:spacing w:after="0" w:line="235" w:lineRule="auto"/>
        <w:rPr>
          <w:sz w:val="20"/>
          <w:szCs w:val="20"/>
          <w:color w:val="auto"/>
        </w:rPr>
      </w:pPr>
      <w:r>
        <w:rPr>
          <w:rFonts w:ascii="Arial" w:cs="Arial" w:eastAsia="Arial" w:hAnsi="Arial"/>
          <w:sz w:val="22"/>
          <w:szCs w:val="22"/>
          <w:color w:val="auto"/>
        </w:rPr>
        <w:t>We may, in connection with our initial business combination and subject to requisite shareholder approval under the Companies Law, reincorporate in the jurisdiction in which the target company or business is located or in another jurisdiction. The transaction may require a shareholder to recognize taxable income in the jurisdiction in which the shareholder is a tax resident or in which its members are resident if it is a tax transparent entity. We do not intend to make any cash distributions to shareholders to pay such taxes. Shareholders may be subject to withholding taxes or other taxes with respect to their ownership of us after the reincorporation.</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8" w:name="page39"/>
    <w:bookmarkEnd w:id="38"/>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ind w:left="180" w:right="20"/>
        <w:spacing w:after="0" w:line="287" w:lineRule="auto"/>
        <w:rPr>
          <w:sz w:val="20"/>
          <w:szCs w:val="20"/>
          <w:color w:val="auto"/>
        </w:rPr>
      </w:pPr>
      <w:r>
        <w:rPr>
          <w:rFonts w:ascii="Arial" w:cs="Arial" w:eastAsia="Arial" w:hAnsi="Arial"/>
          <w:sz w:val="19"/>
          <w:szCs w:val="19"/>
          <w:b w:val="1"/>
          <w:bCs w:val="1"/>
          <w:i w:val="1"/>
          <w:iCs w:val="1"/>
          <w:color w:val="auto"/>
        </w:rPr>
        <w:t>Resources could be wasted in researching acquisitions that are not completed, which could materially adversely affect subsequent attempts to locate and acquire or merge with another business. If we are unable to complete our initial business combination, our public shareholders may receive only approximately $10.00 per share, or less than such amount in certain circumstances, on the liquidation of our trust account and our warrants will expire worthless.</w:t>
      </w:r>
    </w:p>
    <w:p>
      <w:pPr>
        <w:spacing w:after="0" w:line="170" w:lineRule="exact"/>
        <w:rPr>
          <w:sz w:val="20"/>
          <w:szCs w:val="20"/>
          <w:color w:val="auto"/>
        </w:rPr>
      </w:pPr>
    </w:p>
    <w:p>
      <w:pPr>
        <w:ind w:firstLine="324"/>
        <w:spacing w:after="0" w:line="274" w:lineRule="auto"/>
        <w:rPr>
          <w:sz w:val="20"/>
          <w:szCs w:val="20"/>
          <w:color w:val="auto"/>
        </w:rPr>
      </w:pPr>
      <w:r>
        <w:rPr>
          <w:rFonts w:ascii="Arial" w:cs="Arial" w:eastAsia="Arial" w:hAnsi="Arial"/>
          <w:sz w:val="19"/>
          <w:szCs w:val="19"/>
          <w:color w:val="auto"/>
        </w:rPr>
        <w:t>We anticipate that the investigation of each specific target business and the negotiation, drafting and execution of relevant agreements, disclosure documents and other instruments will require substantial management time and attention and substantial costs for accountants, attorneys and others. If we decide not to complete a specific initial business combination, the costs incurred up to that point for the proposed transaction likely would not be recoverable. Furthermore, if we reach an agreement relating to a specific target business, we may fail to complete our initial business combination for any number of reasons including those beyond our control. Any such event will result in a loss to us of the related costs incurred which could materially adversely affect subsequent attempts to locate and acquire or merge with another business. If we are unable to complete our initial business combination, our public shareholders may receive only approximately $10.00 per share, or less in certain circumstances, on the liquidation of our trust account and our warrants will expire worthless.</w:t>
      </w:r>
    </w:p>
    <w:p>
      <w:pPr>
        <w:spacing w:after="0" w:line="185"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We are dependent upon our officers and directors and their departure could adversely affect our ability to operate.</w:t>
      </w:r>
    </w:p>
    <w:p>
      <w:pPr>
        <w:spacing w:after="0" w:line="268" w:lineRule="exact"/>
        <w:rPr>
          <w:sz w:val="20"/>
          <w:szCs w:val="20"/>
          <w:color w:val="auto"/>
        </w:rPr>
      </w:pPr>
    </w:p>
    <w:p>
      <w:pPr>
        <w:ind w:firstLine="324"/>
        <w:spacing w:after="0" w:line="245" w:lineRule="auto"/>
        <w:rPr>
          <w:sz w:val="20"/>
          <w:szCs w:val="20"/>
          <w:color w:val="auto"/>
        </w:rPr>
      </w:pPr>
      <w:r>
        <w:rPr>
          <w:rFonts w:ascii="Arial" w:cs="Arial" w:eastAsia="Arial" w:hAnsi="Arial"/>
          <w:sz w:val="21"/>
          <w:szCs w:val="21"/>
          <w:color w:val="auto"/>
        </w:rPr>
        <w:t>Our operations are dependent upon a relatively small group of individuals – in particular, Scott Gordon, our Chief Executive Officer and Chairman of our board of directors, William Healy, our President and a member of our board of directors, and Greg Gentile, our Chief Financial Officer. We believe that our success depends on the continued service of our officers and directors, at least until we have completed our initial business combination. In addition, our officers and directors are not required to commit any specified amount of time to our affairs and, accordingly, will have conflicts of interest in allocating their time among various business activities, including identifying potential business combinations and monitoring the related due diligence. Moreover, certain of our officers and directors have time and attention requirements for investment funds of which affiliates of our sponsor are the investment managers. We do not have an employment agreement with, or key-man insurance on the life of, any of our directors or officers. The unexpected loss of the services of one or more of our directors or officers could have a detrimental effect on us.</w:t>
      </w:r>
    </w:p>
    <w:p>
      <w:pPr>
        <w:spacing w:after="0" w:line="208" w:lineRule="exact"/>
        <w:rPr>
          <w:sz w:val="20"/>
          <w:szCs w:val="20"/>
          <w:color w:val="auto"/>
        </w:rPr>
      </w:pPr>
    </w:p>
    <w:p>
      <w:pPr>
        <w:ind w:left="180" w:right="60"/>
        <w:spacing w:after="0" w:line="297" w:lineRule="auto"/>
        <w:rPr>
          <w:sz w:val="20"/>
          <w:szCs w:val="20"/>
          <w:color w:val="auto"/>
        </w:rPr>
      </w:pPr>
      <w:r>
        <w:rPr>
          <w:rFonts w:ascii="Arial" w:cs="Arial" w:eastAsia="Arial" w:hAnsi="Arial"/>
          <w:sz w:val="19"/>
          <w:szCs w:val="19"/>
          <w:b w:val="1"/>
          <w:bCs w:val="1"/>
          <w:i w:val="1"/>
          <w:iCs w:val="1"/>
          <w:color w:val="auto"/>
        </w:rPr>
        <w:t>Our ability to successfully effect our initial business combination and to be successful thereafter will be dependent upon the efforts of our key personnel, some of whom may join us following our initial business combination. The loss of key personnel could negatively impact the operations and profitability of our post-combination business.</w:t>
      </w:r>
    </w:p>
    <w:p>
      <w:pPr>
        <w:spacing w:after="0" w:line="161" w:lineRule="exact"/>
        <w:rPr>
          <w:sz w:val="20"/>
          <w:szCs w:val="20"/>
          <w:color w:val="auto"/>
        </w:rPr>
      </w:pPr>
    </w:p>
    <w:p>
      <w:pPr>
        <w:ind w:right="20" w:firstLine="324"/>
        <w:spacing w:after="0" w:line="277" w:lineRule="auto"/>
        <w:rPr>
          <w:sz w:val="20"/>
          <w:szCs w:val="20"/>
          <w:color w:val="auto"/>
        </w:rPr>
      </w:pPr>
      <w:r>
        <w:rPr>
          <w:rFonts w:ascii="Arial" w:cs="Arial" w:eastAsia="Arial" w:hAnsi="Arial"/>
          <w:sz w:val="19"/>
          <w:szCs w:val="19"/>
          <w:color w:val="auto"/>
        </w:rPr>
        <w:t>Our ability to successfully effect our initial business combination is dependent upon the efforts of our key personnel. The role of our key personnel in the target business, however, cannot presently be ascertained. Although some of our key personnel may remain with the target business in senior management or advisory positions following our initial business combination, it is likely that some or all of the management of the target business will remain in place. While we closely scrutinize any individuals we engage after our initial business combination, we cannot assure you that our assessment of these individuals will prove to be correct. These individuals may be unfamiliar with the requirements of operating a company regulated by the SEC, which could cause us to have to expend time and resources helping them become familiar with such requirements.</w:t>
      </w:r>
    </w:p>
    <w:p>
      <w:pPr>
        <w:spacing w:after="0" w:line="179" w:lineRule="exact"/>
        <w:rPr>
          <w:sz w:val="20"/>
          <w:szCs w:val="20"/>
          <w:color w:val="auto"/>
        </w:rPr>
      </w:pPr>
    </w:p>
    <w:p>
      <w:pPr>
        <w:ind w:right="40" w:firstLine="324"/>
        <w:spacing w:after="0" w:line="277" w:lineRule="auto"/>
        <w:rPr>
          <w:sz w:val="20"/>
          <w:szCs w:val="20"/>
          <w:color w:val="auto"/>
        </w:rPr>
      </w:pPr>
      <w:r>
        <w:rPr>
          <w:rFonts w:ascii="Arial" w:cs="Arial" w:eastAsia="Arial" w:hAnsi="Arial"/>
          <w:sz w:val="19"/>
          <w:szCs w:val="19"/>
          <w:color w:val="auto"/>
        </w:rPr>
        <w:t>In addition, the officers and directors of an acquisition candidate may resign upon completion of our initial business combination. The departure of a business combination target’s key personnel could negatively impact the operations and profitability of our post-combination business. The role of an acquisition candidate’s key personnel upon the completion of our initial business combination cannot be ascertained at this time. Although we contemplate that certain members of an acquisition candidate’s management team will remain associated with the acquisition candidate following our initial business combination, it is possible that members of the management of an acquisition candidate will not wish to remain in place. The loss of key personnel could negatively impact the operations and profitability of our post-combination business.</w:t>
      </w: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39" w:name="page40"/>
    <w:bookmarkEnd w:id="39"/>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ind w:left="180" w:right="500"/>
        <w:spacing w:after="0" w:line="252" w:lineRule="auto"/>
        <w:rPr>
          <w:sz w:val="20"/>
          <w:szCs w:val="20"/>
          <w:color w:val="auto"/>
        </w:rPr>
      </w:pPr>
      <w:r>
        <w:rPr>
          <w:rFonts w:ascii="Arial" w:cs="Arial" w:eastAsia="Arial" w:hAnsi="Arial"/>
          <w:sz w:val="21"/>
          <w:szCs w:val="21"/>
          <w:b w:val="1"/>
          <w:bCs w:val="1"/>
          <w:i w:val="1"/>
          <w:iCs w:val="1"/>
          <w:color w:val="auto"/>
        </w:rPr>
        <w:t>Our key personnel may negotiate employment or consulting agreements with a target business in connection with a particular business combination. These agreements may provide for them to receive compensation following our initial business combination and as a result, may cause them to have conflicts of interest in determining whether a particular business combination is the most advantageous.</w:t>
      </w:r>
    </w:p>
    <w:p>
      <w:pPr>
        <w:spacing w:after="0" w:line="201" w:lineRule="exact"/>
        <w:rPr>
          <w:sz w:val="20"/>
          <w:szCs w:val="20"/>
          <w:color w:val="auto"/>
        </w:rPr>
      </w:pPr>
    </w:p>
    <w:p>
      <w:pPr>
        <w:ind w:right="20" w:firstLine="324"/>
        <w:spacing w:after="0" w:line="273" w:lineRule="auto"/>
        <w:rPr>
          <w:sz w:val="20"/>
          <w:szCs w:val="20"/>
          <w:color w:val="auto"/>
        </w:rPr>
      </w:pPr>
      <w:r>
        <w:rPr>
          <w:rFonts w:ascii="Arial" w:cs="Arial" w:eastAsia="Arial" w:hAnsi="Arial"/>
          <w:sz w:val="19"/>
          <w:szCs w:val="19"/>
          <w:color w:val="auto"/>
        </w:rPr>
        <w:t>Our key personnel may be able to remain with the company after the completion of our initial business combination only if they are able to negotiate employment or consulting agreements in connection with the business combination. Such negotiations would take place simultaneously with the negotiation of the business combination and could provide for such individuals to receive compensation in the form of cash payments and/or our securities for services they would render to us after the completion of our initial business combination. The personal and financial interests of such individuals may influence their motivation in identifying and selecting a target business, subject to their fiduciary duties under Cayman Islands law. However, we believe the ability of such individuals to remain with us after the completion of our initial business combination will not be the determining factor in our decision as to whether or not we will proceed with any potential business combination. There is no certainty, however, that any of our key personnel will remain with us after the completion of our initial business combination. We cannot assure you that any of our key personnel will remain in senior management or advisory positions with us. The determination as to whether any of our key personnel will remain with us will be made at the time of our initial business combination.</w:t>
      </w:r>
    </w:p>
    <w:p>
      <w:pPr>
        <w:spacing w:after="0" w:line="182" w:lineRule="exact"/>
        <w:rPr>
          <w:sz w:val="20"/>
          <w:szCs w:val="20"/>
          <w:color w:val="auto"/>
        </w:rPr>
      </w:pPr>
    </w:p>
    <w:p>
      <w:pPr>
        <w:ind w:left="180" w:right="60"/>
        <w:spacing w:after="0"/>
        <w:rPr>
          <w:sz w:val="20"/>
          <w:szCs w:val="20"/>
          <w:color w:val="auto"/>
        </w:rPr>
      </w:pPr>
      <w:r>
        <w:rPr>
          <w:rFonts w:ascii="Arial" w:cs="Arial" w:eastAsia="Arial" w:hAnsi="Arial"/>
          <w:sz w:val="22"/>
          <w:szCs w:val="22"/>
          <w:b w:val="1"/>
          <w:bCs w:val="1"/>
          <w:i w:val="1"/>
          <w:iCs w:val="1"/>
          <w:color w:val="auto"/>
        </w:rPr>
        <w:t>We may have limited ability to assess the management of a prospective target business and, as a result, may effect our initial business combination with a target business whose management may not have the skills, qualifications or abilities to manage a public company.</w:t>
      </w:r>
    </w:p>
    <w:p>
      <w:pPr>
        <w:spacing w:after="0" w:line="213" w:lineRule="exact"/>
        <w:rPr>
          <w:sz w:val="20"/>
          <w:szCs w:val="20"/>
          <w:color w:val="auto"/>
        </w:rPr>
      </w:pPr>
    </w:p>
    <w:p>
      <w:pPr>
        <w:ind w:right="40" w:firstLine="324"/>
        <w:spacing w:after="0" w:line="246" w:lineRule="auto"/>
        <w:rPr>
          <w:sz w:val="20"/>
          <w:szCs w:val="20"/>
          <w:color w:val="auto"/>
        </w:rPr>
      </w:pPr>
      <w:r>
        <w:rPr>
          <w:rFonts w:ascii="Arial" w:cs="Arial" w:eastAsia="Arial" w:hAnsi="Arial"/>
          <w:sz w:val="21"/>
          <w:szCs w:val="21"/>
          <w:color w:val="auto"/>
        </w:rPr>
        <w:t>When evaluating the desirability of effecting our initial business combination with a prospective target business, our ability to assess the target business’s management may be limited due to a lack of time, resources or information. Our assessment of the capabilities of the target’s management, therefore, may prove to be incorrect and such management may lack the skills, qualifications or abilities we suspected. Should the target’s management not possess the skills, qualifications or abilities necessary to manage a public company, the operations and profitability of the post-combination business may be negatively impacted. Accordingly, shareholders or warrant holders who choose to remain shareholders or warrant holders following our initial business combination could suffer a reduction in the value of their securities. Such shareholders or warrant holders are unlikely to have a remedy for such reduction in value.</w:t>
      </w:r>
    </w:p>
    <w:p>
      <w:pPr>
        <w:spacing w:after="0" w:line="207" w:lineRule="exact"/>
        <w:rPr>
          <w:sz w:val="20"/>
          <w:szCs w:val="20"/>
          <w:color w:val="auto"/>
        </w:rPr>
      </w:pPr>
    </w:p>
    <w:p>
      <w:pPr>
        <w:ind w:right="120" w:firstLine="324"/>
        <w:spacing w:after="0" w:line="279" w:lineRule="auto"/>
        <w:rPr>
          <w:sz w:val="20"/>
          <w:szCs w:val="20"/>
          <w:color w:val="auto"/>
        </w:rPr>
      </w:pPr>
      <w:r>
        <w:rPr>
          <w:rFonts w:ascii="Arial" w:cs="Arial" w:eastAsia="Arial" w:hAnsi="Arial"/>
          <w:sz w:val="19"/>
          <w:szCs w:val="19"/>
          <w:color w:val="auto"/>
        </w:rPr>
        <w:t>The officers and directors of an acquisition candidate may resign upon completion of our initial business combination. The departure of a business combination target’s key personnel could negatively impact the operations and profitability of our post-combination business. The role of an acquisition candidate’s key personnel upon the completion of our initial business combination cannot be ascertained at this time. Although we contemplate that certain members of an acquisition candidate’s management team will remain associated with the acquisition candidate following our initial business combination, it is possible that members of the management of an acquisition candidate will not wish to remain in place.</w:t>
      </w:r>
    </w:p>
    <w:p>
      <w:pPr>
        <w:spacing w:after="0" w:line="177" w:lineRule="exact"/>
        <w:rPr>
          <w:sz w:val="20"/>
          <w:szCs w:val="20"/>
          <w:color w:val="auto"/>
        </w:rPr>
      </w:pPr>
    </w:p>
    <w:p>
      <w:pPr>
        <w:ind w:left="180" w:right="400"/>
        <w:spacing w:after="0"/>
        <w:rPr>
          <w:sz w:val="20"/>
          <w:szCs w:val="20"/>
          <w:color w:val="auto"/>
        </w:rPr>
      </w:pPr>
      <w:r>
        <w:rPr>
          <w:rFonts w:ascii="Arial" w:cs="Arial" w:eastAsia="Arial" w:hAnsi="Arial"/>
          <w:sz w:val="22"/>
          <w:szCs w:val="22"/>
          <w:b w:val="1"/>
          <w:bCs w:val="1"/>
          <w:i w:val="1"/>
          <w:iCs w:val="1"/>
          <w:color w:val="auto"/>
        </w:rPr>
        <w:t>Our officers and directors will allocate their time to other businesses thereby causing conflicts of interest in their determination as to how much time to devote to our affairs. This conflict of interest could have a negative impact on our ability to complete our initial business combination.</w:t>
      </w:r>
    </w:p>
    <w:p>
      <w:pPr>
        <w:spacing w:after="0" w:line="213" w:lineRule="exact"/>
        <w:rPr>
          <w:sz w:val="20"/>
          <w:szCs w:val="20"/>
          <w:color w:val="auto"/>
        </w:rPr>
      </w:pPr>
    </w:p>
    <w:p>
      <w:pPr>
        <w:ind w:firstLine="324"/>
        <w:spacing w:after="0" w:line="273" w:lineRule="auto"/>
        <w:rPr>
          <w:sz w:val="20"/>
          <w:szCs w:val="20"/>
          <w:color w:val="auto"/>
        </w:rPr>
      </w:pPr>
      <w:r>
        <w:rPr>
          <w:rFonts w:ascii="Arial" w:cs="Arial" w:eastAsia="Arial" w:hAnsi="Arial"/>
          <w:sz w:val="19"/>
          <w:szCs w:val="19"/>
          <w:color w:val="auto"/>
        </w:rPr>
        <w:t>Our officers and directors are not required to, and will not, commit their full time to our affairs, which may result in a conflict of interest in allocating their time between our operations and our search for a business combination and their other businesses. We do not intend to have any full-time employees prior to the completion of our initial business combination. Each of our officers is engaged in several other business endeavors for which he may be entitled to substantial compensation and our officers are not obligated to contribute any specific number of hours per week to our affairs. Our independent directors may also serve as officers and board members for other entities. If our officers’ and directors’ other business affairs require them to devote substantial amounts of time to such affairs in excess of their current commitment levels, it could limit their ability to devote time to our affairs, which may have a negative impact on our ability to complete our initial business combination. For a complete discussion of our officers’ and directors’ other business affairs, please see “Item 10. Directors, Executive Officers and Corporate Governance —Directors and Executive Officers.”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0" w:name="page41"/>
    <w:bookmarkEnd w:id="40"/>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ind w:left="180" w:right="240"/>
        <w:spacing w:after="0" w:line="297" w:lineRule="auto"/>
        <w:rPr>
          <w:sz w:val="20"/>
          <w:szCs w:val="20"/>
          <w:color w:val="auto"/>
        </w:rPr>
      </w:pPr>
      <w:r>
        <w:rPr>
          <w:rFonts w:ascii="Arial" w:cs="Arial" w:eastAsia="Arial" w:hAnsi="Arial"/>
          <w:sz w:val="19"/>
          <w:szCs w:val="19"/>
          <w:b w:val="1"/>
          <w:bCs w:val="1"/>
          <w:i w:val="1"/>
          <w:iCs w:val="1"/>
          <w:color w:val="auto"/>
        </w:rPr>
        <w:t>Certain of our officers and directors are now, and all of them may in the future become, affiliated with entities engaged in business activities similar to those intended to be conducted by us and, accordingly, may have conflicts of interest in determining to which entity a particular business opportunity should be presented.</w:t>
      </w:r>
    </w:p>
    <w:p>
      <w:pPr>
        <w:spacing w:after="0" w:line="161" w:lineRule="exact"/>
        <w:rPr>
          <w:sz w:val="20"/>
          <w:szCs w:val="20"/>
          <w:color w:val="auto"/>
        </w:rPr>
      </w:pPr>
    </w:p>
    <w:p>
      <w:pPr>
        <w:ind w:right="40" w:firstLine="324"/>
        <w:spacing w:after="0" w:line="249" w:lineRule="auto"/>
        <w:rPr>
          <w:sz w:val="20"/>
          <w:szCs w:val="20"/>
          <w:color w:val="auto"/>
        </w:rPr>
      </w:pPr>
      <w:r>
        <w:rPr>
          <w:rFonts w:ascii="Arial" w:cs="Arial" w:eastAsia="Arial" w:hAnsi="Arial"/>
          <w:sz w:val="21"/>
          <w:szCs w:val="21"/>
          <w:color w:val="auto"/>
        </w:rPr>
        <w:t>We are engaged in the business of identifying and combining with one or more businesses. Our sponsor and officers and directors are, or may in the future become, affiliated with entities that are engaged in a similar business, and they are not prohibited from sponsoring, or otherwise becoming involved with, other blank check companies prior to us completing our initial business combination. Moreover, certain of our officers and directors have time and attention requirements for investment funds of which affiliates of our sponsor are the investment managers.</w:t>
      </w:r>
    </w:p>
    <w:p>
      <w:pPr>
        <w:spacing w:after="0" w:line="205" w:lineRule="exact"/>
        <w:rPr>
          <w:sz w:val="20"/>
          <w:szCs w:val="20"/>
          <w:color w:val="auto"/>
        </w:rPr>
      </w:pPr>
    </w:p>
    <w:p>
      <w:pPr>
        <w:ind w:firstLine="324"/>
        <w:spacing w:after="0" w:line="236" w:lineRule="auto"/>
        <w:rPr>
          <w:sz w:val="20"/>
          <w:szCs w:val="20"/>
          <w:color w:val="auto"/>
        </w:rPr>
      </w:pPr>
      <w:r>
        <w:rPr>
          <w:rFonts w:ascii="Arial" w:cs="Arial" w:eastAsia="Arial" w:hAnsi="Arial"/>
          <w:sz w:val="22"/>
          <w:szCs w:val="22"/>
          <w:color w:val="auto"/>
        </w:rPr>
        <w:t>Our officers and directors also may become aware of business opportunities which may be appropriate for presentation to us and the other entities to which they owe certain fiduciary or contractual duties. Accordingly, they may have conflicts of interest in determining to which entity a particular business opportunity should be presented. These conflicts may not be resolved in our favor and a potential target business may be presented to other entities prior to its presentation to us, subject to their fiduciary duties under Cayman Islands law.</w:t>
      </w:r>
    </w:p>
    <w:p>
      <w:pPr>
        <w:spacing w:after="0" w:line="214" w:lineRule="exact"/>
        <w:rPr>
          <w:sz w:val="20"/>
          <w:szCs w:val="20"/>
          <w:color w:val="auto"/>
        </w:rPr>
      </w:pPr>
    </w:p>
    <w:p>
      <w:pPr>
        <w:ind w:right="300" w:firstLine="324"/>
        <w:spacing w:after="0" w:line="252" w:lineRule="auto"/>
        <w:rPr>
          <w:sz w:val="20"/>
          <w:szCs w:val="20"/>
          <w:color w:val="auto"/>
        </w:rPr>
      </w:pPr>
      <w:r>
        <w:rPr>
          <w:rFonts w:ascii="Arial" w:cs="Arial" w:eastAsia="Arial" w:hAnsi="Arial"/>
          <w:sz w:val="21"/>
          <w:szCs w:val="21"/>
          <w:color w:val="auto"/>
        </w:rPr>
        <w:t>For a complete discussion of our officers’ and directors’ business affiliations and the potential conflicts of interest that you should be aware of, please see “Item 10. Directors, Executive Officers and Corporate Governance—Directors and Executive Officers,” “Item 10. Directors, Executive Officers and Corporate Governance—Conflicts of Interest” and “Item 13. Certain Relationships and Related Transactions, and Director Independence.”</w:t>
      </w:r>
    </w:p>
    <w:p>
      <w:pPr>
        <w:spacing w:after="0" w:line="201" w:lineRule="exact"/>
        <w:rPr>
          <w:sz w:val="20"/>
          <w:szCs w:val="20"/>
          <w:color w:val="auto"/>
        </w:rPr>
      </w:pPr>
    </w:p>
    <w:p>
      <w:pPr>
        <w:ind w:left="180" w:right="120"/>
        <w:spacing w:after="0" w:line="250" w:lineRule="auto"/>
        <w:rPr>
          <w:sz w:val="20"/>
          <w:szCs w:val="20"/>
          <w:color w:val="auto"/>
        </w:rPr>
      </w:pPr>
      <w:r>
        <w:rPr>
          <w:rFonts w:ascii="Arial" w:cs="Arial" w:eastAsia="Arial" w:hAnsi="Arial"/>
          <w:sz w:val="22"/>
          <w:szCs w:val="22"/>
          <w:b w:val="1"/>
          <w:bCs w:val="1"/>
          <w:i w:val="1"/>
          <w:iCs w:val="1"/>
          <w:color w:val="auto"/>
        </w:rPr>
        <w:t>Our officers, directors, security holders and their respective affiliates may have competitive pecuniary interests that conflict with our interests.</w:t>
      </w:r>
    </w:p>
    <w:p>
      <w:pPr>
        <w:spacing w:after="0" w:line="202" w:lineRule="exact"/>
        <w:rPr>
          <w:sz w:val="20"/>
          <w:szCs w:val="20"/>
          <w:color w:val="auto"/>
        </w:rPr>
      </w:pPr>
    </w:p>
    <w:p>
      <w:pPr>
        <w:ind w:right="40" w:firstLine="324"/>
        <w:spacing w:after="0" w:line="248" w:lineRule="auto"/>
        <w:rPr>
          <w:sz w:val="20"/>
          <w:szCs w:val="20"/>
          <w:color w:val="auto"/>
        </w:rPr>
      </w:pPr>
      <w:r>
        <w:rPr>
          <w:rFonts w:ascii="Arial" w:cs="Arial" w:eastAsia="Arial" w:hAnsi="Arial"/>
          <w:sz w:val="21"/>
          <w:szCs w:val="21"/>
          <w:color w:val="auto"/>
        </w:rPr>
        <w:t>We have not adopted a policy that expressly prohibits our directors, officers, security holders or affiliates from having a direct or indirect pecuniary or financial interest in any investment to be acquired or disposed of by us or in any transaction to which we are a party or have an interest. In fact, we may enter into a business combination with a target business that is affiliated with our sponsor, directors or officers, although we do not intend to do so. Nor do we have a policy that expressly prohibits any such persons from engaging for their own account in business activities of the types conducted by us. Accordingly, such persons or entities may have a conflict between their interests and ours.</w:t>
      </w:r>
    </w:p>
    <w:p>
      <w:pPr>
        <w:spacing w:after="0" w:line="204" w:lineRule="exact"/>
        <w:rPr>
          <w:sz w:val="20"/>
          <w:szCs w:val="20"/>
          <w:color w:val="auto"/>
        </w:rPr>
      </w:pPr>
    </w:p>
    <w:p>
      <w:pPr>
        <w:ind w:right="80" w:firstLine="324"/>
        <w:spacing w:after="0" w:line="297" w:lineRule="auto"/>
        <w:rPr>
          <w:sz w:val="20"/>
          <w:szCs w:val="20"/>
          <w:color w:val="auto"/>
        </w:rPr>
      </w:pPr>
      <w:r>
        <w:rPr>
          <w:rFonts w:ascii="Arial" w:cs="Arial" w:eastAsia="Arial" w:hAnsi="Arial"/>
          <w:sz w:val="19"/>
          <w:szCs w:val="19"/>
          <w:color w:val="auto"/>
        </w:rPr>
        <w:t>In particular, affiliates of our sponsor have invested in industries as diverse as cannabis, consumer products, medical and scientific research and investment management. As a result, there may be substantial overlap between companies that would be a suitable business combination for us and companies that would make an attractive target for such other affiliates.</w:t>
      </w:r>
    </w:p>
    <w:p>
      <w:pPr>
        <w:spacing w:after="0" w:line="161" w:lineRule="exact"/>
        <w:rPr>
          <w:sz w:val="20"/>
          <w:szCs w:val="20"/>
          <w:color w:val="auto"/>
        </w:rPr>
      </w:pPr>
    </w:p>
    <w:p>
      <w:pPr>
        <w:ind w:left="180" w:right="120"/>
        <w:spacing w:after="0" w:line="328" w:lineRule="auto"/>
        <w:rPr>
          <w:sz w:val="20"/>
          <w:szCs w:val="20"/>
          <w:color w:val="auto"/>
        </w:rPr>
      </w:pPr>
      <w:r>
        <w:rPr>
          <w:rFonts w:ascii="Arial" w:cs="Arial" w:eastAsia="Arial" w:hAnsi="Arial"/>
          <w:sz w:val="19"/>
          <w:szCs w:val="19"/>
          <w:b w:val="1"/>
          <w:bCs w:val="1"/>
          <w:i w:val="1"/>
          <w:iCs w:val="1"/>
          <w:color w:val="auto"/>
        </w:rPr>
        <w:t>We may engage in a business combination with one or more target businesses that have relationships with entities that may be affiliated with our sponsor, officers or directors which may raise potential conflicts of interest.</w:t>
      </w:r>
    </w:p>
    <w:p>
      <w:pPr>
        <w:spacing w:after="0" w:line="132" w:lineRule="exact"/>
        <w:rPr>
          <w:sz w:val="20"/>
          <w:szCs w:val="20"/>
          <w:color w:val="auto"/>
        </w:rPr>
      </w:pPr>
    </w:p>
    <w:p>
      <w:pPr>
        <w:ind w:right="40" w:firstLine="324"/>
        <w:spacing w:after="0" w:line="244" w:lineRule="auto"/>
        <w:rPr>
          <w:sz w:val="20"/>
          <w:szCs w:val="20"/>
          <w:color w:val="auto"/>
        </w:rPr>
      </w:pPr>
      <w:r>
        <w:rPr>
          <w:rFonts w:ascii="Arial" w:cs="Arial" w:eastAsia="Arial" w:hAnsi="Arial"/>
          <w:sz w:val="21"/>
          <w:szCs w:val="21"/>
          <w:color w:val="auto"/>
        </w:rPr>
        <w:t>In light of the involvement of our sponsor, officers and directors with other entities, we may decide to acquire one or more businesses affiliated with our sponsor, officers and directors. Our officers and directors also serve as officers and board members for other entities, including, without limitation, those described under “Item 10. Directors, Executive Officers and Corporate Governance—Conflicts of Interest.” Such entities may compete with us for business combination opportunities. Our sponsor, officers and directors are not currently aware of any specific opportunities for us to complete our initial business combination with any entities with which they are affiliated, and there have been no preliminary discussions concerning a business combination with any such entity or entities. Although we will not be specifically focusing on, or targeting, any transaction with any affiliated entities, we would pursue such a transaction if we determined that such affiliated entity met our criteria for a business combination as set forth in “Item 1. Business—Effecting Our Initial Business Combination—Selection of a target business and structuring of our initial business combination” and such transaction was approved by a majority of our independent and disinterested directors.</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1" w:name="page42"/>
    <w:bookmarkEnd w:id="41"/>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ind w:left="180" w:right="320"/>
        <w:spacing w:after="0" w:line="297" w:lineRule="auto"/>
        <w:rPr>
          <w:sz w:val="20"/>
          <w:szCs w:val="20"/>
          <w:color w:val="auto"/>
        </w:rPr>
      </w:pPr>
      <w:r>
        <w:rPr>
          <w:rFonts w:ascii="Arial" w:cs="Arial" w:eastAsia="Arial" w:hAnsi="Arial"/>
          <w:sz w:val="19"/>
          <w:szCs w:val="19"/>
          <w:b w:val="1"/>
          <w:bCs w:val="1"/>
          <w:i w:val="1"/>
          <w:iCs w:val="1"/>
          <w:color w:val="auto"/>
        </w:rPr>
        <w:t>Since our initial shareholders will lose their entire investment in us if our initial business combination is not completed (other than with respect to any public shares they may acquire), a conflict of interest may arise in determining whether a particular business combination target is appropriate for our initial business combination.</w:t>
      </w:r>
    </w:p>
    <w:p>
      <w:pPr>
        <w:spacing w:after="0" w:line="161" w:lineRule="exact"/>
        <w:rPr>
          <w:sz w:val="20"/>
          <w:szCs w:val="20"/>
          <w:color w:val="auto"/>
        </w:rPr>
      </w:pPr>
    </w:p>
    <w:p>
      <w:pPr>
        <w:ind w:right="20" w:firstLine="324"/>
        <w:spacing w:after="0" w:line="245" w:lineRule="auto"/>
        <w:rPr>
          <w:sz w:val="20"/>
          <w:szCs w:val="20"/>
          <w:color w:val="auto"/>
        </w:rPr>
      </w:pPr>
      <w:r>
        <w:rPr>
          <w:rFonts w:ascii="Arial" w:cs="Arial" w:eastAsia="Arial" w:hAnsi="Arial"/>
          <w:sz w:val="21"/>
          <w:szCs w:val="21"/>
          <w:color w:val="auto"/>
        </w:rPr>
        <w:t>On June 11, 2019, our sponsor subscribed for an aggregate of 7,187,500 founder shares for an aggregate purchase price of $25,000, or $0.004 per share. On September 23, 2019, in connection with the expiration of the underwriter’s over-allotment option, our sponsor surrender 937,500 founder shares. As a result, our sponsor now owns 6,250,000 founder shares. As such, our initial shareholders collectively own 20% of our issued and outstanding shares as of our initial public offering. The founder shares will be worthless if we do not complete an initial business combination. In addition, our sponsor has purchased an aggregate of 7,000,000 private placement warrants, each exercisable to purchase one Class A ordinary share, for a purchase price of $7,000,000 in the aggregate, or $1.00 per warrant, that will also be worthless if we do not complete a business combination. Each private placement warrant may be exercised for one Class A ordinary share at a price of $11.50 per share, subject to adjustment as provided herein.</w:t>
      </w:r>
    </w:p>
    <w:p>
      <w:pPr>
        <w:spacing w:after="0" w:line="211" w:lineRule="exact"/>
        <w:rPr>
          <w:sz w:val="20"/>
          <w:szCs w:val="20"/>
          <w:color w:val="auto"/>
        </w:rPr>
      </w:pPr>
    </w:p>
    <w:p>
      <w:pPr>
        <w:ind w:firstLine="324"/>
        <w:spacing w:after="0" w:line="270" w:lineRule="auto"/>
        <w:rPr>
          <w:sz w:val="20"/>
          <w:szCs w:val="20"/>
          <w:color w:val="auto"/>
        </w:rPr>
      </w:pPr>
      <w:r>
        <w:rPr>
          <w:rFonts w:ascii="Arial" w:cs="Arial" w:eastAsia="Arial" w:hAnsi="Arial"/>
          <w:sz w:val="19"/>
          <w:szCs w:val="19"/>
          <w:color w:val="auto"/>
        </w:rPr>
        <w:t>The founder shares are identical to the ordinary shares except that: (1) prior to our initial business combination, only holders of the founder shares have the right to vote on the election of directors and holders of a majority of our founder shares may remove a member of the board of directors for any reason; (2) the founder shares are subject to certain transfer restrictions; (3) our initial shareholders have entered into a letter agreement with us, pursuant to which they have agreed to waive: (x) their redemption rights with respect to their founder shares and any public shares held by them in connection with the completion of our initial business combination (and not seek to sell its shares to us in any tender offer we undertake in connection with our initial business combination); (y) their redemption rights with respect to their founder shares and any public shares held by them in connection with a shareholder vote to approve an amendment to our amended and restated memorandum and articles of association (A) to modify the substance or timing of our obligation to redeem 100% of our public shares if we do not complete our initial business combination within 18 months from the closing of our initial public offering or (B) with respect to any other provision relating to shareholders’ rights or pre-initial business combination activity; and (z) their rights to liquidating distributions from the trust account with respect to any founder shares they hold if we fail to complete our initial business combination within 18 months from the closing of the initial public offering (although they will be entitled to liquidating distributions from the trust account with respect to any public shares they hold if we fail to complete our initial business combination within the prescribed time frame); (4) the founder shares will automatically convert into our Class A ordinary shares on the first business day following the completion of our initial business combination on a one-for-one basis subject to adjustment pursuant to certain anti-dilution rights and (5) the founder shares are entitled to registration rights. Our directors and officers have also entered into the letter agreement with respect to public shares acquired by them, if any.</w:t>
      </w:r>
    </w:p>
    <w:p>
      <w:pPr>
        <w:spacing w:after="0" w:line="200" w:lineRule="exact"/>
        <w:rPr>
          <w:sz w:val="20"/>
          <w:szCs w:val="20"/>
          <w:color w:val="auto"/>
        </w:rPr>
      </w:pPr>
    </w:p>
    <w:p>
      <w:pPr>
        <w:spacing w:after="0" w:line="238" w:lineRule="exact"/>
        <w:rPr>
          <w:sz w:val="20"/>
          <w:szCs w:val="20"/>
          <w:color w:val="auto"/>
        </w:rPr>
      </w:pPr>
    </w:p>
    <w:p>
      <w:pPr>
        <w:ind w:right="60" w:firstLine="324"/>
        <w:spacing w:after="0" w:line="287" w:lineRule="auto"/>
        <w:rPr>
          <w:sz w:val="20"/>
          <w:szCs w:val="20"/>
          <w:color w:val="auto"/>
        </w:rPr>
      </w:pPr>
      <w:r>
        <w:rPr>
          <w:rFonts w:ascii="Arial" w:cs="Arial" w:eastAsia="Arial" w:hAnsi="Arial"/>
          <w:sz w:val="19"/>
          <w:szCs w:val="19"/>
          <w:color w:val="auto"/>
        </w:rPr>
        <w:t>The personal and financial interests of our sponsor, officers and directors may influence their motivation in identifying and selecting a target business combination, completing an initial business combination and influencing the operation of the business following the initial business combination. This risk may become more acute as the 18-month deadline following the closing of the initial public offering nears, which is the deadline for the completion of our initial business combination.</w:t>
      </w:r>
    </w:p>
    <w:p>
      <w:pPr>
        <w:spacing w:after="0" w:line="170" w:lineRule="exact"/>
        <w:rPr>
          <w:sz w:val="20"/>
          <w:szCs w:val="20"/>
          <w:color w:val="auto"/>
        </w:rPr>
      </w:pPr>
    </w:p>
    <w:p>
      <w:pPr>
        <w:ind w:left="180" w:right="120"/>
        <w:spacing w:after="0"/>
        <w:rPr>
          <w:sz w:val="20"/>
          <w:szCs w:val="20"/>
          <w:color w:val="auto"/>
        </w:rPr>
      </w:pPr>
      <w:r>
        <w:rPr>
          <w:rFonts w:ascii="Arial" w:cs="Arial" w:eastAsia="Arial" w:hAnsi="Arial"/>
          <w:sz w:val="22"/>
          <w:szCs w:val="22"/>
          <w:b w:val="1"/>
          <w:bCs w:val="1"/>
          <w:i w:val="1"/>
          <w:iCs w:val="1"/>
          <w:color w:val="auto"/>
        </w:rPr>
        <w:t>We may issue notes or other debt securities, or otherwise incur substantial debt, to complete a business combination, which may adversely affect our leverage and financial condition and thus negatively impact the value of our shareholders’ investment in us.</w:t>
      </w:r>
    </w:p>
    <w:p>
      <w:pPr>
        <w:spacing w:after="0" w:line="213" w:lineRule="exact"/>
        <w:rPr>
          <w:sz w:val="20"/>
          <w:szCs w:val="20"/>
          <w:color w:val="auto"/>
        </w:rPr>
      </w:pPr>
    </w:p>
    <w:p>
      <w:pPr>
        <w:ind w:right="100" w:firstLine="324"/>
        <w:spacing w:after="0" w:line="248" w:lineRule="auto"/>
        <w:rPr>
          <w:sz w:val="20"/>
          <w:szCs w:val="20"/>
          <w:color w:val="auto"/>
        </w:rPr>
      </w:pPr>
      <w:r>
        <w:rPr>
          <w:rFonts w:ascii="Arial" w:cs="Arial" w:eastAsia="Arial" w:hAnsi="Arial"/>
          <w:sz w:val="21"/>
          <w:szCs w:val="21"/>
          <w:color w:val="auto"/>
        </w:rPr>
        <w:t>Although we have no commitments as of the date of this Annual Report to issue any notes or other debt securities, or to otherwise incur outstanding debt following our initial public offering, we may choose to incur substantial debt to complete our initial business combination. We have agreed that we will not incur any indebtedness unless we have obtained from the lender a waiver of any right, title, interest or claim of any kind in or to the monies held in the trust account. As such, no issuance of debt will affect the per-share amount available for redemption from the trust account. Nevertheless, the incurrence of debt could have a variety of negative effects, including:</w:t>
      </w:r>
    </w:p>
    <w:p>
      <w:pPr>
        <w:spacing w:after="0" w:line="211"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default and foreclosure on our assets if our operating revenues after an initial business combination are insufficient to repay our debt obligations;</w:t>
      </w:r>
    </w:p>
    <w:p>
      <w:pPr>
        <w:spacing w:after="0" w:line="200" w:lineRule="exact"/>
        <w:rPr>
          <w:sz w:val="20"/>
          <w:szCs w:val="20"/>
          <w:color w:val="auto"/>
        </w:rPr>
      </w:pPr>
    </w:p>
    <w:p>
      <w:pPr>
        <w:spacing w:after="0" w:line="26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42" w:name="page43"/>
    <w:bookmarkEnd w:id="42"/>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660" w:right="560" w:hanging="328"/>
        <w:spacing w:after="0" w:line="342" w:lineRule="auto"/>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acceleration of our obligations to repay the indebtedness even if we make all principal and interest payments when due if we breach certain covenants that require the maintenance of certain financial ratios or reserves without a waiver or renegotiation of that covenant;</w:t>
      </w:r>
    </w:p>
    <w:p>
      <w:pPr>
        <w:spacing w:after="0" w:line="150" w:lineRule="exact"/>
        <w:rPr>
          <w:rFonts w:ascii="Arial" w:cs="Arial" w:eastAsia="Arial" w:hAnsi="Arial"/>
          <w:sz w:val="16"/>
          <w:szCs w:val="16"/>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immediate payment of all principal and accrued interest, if any, if the debt is payable on demand;</w:t>
      </w:r>
    </w:p>
    <w:p>
      <w:pPr>
        <w:spacing w:after="0" w:line="252" w:lineRule="exact"/>
        <w:rPr>
          <w:rFonts w:ascii="Arial" w:cs="Arial" w:eastAsia="Arial" w:hAnsi="Arial"/>
          <w:sz w:val="18"/>
          <w:szCs w:val="18"/>
          <w:color w:val="auto"/>
        </w:rPr>
      </w:pPr>
    </w:p>
    <w:p>
      <w:pPr>
        <w:ind w:left="660" w:right="20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inability to obtain necessary additional financing if the debt contains covenants restricting our ability to obtain such financing while the debt security is outstanding;</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inability to pay dividends on our Class A ordinary shares;</w:t>
      </w:r>
    </w:p>
    <w:p>
      <w:pPr>
        <w:spacing w:after="0" w:line="252"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using a substantial portion of our cash flow to pay principal and interest on our debt, which will reduce the funds available for dividends on our Class A ordinary shares if declared, expenses, capital expenditures, acquisitions and other general corporate purposes;</w:t>
      </w:r>
    </w:p>
    <w:p>
      <w:pPr>
        <w:spacing w:after="0" w:line="173" w:lineRule="exact"/>
        <w:rPr>
          <w:rFonts w:ascii="Arial" w:cs="Arial" w:eastAsia="Arial" w:hAnsi="Arial"/>
          <w:sz w:val="17"/>
          <w:szCs w:val="17"/>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limitations on our flexibility in planning for and reacting to changes in our business and in the industry in which we operate;</w:t>
      </w:r>
    </w:p>
    <w:p>
      <w:pPr>
        <w:spacing w:after="0" w:line="252" w:lineRule="exact"/>
        <w:rPr>
          <w:rFonts w:ascii="Arial" w:cs="Arial" w:eastAsia="Arial" w:hAnsi="Arial"/>
          <w:sz w:val="18"/>
          <w:szCs w:val="18"/>
          <w:color w:val="auto"/>
        </w:rPr>
      </w:pPr>
    </w:p>
    <w:p>
      <w:pPr>
        <w:ind w:left="660" w:right="74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increased vulnerability to adverse changes in general economic, industry and competitive conditions and adverse changes in government regulation; and</w:t>
      </w:r>
    </w:p>
    <w:p>
      <w:pPr>
        <w:spacing w:after="0" w:line="197" w:lineRule="exact"/>
        <w:rPr>
          <w:rFonts w:ascii="Arial" w:cs="Arial" w:eastAsia="Arial" w:hAnsi="Arial"/>
          <w:sz w:val="18"/>
          <w:szCs w:val="18"/>
          <w:color w:val="auto"/>
        </w:rPr>
      </w:pPr>
    </w:p>
    <w:p>
      <w:pPr>
        <w:ind w:left="660" w:right="28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limitations on our ability to borrow additional amounts for expenses, capital expenditures, acquisitions, debt service requirements, execution of our strategy and other purposes and other disadvantages compared to our competitors who have less debt.</w:t>
      </w:r>
    </w:p>
    <w:p>
      <w:pPr>
        <w:spacing w:after="0" w:line="190" w:lineRule="exact"/>
        <w:rPr>
          <w:sz w:val="20"/>
          <w:szCs w:val="20"/>
          <w:color w:val="auto"/>
        </w:rPr>
      </w:pPr>
    </w:p>
    <w:p>
      <w:pPr>
        <w:ind w:left="180"/>
        <w:spacing w:after="0" w:line="297" w:lineRule="auto"/>
        <w:rPr>
          <w:sz w:val="20"/>
          <w:szCs w:val="20"/>
          <w:color w:val="auto"/>
        </w:rPr>
      </w:pPr>
      <w:r>
        <w:rPr>
          <w:rFonts w:ascii="Arial" w:cs="Arial" w:eastAsia="Arial" w:hAnsi="Arial"/>
          <w:sz w:val="19"/>
          <w:szCs w:val="19"/>
          <w:b w:val="1"/>
          <w:bCs w:val="1"/>
          <w:i w:val="1"/>
          <w:iCs w:val="1"/>
          <w:color w:val="auto"/>
        </w:rPr>
        <w:t>We may be able to complete only one business combination with the proceeds of the initial public offering and the sale of the private placement warrants, which will cause us to be solely dependent on a single business which may have a limited number of products or services. This lack of diversification may negatively impact our operations and profitability.</w:t>
      </w:r>
    </w:p>
    <w:p>
      <w:pPr>
        <w:spacing w:after="0" w:line="161" w:lineRule="exact"/>
        <w:rPr>
          <w:sz w:val="20"/>
          <w:szCs w:val="20"/>
          <w:color w:val="auto"/>
        </w:rPr>
      </w:pPr>
    </w:p>
    <w:p>
      <w:pPr>
        <w:ind w:right="1220" w:firstLine="324"/>
        <w:spacing w:after="0" w:line="250" w:lineRule="auto"/>
        <w:rPr>
          <w:sz w:val="20"/>
          <w:szCs w:val="20"/>
          <w:color w:val="auto"/>
        </w:rPr>
      </w:pPr>
      <w:r>
        <w:rPr>
          <w:rFonts w:ascii="Arial" w:cs="Arial" w:eastAsia="Arial" w:hAnsi="Arial"/>
          <w:sz w:val="22"/>
          <w:szCs w:val="22"/>
          <w:color w:val="auto"/>
        </w:rPr>
        <w:t>The net proceeds from the initial public offering and the sale of the private placement warrants provided us with $250,000,000 that we may use to complete our initial business combination.</w:t>
      </w:r>
    </w:p>
    <w:p>
      <w:pPr>
        <w:spacing w:after="0" w:line="202" w:lineRule="exact"/>
        <w:rPr>
          <w:sz w:val="20"/>
          <w:szCs w:val="20"/>
          <w:color w:val="auto"/>
        </w:rPr>
      </w:pPr>
    </w:p>
    <w:p>
      <w:pPr>
        <w:ind w:right="120" w:firstLine="324"/>
        <w:spacing w:after="0" w:line="274" w:lineRule="auto"/>
        <w:rPr>
          <w:sz w:val="20"/>
          <w:szCs w:val="20"/>
          <w:color w:val="auto"/>
        </w:rPr>
      </w:pPr>
      <w:r>
        <w:rPr>
          <w:rFonts w:ascii="Arial" w:cs="Arial" w:eastAsia="Arial" w:hAnsi="Arial"/>
          <w:sz w:val="19"/>
          <w:szCs w:val="19"/>
          <w:color w:val="auto"/>
        </w:rPr>
        <w:t>We may effectuate our initial business combination with a single target business or multiple target businesses simultaneously or within a short period of time. However, we may not be able to effectuate our initial business combination with more than one target business because of various factors, including the existence of complex accounting issues and the requirement that we prepare and file pro forma financial statements with the SEC that present operating results and the financial condition of several target businesses as if they had been operated on a combined basis. By completing our initial business combination with only a single entity our lack of diversification may subject us to numerous economic, competitive and regulatory risks. Further, we would not be able to diversify our operations or benefit from the possible spreading of risks or offsetting of losses, unlike other entities which may have the resources to complete several business combinations in different industries or different areas of a single industry. Accordingly, the prospects for our success may be:</w:t>
      </w:r>
    </w:p>
    <w:p>
      <w:pPr>
        <w:spacing w:after="0" w:line="192"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solely dependent upon the performance of a single business, property or asset; or</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dependent upon the development or market acceptance of a single or limited number of products, processes or services.</w:t>
      </w:r>
    </w:p>
    <w:p>
      <w:pPr>
        <w:spacing w:after="0" w:line="245" w:lineRule="exact"/>
        <w:rPr>
          <w:sz w:val="20"/>
          <w:szCs w:val="20"/>
          <w:color w:val="auto"/>
        </w:rPr>
      </w:pPr>
    </w:p>
    <w:p>
      <w:pPr>
        <w:ind w:right="160" w:firstLine="324"/>
        <w:spacing w:after="0"/>
        <w:rPr>
          <w:sz w:val="20"/>
          <w:szCs w:val="20"/>
          <w:color w:val="auto"/>
        </w:rPr>
      </w:pPr>
      <w:r>
        <w:rPr>
          <w:rFonts w:ascii="Arial" w:cs="Arial" w:eastAsia="Arial" w:hAnsi="Arial"/>
          <w:sz w:val="22"/>
          <w:szCs w:val="22"/>
          <w:color w:val="auto"/>
        </w:rPr>
        <w:t>This lack of diversification may subject us to numerous economic, competitive and regulatory risks, any or all of which may have a substantial adverse impact upon the particular industry in which we may operate subsequent to our initial business combination.</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3" w:name="page44"/>
    <w:bookmarkEnd w:id="43"/>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ind w:left="180" w:right="100"/>
        <w:spacing w:after="0"/>
        <w:rPr>
          <w:sz w:val="20"/>
          <w:szCs w:val="20"/>
          <w:color w:val="auto"/>
        </w:rPr>
      </w:pPr>
      <w:r>
        <w:rPr>
          <w:rFonts w:ascii="Arial" w:cs="Arial" w:eastAsia="Arial" w:hAnsi="Arial"/>
          <w:sz w:val="22"/>
          <w:szCs w:val="22"/>
          <w:b w:val="1"/>
          <w:bCs w:val="1"/>
          <w:i w:val="1"/>
          <w:iCs w:val="1"/>
          <w:color w:val="auto"/>
        </w:rPr>
        <w:t>We may attempt to simultaneously complete business combinations with multiple prospective targets, which may hinder our ability to complete our initial business combination and give rise to increased costs and risks that could negatively impact our operations and profitability.</w:t>
      </w:r>
    </w:p>
    <w:p>
      <w:pPr>
        <w:spacing w:after="0" w:line="213" w:lineRule="exact"/>
        <w:rPr>
          <w:sz w:val="20"/>
          <w:szCs w:val="20"/>
          <w:color w:val="auto"/>
        </w:rPr>
      </w:pPr>
    </w:p>
    <w:p>
      <w:pPr>
        <w:ind w:right="80" w:firstLine="324"/>
        <w:spacing w:after="0" w:line="277" w:lineRule="auto"/>
        <w:rPr>
          <w:sz w:val="20"/>
          <w:szCs w:val="20"/>
          <w:color w:val="auto"/>
        </w:rPr>
      </w:pPr>
      <w:r>
        <w:rPr>
          <w:rFonts w:ascii="Arial" w:cs="Arial" w:eastAsia="Arial" w:hAnsi="Arial"/>
          <w:sz w:val="19"/>
          <w:szCs w:val="19"/>
          <w:color w:val="auto"/>
        </w:rPr>
        <w:t>If we determine to simultaneously acquire several businesses that are owned by different sellers, we will need for each of such sellers to agree that our purchase of its business is contingent on the simultaneous closings of the other business combinations, which may make it more difficult for us, and delay our ability, to complete our initial business combination. With multiple business combinations, we could also face additional risks, including additional burdens and costs with respect to possible multiple negotiations and due diligence investigations (if there are multiple sellers) and the additional risks associated with the subsequent assimilation of the operations and services or products of the acquired companies in a single operating business. If we are unable to adequately address these risks, it could negatively impact our profitability and results of operations.</w:t>
      </w:r>
    </w:p>
    <w:p>
      <w:pPr>
        <w:spacing w:after="0" w:line="179" w:lineRule="exact"/>
        <w:rPr>
          <w:sz w:val="20"/>
          <w:szCs w:val="20"/>
          <w:color w:val="auto"/>
        </w:rPr>
      </w:pPr>
    </w:p>
    <w:p>
      <w:pPr>
        <w:ind w:left="180" w:right="420"/>
        <w:spacing w:after="0" w:line="359" w:lineRule="auto"/>
        <w:rPr>
          <w:sz w:val="20"/>
          <w:szCs w:val="20"/>
          <w:color w:val="auto"/>
        </w:rPr>
      </w:pPr>
      <w:r>
        <w:rPr>
          <w:rFonts w:ascii="Arial" w:cs="Arial" w:eastAsia="Arial" w:hAnsi="Arial"/>
          <w:sz w:val="18"/>
          <w:szCs w:val="18"/>
          <w:b w:val="1"/>
          <w:bCs w:val="1"/>
          <w:i w:val="1"/>
          <w:iCs w:val="1"/>
          <w:color w:val="auto"/>
        </w:rPr>
        <w:t>We may attempt to complete our initial business combination with a private company about which little information is available, which may result in a business combination with a company that is not as profitable as we suspected, if at all.</w:t>
      </w:r>
    </w:p>
    <w:p>
      <w:pPr>
        <w:spacing w:after="0" w:line="110" w:lineRule="exact"/>
        <w:rPr>
          <w:sz w:val="20"/>
          <w:szCs w:val="20"/>
          <w:color w:val="auto"/>
        </w:rPr>
      </w:pPr>
    </w:p>
    <w:p>
      <w:pPr>
        <w:ind w:right="80" w:firstLine="324"/>
        <w:spacing w:after="0" w:line="238" w:lineRule="auto"/>
        <w:rPr>
          <w:sz w:val="20"/>
          <w:szCs w:val="20"/>
          <w:color w:val="auto"/>
        </w:rPr>
      </w:pPr>
      <w:r>
        <w:rPr>
          <w:rFonts w:ascii="Arial" w:cs="Arial" w:eastAsia="Arial" w:hAnsi="Arial"/>
          <w:sz w:val="22"/>
          <w:szCs w:val="22"/>
          <w:color w:val="auto"/>
        </w:rPr>
        <w:t>In pursuing our acquisition strategy, we may seek to effectuate our initial business combination with a privately held company. Very little public information generally exists about private companies, and we could be required to make our decision on whether to pursue a potential initial business combination on the basis of limited information, which may result in a business combination with a company that is not as profitable as we suspected, if at all.</w:t>
      </w:r>
    </w:p>
    <w:p>
      <w:pPr>
        <w:spacing w:after="0" w:line="212" w:lineRule="exact"/>
        <w:rPr>
          <w:sz w:val="20"/>
          <w:szCs w:val="20"/>
          <w:color w:val="auto"/>
        </w:rPr>
      </w:pPr>
    </w:p>
    <w:p>
      <w:pPr>
        <w:ind w:left="180" w:right="80"/>
        <w:spacing w:after="0" w:line="257" w:lineRule="auto"/>
        <w:rPr>
          <w:sz w:val="20"/>
          <w:szCs w:val="20"/>
          <w:color w:val="auto"/>
        </w:rPr>
      </w:pPr>
      <w:r>
        <w:rPr>
          <w:rFonts w:ascii="Arial" w:cs="Arial" w:eastAsia="Arial" w:hAnsi="Arial"/>
          <w:sz w:val="21"/>
          <w:szCs w:val="21"/>
          <w:b w:val="1"/>
          <w:bCs w:val="1"/>
          <w:i w:val="1"/>
          <w:iCs w:val="1"/>
          <w:color w:val="auto"/>
        </w:rPr>
        <w:t>We expect to need to comply with the rules of Nasdaq that require our initial business combination to occur with one or more target businesses having an aggregate fair market value equal to at least 80% of the assets held in the trust account at the time of the agreement to enter into the initial business combination.</w:t>
      </w:r>
    </w:p>
    <w:p>
      <w:pPr>
        <w:spacing w:after="0" w:line="196" w:lineRule="exact"/>
        <w:rPr>
          <w:sz w:val="20"/>
          <w:szCs w:val="20"/>
          <w:color w:val="auto"/>
        </w:rPr>
      </w:pPr>
    </w:p>
    <w:p>
      <w:pPr>
        <w:ind w:right="100" w:firstLine="324"/>
        <w:spacing w:after="0" w:line="274" w:lineRule="auto"/>
        <w:rPr>
          <w:sz w:val="20"/>
          <w:szCs w:val="20"/>
          <w:color w:val="auto"/>
        </w:rPr>
      </w:pPr>
      <w:r>
        <w:rPr>
          <w:rFonts w:ascii="Arial" w:cs="Arial" w:eastAsia="Arial" w:hAnsi="Arial"/>
          <w:sz w:val="19"/>
          <w:szCs w:val="19"/>
          <w:color w:val="auto"/>
        </w:rPr>
        <w:t>The rules of Nasdaq require that our initial business combination occur with one or more target businesses that together have an aggregate fair market value of at least 80% of the assets held in the trust account (excluding the deferred underwriting commissions and taxes payable on the income earned on the trust account) at the time of the agreement to enter into the initial business combination. This restriction may limit the type and number of companies that we may complete a business combination with. If we are unable to locate a target business or businesses that satisfy this fair market value test, our public shareholders may receive only approximately $10.00 per share, or less in certain circumstances, on the liquidation of our trust account, and our warrants will expire worthless. If we are not then listed on Nasdaq for whatever reason, we would not be required to satisfy the foregoing 80% fair market value test and could complete a business combination with a target business having a fair market value substantially below 80% of the balance in the trust account.</w:t>
      </w:r>
    </w:p>
    <w:p>
      <w:pPr>
        <w:spacing w:after="0" w:line="185" w:lineRule="exact"/>
        <w:rPr>
          <w:sz w:val="20"/>
          <w:szCs w:val="20"/>
          <w:color w:val="auto"/>
        </w:rPr>
      </w:pPr>
    </w:p>
    <w:p>
      <w:pPr>
        <w:ind w:left="180" w:right="40"/>
        <w:spacing w:after="0" w:line="257" w:lineRule="auto"/>
        <w:rPr>
          <w:sz w:val="20"/>
          <w:szCs w:val="20"/>
          <w:color w:val="auto"/>
        </w:rPr>
      </w:pPr>
      <w:r>
        <w:rPr>
          <w:rFonts w:ascii="Arial" w:cs="Arial" w:eastAsia="Arial" w:hAnsi="Arial"/>
          <w:sz w:val="21"/>
          <w:szCs w:val="21"/>
          <w:b w:val="1"/>
          <w:bCs w:val="1"/>
          <w:i w:val="1"/>
          <w:iCs w:val="1"/>
          <w:color w:val="auto"/>
        </w:rPr>
        <w:t>Our management may not be able to maintain control of a target business after our initial business combination. We cannot provide assurance that, upon loss of control of a target business, new management will possess the skills, qualifications or abilities necessary to profitably operate such business.</w:t>
      </w:r>
    </w:p>
    <w:p>
      <w:pPr>
        <w:spacing w:after="0" w:line="196" w:lineRule="exact"/>
        <w:rPr>
          <w:sz w:val="20"/>
          <w:szCs w:val="20"/>
          <w:color w:val="auto"/>
        </w:rPr>
      </w:pPr>
    </w:p>
    <w:p>
      <w:pPr>
        <w:ind w:firstLine="324"/>
        <w:spacing w:after="0" w:line="271" w:lineRule="auto"/>
        <w:rPr>
          <w:sz w:val="20"/>
          <w:szCs w:val="20"/>
          <w:color w:val="auto"/>
        </w:rPr>
      </w:pPr>
      <w:r>
        <w:rPr>
          <w:rFonts w:ascii="Arial" w:cs="Arial" w:eastAsia="Arial" w:hAnsi="Arial"/>
          <w:sz w:val="19"/>
          <w:szCs w:val="19"/>
          <w:color w:val="auto"/>
        </w:rPr>
        <w:t>We may structure our initial business combination so that the post-transaction company in which our public shareholders own shares will own less than 100% of the equity interests or assets of a target business, but we will complete such business combination only if the post-transaction company owns or acquires 50% or more of the issued and outstanding voting securities of the target or otherwise acquires a controlling interest in the target business sufficient for us not to be required to register as an investment company under the Investment Company Act. We will not consider any transaction that does not meet such criteria. Even if the post-transaction company owns 50% or more of the voting securities of the target, our shareholders prior to our initial business combination may collectively own a minority interest in the post business combination company, depending on valuations ascribed to the target and us in our initial business combination transaction. For example, we could pursue a transaction in which we issue a substantial number of new Class A ordinary shares in exchange for all of the issued and outstanding capital stock or shares of a target. In this case, we would acquire a 100% interest in the target. However, as a result of the issuance of a substantial number of new Class A ordinary shares, our shareholders immediately prior to such transaction could own less than a majority of our issued and outstanding Class A ordinary shares subsequent to such transaction. In addition, other minority shareholders may subsequently combine their holdings resulting in a single person or group obtaining a larger share of the company’s shares than we initially acquired. Accordingly, this may make it more likely that our management will not be able to maintain our control of the target business.</w:t>
      </w:r>
    </w:p>
    <w:p>
      <w:pPr>
        <w:sectPr>
          <w:pgSz w:w="11900" w:h="16838" w:orient="portrait"/>
          <w:cols w:equalWidth="0" w:num="1">
            <w:col w:w="11220"/>
          </w:cols>
          <w:pgMar w:left="320" w:top="122" w:right="359" w:bottom="1440" w:gutter="0" w:footer="0" w:header="0"/>
        </w:sectPr>
      </w:pPr>
    </w:p>
    <w:p>
      <w:pPr>
        <w:spacing w:after="0" w:line="379"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type w:val="continuous"/>
        </w:sectPr>
      </w:pPr>
    </w:p>
    <w:bookmarkStart w:id="44" w:name="page45"/>
    <w:bookmarkEnd w:id="44"/>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ind w:left="180" w:right="540"/>
        <w:spacing w:after="0" w:line="359" w:lineRule="auto"/>
        <w:rPr>
          <w:sz w:val="20"/>
          <w:szCs w:val="20"/>
          <w:color w:val="auto"/>
        </w:rPr>
      </w:pPr>
      <w:r>
        <w:rPr>
          <w:rFonts w:ascii="Arial" w:cs="Arial" w:eastAsia="Arial" w:hAnsi="Arial"/>
          <w:sz w:val="18"/>
          <w:szCs w:val="18"/>
          <w:b w:val="1"/>
          <w:bCs w:val="1"/>
          <w:i w:val="1"/>
          <w:iCs w:val="1"/>
          <w:color w:val="auto"/>
        </w:rPr>
        <w:t>We do not have a specified maximum redemption threshold. The absence of such a redemption threshold may make it possible for us to complete a business combination with which a substantial majority of our shareholders do not agree.</w:t>
      </w:r>
    </w:p>
    <w:p>
      <w:pPr>
        <w:spacing w:after="0" w:line="110" w:lineRule="exact"/>
        <w:rPr>
          <w:sz w:val="20"/>
          <w:szCs w:val="20"/>
          <w:color w:val="auto"/>
        </w:rPr>
      </w:pPr>
    </w:p>
    <w:p>
      <w:pPr>
        <w:ind w:right="40" w:firstLine="324"/>
        <w:spacing w:after="0" w:line="271" w:lineRule="auto"/>
        <w:rPr>
          <w:sz w:val="20"/>
          <w:szCs w:val="20"/>
          <w:color w:val="auto"/>
        </w:rPr>
      </w:pPr>
      <w:r>
        <w:rPr>
          <w:rFonts w:ascii="Arial" w:cs="Arial" w:eastAsia="Arial" w:hAnsi="Arial"/>
          <w:sz w:val="19"/>
          <w:szCs w:val="19"/>
          <w:color w:val="auto"/>
        </w:rPr>
        <w:t>Our amended and restated memorandum and articles of association does not provide a specified maximum redemption threshold, except that in no event will we redeem our public shares in an amount that would cause our net tangible assets, after payment of the deferred underwriting commissions, to be less than $5,000,001 upon completion of our initial business combination (such that we do not then become subject to the SEC’s “penny stock” rules), or any greater net tangible asset or cash requirement that may be contained in the agreement relating to our initial business combination. As a result, we may be able to complete our initial business combination even though a substantial majority of our public shareholders do not agree with the transaction and have redeemed their shares or, if we seek shareholder approval of our initial business combination and do not conduct redemptions in connection with our initial business combination pursuant to the tender offer rules, have entered into privately negotiated agreements to sell their shares to our sponsor, officers, directors, advisors or any of their affiliates. In the event the aggregate cash consideration we would be required to pay for all Class A ordinary shares that are validly submitted for redemption plus any amount required to satisfy cash conditions pursuant to the terms of the proposed business combination exceed the aggregate amount of cash available to us, we will not complete the business combination or redeem any shares, all Class A ordinary shares submitted for redemption will be returned to the holders thereof, and we instead may search for an alternate business combination.</w:t>
      </w:r>
    </w:p>
    <w:p>
      <w:pPr>
        <w:spacing w:after="0" w:line="200" w:lineRule="exact"/>
        <w:rPr>
          <w:sz w:val="20"/>
          <w:szCs w:val="20"/>
          <w:color w:val="auto"/>
        </w:rPr>
      </w:pPr>
    </w:p>
    <w:p>
      <w:pPr>
        <w:spacing w:after="0" w:line="238" w:lineRule="exact"/>
        <w:rPr>
          <w:sz w:val="20"/>
          <w:szCs w:val="20"/>
          <w:color w:val="auto"/>
        </w:rPr>
      </w:pPr>
    </w:p>
    <w:p>
      <w:pPr>
        <w:ind w:left="180" w:right="260"/>
        <w:spacing w:after="0" w:line="250" w:lineRule="auto"/>
        <w:rPr>
          <w:sz w:val="20"/>
          <w:szCs w:val="20"/>
          <w:color w:val="auto"/>
        </w:rPr>
      </w:pPr>
      <w:r>
        <w:rPr>
          <w:rFonts w:ascii="Arial" w:cs="Arial" w:eastAsia="Arial" w:hAnsi="Arial"/>
          <w:sz w:val="22"/>
          <w:szCs w:val="22"/>
          <w:b w:val="1"/>
          <w:bCs w:val="1"/>
          <w:i w:val="1"/>
          <w:iCs w:val="1"/>
          <w:color w:val="auto"/>
        </w:rPr>
        <w:t>The exercise price for the public warrants is higher than in many similar blank check company offerings in the past, and, accordingly, the warrants are more likely to expire worthless.</w:t>
      </w:r>
    </w:p>
    <w:p>
      <w:pPr>
        <w:spacing w:after="0" w:line="202" w:lineRule="exact"/>
        <w:rPr>
          <w:sz w:val="20"/>
          <w:szCs w:val="20"/>
          <w:color w:val="auto"/>
        </w:rPr>
      </w:pPr>
    </w:p>
    <w:p>
      <w:pPr>
        <w:ind w:right="20" w:firstLine="324"/>
        <w:spacing w:after="0" w:line="238" w:lineRule="auto"/>
        <w:rPr>
          <w:sz w:val="20"/>
          <w:szCs w:val="20"/>
          <w:color w:val="auto"/>
        </w:rPr>
      </w:pPr>
      <w:r>
        <w:rPr>
          <w:rFonts w:ascii="Arial" w:cs="Arial" w:eastAsia="Arial" w:hAnsi="Arial"/>
          <w:sz w:val="22"/>
          <w:szCs w:val="22"/>
          <w:color w:val="auto"/>
        </w:rPr>
        <w:t>The exercise price of the public warrants is higher than is typical in many similar blank check companies in the past. Historically, the exercise price of a warrant was generally a fraction of the purchase price of the units in the initial public offering. The exercise price for our public warrants is $11.50 per share, subject to adjustment as provided herein. As a result, the warrants are more likely to expire worthless.</w:t>
      </w:r>
    </w:p>
    <w:p>
      <w:pPr>
        <w:spacing w:after="0" w:line="212" w:lineRule="exact"/>
        <w:rPr>
          <w:sz w:val="20"/>
          <w:szCs w:val="20"/>
          <w:color w:val="auto"/>
        </w:rPr>
      </w:pPr>
    </w:p>
    <w:p>
      <w:pPr>
        <w:ind w:left="180" w:right="60"/>
        <w:spacing w:after="0" w:line="287" w:lineRule="auto"/>
        <w:rPr>
          <w:sz w:val="20"/>
          <w:szCs w:val="20"/>
          <w:color w:val="auto"/>
        </w:rPr>
      </w:pPr>
      <w:r>
        <w:rPr>
          <w:rFonts w:ascii="Arial" w:cs="Arial" w:eastAsia="Arial" w:hAnsi="Arial"/>
          <w:sz w:val="19"/>
          <w:szCs w:val="19"/>
          <w:b w:val="1"/>
          <w:bCs w:val="1"/>
          <w:i w:val="1"/>
          <w:iCs w:val="1"/>
          <w:color w:val="auto"/>
        </w:rPr>
        <w:t>In order to effectuate an initial business combination, blank check companies have, in the past, amended various provisions of their charters and modified governing instruments. We cannot assure you that we will not seek to amend our amended and restated memorandum and articles of association or governing instruments, in a manner that will make it easier for us to complete our initial business combination that some of our shareholders may not support.</w:t>
      </w:r>
    </w:p>
    <w:p>
      <w:pPr>
        <w:spacing w:after="0" w:line="170" w:lineRule="exact"/>
        <w:rPr>
          <w:sz w:val="20"/>
          <w:szCs w:val="20"/>
          <w:color w:val="auto"/>
        </w:rPr>
      </w:pPr>
    </w:p>
    <w:p>
      <w:pPr>
        <w:ind w:firstLine="324"/>
        <w:spacing w:after="0" w:line="271" w:lineRule="auto"/>
        <w:rPr>
          <w:sz w:val="20"/>
          <w:szCs w:val="20"/>
          <w:color w:val="auto"/>
        </w:rPr>
      </w:pPr>
      <w:r>
        <w:rPr>
          <w:rFonts w:ascii="Arial" w:cs="Arial" w:eastAsia="Arial" w:hAnsi="Arial"/>
          <w:sz w:val="19"/>
          <w:szCs w:val="19"/>
          <w:color w:val="auto"/>
        </w:rPr>
        <w:t>In order to effectuate an initial business combination, blank check companies have, in the recent past, amended various provisions of their charters and modified governing instruments. For example, blank check companies have amended the definition of business combination, increased redemption thresholds and extended the time to consummate an initial business combination. Amending our amended and restated certificate of incorporation will require at least a special resolution of our shareholders as a matter of Cayman Islands law. A resolution is deemed to be a special resolution as a matter of Cayman Islands law where it has been approved by either (1) at least two-thirds (or any higher threshold specified in a company’s articles of association) of a company’s shareholders at a general meeting for which notice specifying the intention to propose the resolution as a special resolution has been given or (2) if so authorized by a company’s articles of association, by a unanimous written resolution of all of the company’s shareholders. Our amended and restated memorandum and articles of association provides that special resolutions must be approved either by at least two-thirds of our shareholders who attend and vote at a shareholders meeting (i.e., the lowest threshold permissible under Cayman Islands law) (other than amendments relating to the appointment or removal of directors prior to our initial business combination, which require the approval of at least 90% of our ordinary shares voting in a general meeting), or by a unanimous written resolution of all of our shareholders. We cannot assure you that we will not seek to amend our amended and restated memorandum and articles of association or governing instruments or extend the time to consummate an initial business combination in order to effectuate our initial business combination.</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5" w:name="page46"/>
    <w:bookmarkEnd w:id="45"/>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ind w:left="180" w:right="20"/>
        <w:spacing w:after="0" w:line="279" w:lineRule="auto"/>
        <w:rPr>
          <w:sz w:val="20"/>
          <w:szCs w:val="20"/>
          <w:color w:val="auto"/>
        </w:rPr>
      </w:pPr>
      <w:r>
        <w:rPr>
          <w:rFonts w:ascii="Arial" w:cs="Arial" w:eastAsia="Arial" w:hAnsi="Arial"/>
          <w:sz w:val="19"/>
          <w:szCs w:val="19"/>
          <w:b w:val="1"/>
          <w:bCs w:val="1"/>
          <w:i w:val="1"/>
          <w:iCs w:val="1"/>
          <w:color w:val="auto"/>
        </w:rPr>
        <w:t>The provisions of our amended and restated memorandum and articles of association that relate to our pre-business combination activity (and corresponding provisions of the agreement governing the release of funds from our trust account) may be amended with the approval of holders of at least two-thirds of our ordinary shares who attend and vote at a general meeting, which is a lower amendment threshold than that of some other blank check companies. It may be easier for us, therefore, to amend our amended and restated memorandum and articles of association and the trust agreement to facilitate the completion of an initial business combination that some of our shareholders may not support.</w:t>
      </w:r>
    </w:p>
    <w:p>
      <w:pPr>
        <w:spacing w:after="0" w:line="177" w:lineRule="exact"/>
        <w:rPr>
          <w:sz w:val="20"/>
          <w:szCs w:val="20"/>
          <w:color w:val="auto"/>
        </w:rPr>
      </w:pPr>
    </w:p>
    <w:p>
      <w:pPr>
        <w:ind w:right="20" w:firstLine="324"/>
        <w:spacing w:after="0" w:line="269" w:lineRule="auto"/>
        <w:rPr>
          <w:sz w:val="20"/>
          <w:szCs w:val="20"/>
          <w:color w:val="auto"/>
        </w:rPr>
      </w:pPr>
      <w:r>
        <w:rPr>
          <w:rFonts w:ascii="Arial" w:cs="Arial" w:eastAsia="Arial" w:hAnsi="Arial"/>
          <w:sz w:val="19"/>
          <w:szCs w:val="19"/>
          <w:color w:val="auto"/>
        </w:rPr>
        <w:t>Some other blank check companies have a provision in their charter which prohibits the amendment of certain of its provisions, including those which relate to a company’s pre-business combination activity, without approval by holders of a certain percentage of the company’s shares. In those companies, amendment of these provisions typically requires approval by holders holding between 90% and 100% of the company’s public shares. Our amended and restated memorandum and articles of association provides that any of its provisions, including those related to pre-business combination activity (including the requirement to deposit proceeds of our initial public offering and the private placement of warrants into the trust account and not release such amounts except in specified circumstances), may be amended if approved by holders of at least two-thirds of our ordinary shares who attend and vote in a general meeting, and corresponding provisions of the trust agreement governing the release of funds from our trust account may be amended if approved by holders of 65% of our ordinary shares (other than amendments relating to the appointment or removal of directors prior to our initial business combination, which require the approval of at least 90% of our ordinary shares voting in a general meeting). Our initial shareholders, who collectively beneficially own 20% of our ordinary shares upon the closing of our initial public offering, may participate in any vote to amend our amended and restated memorandum and articles of association and/or trust agreement and will have the discretion to vote in any manner they choose. As a result, we may be able to amend the provisions of our amended and restated memorandum and articles of association which govern our pre-business combination behavior more easily than some other blank check companies, and this may increase our ability to complete our initial business combination with which you do not agree. However, our amended and restated memorandum and articles of association prohibits any amendment of its provisions (A) to modify the substance or timing of our obligation to redeem 100% of our public shares if we do not complete our initial business combination within 18 months from the closing of our initial public offering or (B) with respect to any other provision relating to shareholders’ rights or pre-initial business combination activity, unless we provide public shareholders with the opportunity to redeem their public shares. Furthermore, our sponsor, officers and directors have agreed, pursuant to a written agreement with us, that they will not propose such an amendment unless we provide our public shareholders with the opportunity to redeem their public shares. In certain circumstances, our shareholders may pursue remedies against us for any breach of our amended and restated memorandum and articles of association.</w:t>
      </w:r>
    </w:p>
    <w:p>
      <w:pPr>
        <w:spacing w:after="0" w:line="200" w:lineRule="exact"/>
        <w:rPr>
          <w:sz w:val="20"/>
          <w:szCs w:val="20"/>
          <w:color w:val="auto"/>
        </w:rPr>
      </w:pPr>
    </w:p>
    <w:p>
      <w:pPr>
        <w:spacing w:after="0" w:line="243" w:lineRule="exact"/>
        <w:rPr>
          <w:sz w:val="20"/>
          <w:szCs w:val="20"/>
          <w:color w:val="auto"/>
        </w:rPr>
      </w:pPr>
    </w:p>
    <w:p>
      <w:pPr>
        <w:ind w:left="180" w:right="220"/>
        <w:spacing w:after="0" w:line="250" w:lineRule="auto"/>
        <w:rPr>
          <w:sz w:val="20"/>
          <w:szCs w:val="20"/>
          <w:color w:val="auto"/>
        </w:rPr>
      </w:pPr>
      <w:r>
        <w:rPr>
          <w:rFonts w:ascii="Arial" w:cs="Arial" w:eastAsia="Arial" w:hAnsi="Arial"/>
          <w:sz w:val="22"/>
          <w:szCs w:val="22"/>
          <w:b w:val="1"/>
          <w:bCs w:val="1"/>
          <w:i w:val="1"/>
          <w:iCs w:val="1"/>
          <w:color w:val="auto"/>
        </w:rPr>
        <w:t>We may amend the terms of the warrants in a manner that may be adverse to holders of public warrants with the approval by the holders of at least a majority of the then outstanding public warrants.</w:t>
      </w:r>
    </w:p>
    <w:p>
      <w:pPr>
        <w:spacing w:after="0" w:line="202" w:lineRule="exact"/>
        <w:rPr>
          <w:sz w:val="20"/>
          <w:szCs w:val="20"/>
          <w:color w:val="auto"/>
        </w:rPr>
      </w:pPr>
    </w:p>
    <w:p>
      <w:pPr>
        <w:ind w:firstLine="324"/>
        <w:spacing w:after="0" w:line="274" w:lineRule="auto"/>
        <w:rPr>
          <w:sz w:val="20"/>
          <w:szCs w:val="20"/>
          <w:color w:val="auto"/>
        </w:rPr>
      </w:pPr>
      <w:r>
        <w:rPr>
          <w:rFonts w:ascii="Arial" w:cs="Arial" w:eastAsia="Arial" w:hAnsi="Arial"/>
          <w:sz w:val="19"/>
          <w:szCs w:val="19"/>
          <w:color w:val="auto"/>
        </w:rPr>
        <w:t>Our warrants were issued in registered form under a warrant agreement between Continental Stock Transfer &amp; Trust Company, as warrant agent, and us. The warrant agreement provides that the terms of the warrants may be amended without the consent of any holder to cure any ambiguity or correct any defective provision, but requires the approval by the holders of at least a majority of the then outstanding public warrants to make any change that adversely affects the interests of the registered holders of public warrants. Accordingly, we may amend the terms of the public warrants in a manner adverse to a holder if holders of at least a majority of the then outstanding public warrants approve of such amendment. Although our ability to amend the terms of the public warrants with the consent of at least a majority of the then outstanding public warrants is unlimited, examples of such amendments could be amendments to, among other things, increase the exercise price of the warrants, shorten the exercise period or decrease the number of Class A ordinary shares purchasable upon exercise of a warrant.</w:t>
      </w:r>
    </w:p>
    <w:p>
      <w:pPr>
        <w:spacing w:after="0" w:line="185" w:lineRule="exact"/>
        <w:rPr>
          <w:sz w:val="20"/>
          <w:szCs w:val="20"/>
          <w:color w:val="auto"/>
        </w:rPr>
      </w:pPr>
    </w:p>
    <w:p>
      <w:pPr>
        <w:ind w:left="180"/>
        <w:spacing w:after="0"/>
        <w:rPr>
          <w:sz w:val="20"/>
          <w:szCs w:val="20"/>
          <w:color w:val="auto"/>
        </w:rPr>
      </w:pPr>
      <w:r>
        <w:rPr>
          <w:rFonts w:ascii="Arial" w:cs="Arial" w:eastAsia="Arial" w:hAnsi="Arial"/>
          <w:sz w:val="22"/>
          <w:szCs w:val="22"/>
          <w:b w:val="1"/>
          <w:bCs w:val="1"/>
          <w:i w:val="1"/>
          <w:iCs w:val="1"/>
          <w:color w:val="auto"/>
        </w:rPr>
        <w:t>Certain agreements related to our initial public offering may be amended without shareholder approval.</w:t>
      </w:r>
    </w:p>
    <w:p>
      <w:pPr>
        <w:spacing w:after="0" w:line="233" w:lineRule="exact"/>
        <w:rPr>
          <w:sz w:val="20"/>
          <w:szCs w:val="20"/>
          <w:color w:val="auto"/>
        </w:rPr>
      </w:pPr>
    </w:p>
    <w:p>
      <w:pPr>
        <w:ind w:right="60" w:firstLine="324"/>
        <w:spacing w:after="0" w:line="271" w:lineRule="auto"/>
        <w:rPr>
          <w:sz w:val="20"/>
          <w:szCs w:val="20"/>
          <w:color w:val="auto"/>
        </w:rPr>
      </w:pPr>
      <w:r>
        <w:rPr>
          <w:rFonts w:ascii="Arial" w:cs="Arial" w:eastAsia="Arial" w:hAnsi="Arial"/>
          <w:sz w:val="19"/>
          <w:szCs w:val="19"/>
          <w:color w:val="auto"/>
        </w:rPr>
        <w:t>Each of the agreements related to our initial public offering to which we are a party, other than the warrant agreement and the investment management trust agreement, may be amended without shareholder approval. These agreements contain various provisions that our public shareholders might deem to be material. For example, our letter agreement and the underwriting agreement contain certain lock-up provisions with respect to the founder shares, private placement warrants and other securities held by our initial shareholders, officers and directors. Amendments to such agreements would require the consent of the applicable parties thereto and would need to be approved by our board of directors, which may do so for a variety of reasons, including to facilitate our initial business combination. While we do not expect our board of directors to approve any amendment to any of these agreements prior to our initial business combination, it may be possible that our board of directors, in exercising its business judgment and subject to its fiduciary duties, chooses to approve one or more amendments to any such agreement. Any material amendment entered into in connection with the completion of our initial business combination will be disclosed in our proxy solicitation or tender offer materials, as applicable, related to such initial business combination, and any other material amendment to any of our material agreements will be disclosed in a filing with the SEC. Any such amendments would not require approval from our shareholders, may result in the completion of our initial business combination that may not otherwise have been possible, and may have an adverse effect on the value of an investment in our securities. For example, amendments to the lock-up provision discussed above may result in our initial shareholders selling their securities earlier than they would otherwise be permitted, which may have an adverse effect on the price of our securities.</w:t>
      </w:r>
    </w:p>
    <w:p>
      <w:pPr>
        <w:sectPr>
          <w:pgSz w:w="11900" w:h="16838" w:orient="portrait"/>
          <w:cols w:equalWidth="0" w:num="1">
            <w:col w:w="11220"/>
          </w:cols>
          <w:pgMar w:left="320" w:top="122" w:right="359" w:bottom="0" w:gutter="0" w:footer="0" w:header="0"/>
        </w:sectPr>
      </w:pPr>
    </w:p>
    <w:p>
      <w:pPr>
        <w:spacing w:after="0" w:line="375"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0" w:gutter="0" w:footer="0" w:header="0"/>
          <w:type w:val="continuous"/>
        </w:sectPr>
      </w:pPr>
    </w:p>
    <w:bookmarkStart w:id="46" w:name="page47"/>
    <w:bookmarkEnd w:id="46"/>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ind w:left="180" w:right="20"/>
        <w:spacing w:after="0" w:line="328" w:lineRule="auto"/>
        <w:rPr>
          <w:sz w:val="20"/>
          <w:szCs w:val="20"/>
          <w:color w:val="auto"/>
        </w:rPr>
      </w:pPr>
      <w:r>
        <w:rPr>
          <w:rFonts w:ascii="Arial" w:cs="Arial" w:eastAsia="Arial" w:hAnsi="Arial"/>
          <w:sz w:val="19"/>
          <w:szCs w:val="19"/>
          <w:b w:val="1"/>
          <w:bCs w:val="1"/>
          <w:i w:val="1"/>
          <w:iCs w:val="1"/>
          <w:color w:val="auto"/>
        </w:rPr>
        <w:t>We may be unable to obtain additional financing to complete our initial business combination or to fund the operations and growth of a target business, which could compel us to restructure or abandon a particular business combination.</w:t>
      </w:r>
    </w:p>
    <w:p>
      <w:pPr>
        <w:spacing w:after="0" w:line="132" w:lineRule="exact"/>
        <w:rPr>
          <w:sz w:val="20"/>
          <w:szCs w:val="20"/>
          <w:color w:val="auto"/>
        </w:rPr>
      </w:pPr>
    </w:p>
    <w:p>
      <w:pPr>
        <w:ind w:firstLine="324"/>
        <w:spacing w:after="0" w:line="270" w:lineRule="auto"/>
        <w:rPr>
          <w:sz w:val="20"/>
          <w:szCs w:val="20"/>
          <w:color w:val="auto"/>
        </w:rPr>
      </w:pPr>
      <w:r>
        <w:rPr>
          <w:rFonts w:ascii="Arial" w:cs="Arial" w:eastAsia="Arial" w:hAnsi="Arial"/>
          <w:sz w:val="19"/>
          <w:szCs w:val="19"/>
          <w:color w:val="auto"/>
        </w:rPr>
        <w:t>Although we believe that the net proceeds of our initial public offering and the sale of the private placement warrants will be sufficient to allow us to complete our initial business combination, because we have not yet selected any target business we cannot ascertain the capital requirements for any particular transaction. If the net proceeds of our initial public offering and the sale of the private placement warrants prove to be insufficient, either because of the size of our initial business combination, the depletion of the available net proceeds in search of a target business, the obligation to redeem for cash a significant number of shares from shareholders who elect redemption in connection with our initial business combination or the terms of negotiated transactions to purchase shares in connection with our initial business combination, we may be required to seek additional financing or to abandon the proposed business combination. We cannot assure you that such financing will be available on acceptable terms, if at all. To the extent that additional financing proves to be unavailable when needed to complete our initial business combination, we would be compelled to either restructure the transaction or abandon that particular business combination and seek an alternative target business candidate. In addition, even if we do not need additional financing to complete our initial business combination, we may require such financing to fund the operations or growth of the target business. The failure to secure additional financing could have a material adverse effect on the continued development or growth of the target business. None of our officers, directors or shareholders is required to provide any financing to us in connection with or after our initial business combination. If we are unable to complete our initial business combination, our public shareholders may receive only approximately $10.00 per share, or less in certain circumstances, on the liquidation of our trust account, and our warrants will expire worthless.</w:t>
      </w:r>
    </w:p>
    <w:p>
      <w:pPr>
        <w:spacing w:after="0" w:line="200" w:lineRule="exact"/>
        <w:rPr>
          <w:sz w:val="20"/>
          <w:szCs w:val="20"/>
          <w:color w:val="auto"/>
        </w:rPr>
      </w:pPr>
    </w:p>
    <w:p>
      <w:pPr>
        <w:spacing w:after="0" w:line="241" w:lineRule="exact"/>
        <w:rPr>
          <w:sz w:val="20"/>
          <w:szCs w:val="20"/>
          <w:color w:val="auto"/>
        </w:rPr>
      </w:pPr>
    </w:p>
    <w:p>
      <w:pPr>
        <w:ind w:left="180" w:right="80"/>
        <w:spacing w:after="0" w:line="238" w:lineRule="auto"/>
        <w:rPr>
          <w:sz w:val="20"/>
          <w:szCs w:val="20"/>
          <w:color w:val="auto"/>
        </w:rPr>
      </w:pPr>
      <w:r>
        <w:rPr>
          <w:rFonts w:ascii="Arial" w:cs="Arial" w:eastAsia="Arial" w:hAnsi="Arial"/>
          <w:sz w:val="22"/>
          <w:szCs w:val="22"/>
          <w:b w:val="1"/>
          <w:bCs w:val="1"/>
          <w:i w:val="1"/>
          <w:iCs w:val="1"/>
          <w:color w:val="auto"/>
        </w:rPr>
        <w:t>Our initial shareholders will control the election of our board of directors until completion of our initial business combination and will hold a substantial interest in us. As a result, they will elect all of our directors prior to our initial business combination and may exert a substantial influence on actions requiring shareholder vote, potentially in a manner that you do not support.</w:t>
      </w:r>
    </w:p>
    <w:p>
      <w:pPr>
        <w:spacing w:after="0" w:line="212" w:lineRule="exact"/>
        <w:rPr>
          <w:sz w:val="20"/>
          <w:szCs w:val="20"/>
          <w:color w:val="auto"/>
        </w:rPr>
      </w:pPr>
    </w:p>
    <w:p>
      <w:pPr>
        <w:ind w:right="100" w:firstLine="324"/>
        <w:spacing w:after="0" w:line="297" w:lineRule="auto"/>
        <w:rPr>
          <w:sz w:val="20"/>
          <w:szCs w:val="20"/>
          <w:color w:val="auto"/>
        </w:rPr>
      </w:pPr>
      <w:r>
        <w:rPr>
          <w:rFonts w:ascii="Arial" w:cs="Arial" w:eastAsia="Arial" w:hAnsi="Arial"/>
          <w:sz w:val="19"/>
          <w:szCs w:val="19"/>
          <w:color w:val="auto"/>
        </w:rPr>
        <w:t>Our initial shareholders own 20% of our issued and outstanding ordinary shares. In addition, prior to our initial business combination, only the founder shares, all of which are held by our initial shareholders, will have the right to vote on the election of directors, and holders of a majority of our founder shares may remove a member of the board of directors for any reason.</w:t>
      </w:r>
    </w:p>
    <w:p>
      <w:pPr>
        <w:spacing w:after="0" w:line="161" w:lineRule="exact"/>
        <w:rPr>
          <w:sz w:val="20"/>
          <w:szCs w:val="20"/>
          <w:color w:val="auto"/>
        </w:rPr>
      </w:pPr>
    </w:p>
    <w:p>
      <w:pPr>
        <w:ind w:right="40" w:firstLine="324"/>
        <w:spacing w:after="0" w:line="274" w:lineRule="auto"/>
        <w:rPr>
          <w:sz w:val="20"/>
          <w:szCs w:val="20"/>
          <w:color w:val="auto"/>
        </w:rPr>
      </w:pPr>
      <w:r>
        <w:rPr>
          <w:rFonts w:ascii="Arial" w:cs="Arial" w:eastAsia="Arial" w:hAnsi="Arial"/>
          <w:sz w:val="19"/>
          <w:szCs w:val="19"/>
          <w:color w:val="auto"/>
        </w:rPr>
        <w:t>Neither our initial shareholders nor, to our knowledge, any of our officers or directors, have any current intention to purchase additional securities, other than as disclosed in this Annual Report. Factors that would be considered in making such additional purchases would include consideration of the current trading price of our Class A ordinary shares. In addition, as a result of their substantial ownership in our company, our initial shareholders may exert a substantial influence on other actions requiring a shareholder vote, potentially in a manner that you do not support, including amendments to our amended and restated memorandum and articles of association and approval of major corporate transactions. If our initial shareholders purchase any Class A ordinary shares in the aftermarket or in privately negotiated transactions, this would increase their influence over these actions. Accordingly, our initial shareholders will exert significant influence over actions requiring a shareholder vote at least until the completion of our initial business combination.</w:t>
      </w:r>
    </w:p>
    <w:p>
      <w:pPr>
        <w:spacing w:after="0" w:line="377"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2" w:right="399" w:bottom="1440" w:gutter="0" w:footer="0" w:header="0"/>
        </w:sectPr>
      </w:pPr>
    </w:p>
    <w:bookmarkStart w:id="47" w:name="page48"/>
    <w:bookmarkEnd w:id="47"/>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A provision of our warrant agreement may make it more difficult for us to consummate an initial business combination.</w:t>
      </w:r>
    </w:p>
    <w:p>
      <w:pPr>
        <w:spacing w:after="0" w:line="268" w:lineRule="exact"/>
        <w:rPr>
          <w:sz w:val="20"/>
          <w:szCs w:val="20"/>
          <w:color w:val="auto"/>
        </w:rPr>
      </w:pPr>
    </w:p>
    <w:p>
      <w:pPr>
        <w:ind w:left="340"/>
        <w:spacing w:after="0"/>
        <w:rPr>
          <w:sz w:val="20"/>
          <w:szCs w:val="20"/>
          <w:color w:val="auto"/>
        </w:rPr>
      </w:pPr>
      <w:r>
        <w:rPr>
          <w:rFonts w:ascii="Arial" w:cs="Arial" w:eastAsia="Arial" w:hAnsi="Arial"/>
          <w:sz w:val="22"/>
          <w:szCs w:val="22"/>
          <w:color w:val="auto"/>
        </w:rPr>
        <w:t>Unlike most blank check companies, if</w:t>
      </w:r>
    </w:p>
    <w:p>
      <w:pPr>
        <w:spacing w:after="0" w:line="233" w:lineRule="exact"/>
        <w:rPr>
          <w:sz w:val="20"/>
          <w:szCs w:val="20"/>
          <w:color w:val="auto"/>
        </w:rPr>
      </w:pPr>
    </w:p>
    <w:p>
      <w:pPr>
        <w:ind w:right="200" w:firstLine="332"/>
        <w:spacing w:after="0" w:line="328" w:lineRule="auto"/>
        <w:tabs>
          <w:tab w:leader="none" w:pos="582" w:val="left"/>
        </w:tabs>
        <w:numPr>
          <w:ilvl w:val="0"/>
          <w:numId w:val="20"/>
        </w:numPr>
        <w:rPr>
          <w:rFonts w:ascii="Arial" w:cs="Arial" w:eastAsia="Arial" w:hAnsi="Arial"/>
          <w:sz w:val="19"/>
          <w:szCs w:val="19"/>
          <w:color w:val="auto"/>
        </w:rPr>
      </w:pPr>
      <w:r>
        <w:rPr>
          <w:rFonts w:ascii="Arial" w:cs="Arial" w:eastAsia="Arial" w:hAnsi="Arial"/>
          <w:sz w:val="19"/>
          <w:szCs w:val="19"/>
          <w:color w:val="auto"/>
        </w:rPr>
        <w:t>we issue additional Class A ordinary shares or equity-linked securities for capital raising purposes in connection with the closing of our initial business combination at a Newly Issued Price of less than $9.20 per Class A ordinary share;</w:t>
      </w:r>
    </w:p>
    <w:p>
      <w:pPr>
        <w:spacing w:after="0" w:line="131" w:lineRule="exact"/>
        <w:rPr>
          <w:rFonts w:ascii="Arial" w:cs="Arial" w:eastAsia="Arial" w:hAnsi="Arial"/>
          <w:sz w:val="19"/>
          <w:szCs w:val="19"/>
          <w:color w:val="auto"/>
        </w:rPr>
      </w:pPr>
    </w:p>
    <w:p>
      <w:pPr>
        <w:ind w:right="580" w:firstLine="332"/>
        <w:spacing w:after="0"/>
        <w:tabs>
          <w:tab w:leader="none" w:pos="642" w:val="left"/>
        </w:tabs>
        <w:numPr>
          <w:ilvl w:val="0"/>
          <w:numId w:val="20"/>
        </w:numPr>
        <w:rPr>
          <w:rFonts w:ascii="Arial" w:cs="Arial" w:eastAsia="Arial" w:hAnsi="Arial"/>
          <w:sz w:val="22"/>
          <w:szCs w:val="22"/>
          <w:color w:val="auto"/>
        </w:rPr>
      </w:pPr>
      <w:r>
        <w:rPr>
          <w:rFonts w:ascii="Arial" w:cs="Arial" w:eastAsia="Arial" w:hAnsi="Arial"/>
          <w:sz w:val="22"/>
          <w:szCs w:val="22"/>
          <w:color w:val="auto"/>
        </w:rPr>
        <w:t>the aggregate gross proceeds from such issuances represent more than 60% of the total equity proceeds, and interest thereon, available for the funding of our initial business combination on the date of the completion of our initial business combination (net of redemptions), and</w:t>
      </w:r>
    </w:p>
    <w:p>
      <w:pPr>
        <w:spacing w:after="0" w:line="213" w:lineRule="exact"/>
        <w:rPr>
          <w:rFonts w:ascii="Arial" w:cs="Arial" w:eastAsia="Arial" w:hAnsi="Arial"/>
          <w:sz w:val="22"/>
          <w:szCs w:val="22"/>
          <w:color w:val="auto"/>
        </w:rPr>
      </w:pPr>
    </w:p>
    <w:p>
      <w:pPr>
        <w:ind w:left="720" w:hanging="388"/>
        <w:spacing w:after="0"/>
        <w:tabs>
          <w:tab w:leader="none" w:pos="720" w:val="left"/>
        </w:tabs>
        <w:numPr>
          <w:ilvl w:val="0"/>
          <w:numId w:val="20"/>
        </w:numPr>
        <w:rPr>
          <w:rFonts w:ascii="Arial" w:cs="Arial" w:eastAsia="Arial" w:hAnsi="Arial"/>
          <w:sz w:val="22"/>
          <w:szCs w:val="22"/>
          <w:color w:val="auto"/>
        </w:rPr>
      </w:pPr>
      <w:r>
        <w:rPr>
          <w:rFonts w:ascii="Arial" w:cs="Arial" w:eastAsia="Arial" w:hAnsi="Arial"/>
          <w:sz w:val="22"/>
          <w:szCs w:val="22"/>
          <w:color w:val="auto"/>
        </w:rPr>
        <w:t>the Market Value is below $9.20 per share,</w:t>
      </w:r>
    </w:p>
    <w:p>
      <w:pPr>
        <w:spacing w:after="0" w:line="233" w:lineRule="exact"/>
        <w:rPr>
          <w:sz w:val="20"/>
          <w:szCs w:val="20"/>
          <w:color w:val="auto"/>
        </w:rPr>
      </w:pPr>
    </w:p>
    <w:p>
      <w:pPr>
        <w:ind w:right="100"/>
        <w:spacing w:after="0" w:line="238" w:lineRule="auto"/>
        <w:rPr>
          <w:sz w:val="20"/>
          <w:szCs w:val="20"/>
          <w:color w:val="auto"/>
        </w:rPr>
      </w:pPr>
      <w:r>
        <w:rPr>
          <w:rFonts w:ascii="Arial" w:cs="Arial" w:eastAsia="Arial" w:hAnsi="Arial"/>
          <w:sz w:val="22"/>
          <w:szCs w:val="22"/>
          <w:color w:val="auto"/>
        </w:rPr>
        <w:t>then the exercise price of the warrants will be adjusted to be equal to 115% of the higher of the Market Value and the Newly Issued Price, and the $18.00 per share redemption trigger price will be adjusted (to the nearest cent) to be equal to 180% of the higher of the Market Value and the Newly Issued Price. This may make it more difficult for us to consummate an initial business combination with a target business.</w:t>
      </w:r>
    </w:p>
    <w:p>
      <w:pPr>
        <w:spacing w:after="0" w:line="212" w:lineRule="exact"/>
        <w:rPr>
          <w:sz w:val="20"/>
          <w:szCs w:val="20"/>
          <w:color w:val="auto"/>
        </w:rPr>
      </w:pPr>
    </w:p>
    <w:p>
      <w:pPr>
        <w:ind w:left="180" w:right="380"/>
        <w:spacing w:after="0" w:line="250" w:lineRule="auto"/>
        <w:rPr>
          <w:sz w:val="20"/>
          <w:szCs w:val="20"/>
          <w:color w:val="auto"/>
        </w:rPr>
      </w:pPr>
      <w:r>
        <w:rPr>
          <w:rFonts w:ascii="Arial" w:cs="Arial" w:eastAsia="Arial" w:hAnsi="Arial"/>
          <w:sz w:val="22"/>
          <w:szCs w:val="22"/>
          <w:b w:val="1"/>
          <w:bCs w:val="1"/>
          <w:i w:val="1"/>
          <w:iCs w:val="1"/>
          <w:color w:val="auto"/>
        </w:rPr>
        <w:t>We may redeem your unexpired warrants prior to their exercise at a time that is disadvantageous to you, thereby making your warrants worthless.</w:t>
      </w:r>
    </w:p>
    <w:p>
      <w:pPr>
        <w:spacing w:after="0" w:line="202" w:lineRule="exact"/>
        <w:rPr>
          <w:sz w:val="20"/>
          <w:szCs w:val="20"/>
          <w:color w:val="auto"/>
        </w:rPr>
      </w:pPr>
    </w:p>
    <w:p>
      <w:pPr>
        <w:ind w:right="60" w:firstLine="324"/>
        <w:spacing w:after="0" w:line="273" w:lineRule="auto"/>
        <w:rPr>
          <w:sz w:val="20"/>
          <w:szCs w:val="20"/>
          <w:color w:val="auto"/>
        </w:rPr>
      </w:pPr>
      <w:r>
        <w:rPr>
          <w:rFonts w:ascii="Arial" w:cs="Arial" w:eastAsia="Arial" w:hAnsi="Arial"/>
          <w:sz w:val="19"/>
          <w:szCs w:val="19"/>
          <w:color w:val="auto"/>
        </w:rPr>
        <w:t>We have the ability to redeem outstanding warrants at any time after they become exercisable and prior to their expiration, at a price of $0.01 per warrant; provided that the last reported sales price of our Class A ordinary shares equals or exceeds $18.00 per share (as adjusted for share splits, share dividends, rights issuances, subdivisions, reorganizations, recapitalizations and the like) for any 20 trading days within a 30 trading-day period ending on the third trading day prior to the date we send the notice of redemption to the warrant holders. If and when the warrants become redeemable by us, we may exercise our redemption right even if we are unable to register or qualify the underlying securities for sale under all applicable state securities laws. Redemption of the outstanding warrants could force you to: (1) exercise your warrants and pay the exercise price therefor at a time when it may be disadvantageous for you to do so; (2) sell your warrants at the then-current market price when you might otherwise wish to hold your warrants; or (3) accept the nominal redemption price which, at the time the outstanding warrants are called for redemption, is likely to be substantially less than the market value of your warrants. None of the private placement warrants will be redeemable by us so long as they are held by our sponsor or its permitted transferees.</w:t>
      </w:r>
    </w:p>
    <w:p>
      <w:pPr>
        <w:spacing w:after="0" w:line="182" w:lineRule="exact"/>
        <w:rPr>
          <w:sz w:val="20"/>
          <w:szCs w:val="20"/>
          <w:color w:val="auto"/>
        </w:rPr>
      </w:pPr>
    </w:p>
    <w:p>
      <w:pPr>
        <w:ind w:left="180" w:right="120"/>
        <w:spacing w:after="0" w:line="250" w:lineRule="auto"/>
        <w:rPr>
          <w:sz w:val="20"/>
          <w:szCs w:val="20"/>
          <w:color w:val="auto"/>
        </w:rPr>
      </w:pPr>
      <w:r>
        <w:rPr>
          <w:rFonts w:ascii="Arial" w:cs="Arial" w:eastAsia="Arial" w:hAnsi="Arial"/>
          <w:sz w:val="22"/>
          <w:szCs w:val="22"/>
          <w:b w:val="1"/>
          <w:bCs w:val="1"/>
          <w:i w:val="1"/>
          <w:iCs w:val="1"/>
          <w:color w:val="auto"/>
        </w:rPr>
        <w:t>Our warrants and founder shares may have an adverse effect on the market price of our Class A ordinary shares and make it more difficult to effectuate our initial business combination.</w:t>
      </w:r>
    </w:p>
    <w:p>
      <w:pPr>
        <w:spacing w:after="0" w:line="202" w:lineRule="exact"/>
        <w:rPr>
          <w:sz w:val="20"/>
          <w:szCs w:val="20"/>
          <w:color w:val="auto"/>
        </w:rPr>
      </w:pPr>
    </w:p>
    <w:p>
      <w:pPr>
        <w:ind w:firstLine="324"/>
        <w:spacing w:after="0" w:line="272" w:lineRule="auto"/>
        <w:rPr>
          <w:sz w:val="20"/>
          <w:szCs w:val="20"/>
          <w:color w:val="auto"/>
        </w:rPr>
      </w:pPr>
      <w:r>
        <w:rPr>
          <w:rFonts w:ascii="Arial" w:cs="Arial" w:eastAsia="Arial" w:hAnsi="Arial"/>
          <w:sz w:val="19"/>
          <w:szCs w:val="19"/>
          <w:color w:val="auto"/>
        </w:rPr>
        <w:t>We have issued warrants to purchase 12,500,000 Class A ordinary shares, at a price of $11.50 per whole share, as part of the units offered in our initial public offering and, simultaneously with the closing of our initial public offering, we issued in a private placement an aggregate of 7,000,000 private placement warrants, each exercisable to purchase one Class A ordinary share at a price of $11.50 per share. Our initial shareholders currently hold 6,250,000 founder shares. In addition, if our sponsor, an affiliate of our sponsor or certain of our officers and directors make any working capital loans, up to $1,500,000 of such loans may be converted into warrants, at the price of $1.00 per warrant at the option of the lender. Such warrants would be identical to the private placement warrants. To the extent we issue ordinary shares to effectuate a business transaction, the potential for the issuance of a substantial number of additional Class A ordinary shares upon exercise of these warrants or conversion rights could make us a less attractive acquisition vehicle to a target business. Any such issuance will increase the number of issued and outstanding Class A ordinary shares and reduce the value of the Class A ordinary shares issued to complete the business transaction. Therefore, our warrants and founder shares may make it more difficult to effectuate a business combination or increase the cost of acquiring the target business.</w:t>
      </w:r>
    </w:p>
    <w:p>
      <w:pPr>
        <w:spacing w:after="0" w:line="200" w:lineRule="exact"/>
        <w:rPr>
          <w:sz w:val="20"/>
          <w:szCs w:val="20"/>
          <w:color w:val="auto"/>
        </w:rPr>
      </w:pPr>
    </w:p>
    <w:p>
      <w:pPr>
        <w:spacing w:after="0" w:line="235" w:lineRule="exact"/>
        <w:rPr>
          <w:sz w:val="20"/>
          <w:szCs w:val="20"/>
          <w:color w:val="auto"/>
        </w:rPr>
      </w:pPr>
    </w:p>
    <w:p>
      <w:pPr>
        <w:ind w:right="120" w:firstLine="324"/>
        <w:spacing w:after="0" w:line="235" w:lineRule="auto"/>
        <w:rPr>
          <w:sz w:val="20"/>
          <w:szCs w:val="20"/>
          <w:color w:val="auto"/>
        </w:rPr>
      </w:pPr>
      <w:r>
        <w:rPr>
          <w:rFonts w:ascii="Arial" w:cs="Arial" w:eastAsia="Arial" w:hAnsi="Arial"/>
          <w:sz w:val="22"/>
          <w:szCs w:val="22"/>
          <w:color w:val="auto"/>
        </w:rPr>
        <w:t>The private placement warrants are identical to the warrants sold as part of the units in our initial public offering except that, so long as they are held by our sponsor or its permitted transferees: (1) they will not be redeemable by us; (2) they (including the ordinary shares issuable upon exercise of these warrants) may not, subject to certain limited exceptions, be transferred, assigned or sold by our sponsor until 30 days after the completion of our initial business combination; (3) they may be exercised by the holders on a cashless basis; and (4) they (including the ordinary shares issuable upon exercise of these warrants) are entitled to registration rights.</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48" w:name="page49"/>
    <w:bookmarkEnd w:id="48"/>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ind w:left="180" w:right="20"/>
        <w:spacing w:after="0" w:line="250" w:lineRule="auto"/>
        <w:rPr>
          <w:sz w:val="20"/>
          <w:szCs w:val="20"/>
          <w:color w:val="auto"/>
        </w:rPr>
      </w:pPr>
      <w:r>
        <w:rPr>
          <w:rFonts w:ascii="Arial" w:cs="Arial" w:eastAsia="Arial" w:hAnsi="Arial"/>
          <w:sz w:val="22"/>
          <w:szCs w:val="22"/>
          <w:b w:val="1"/>
          <w:bCs w:val="1"/>
          <w:i w:val="1"/>
          <w:iCs w:val="1"/>
          <w:color w:val="auto"/>
        </w:rPr>
        <w:t>Because each unit contains one-half of one warrant and only a whole warrant may be exercised, the units may be worth less than units of other blank check companies.</w:t>
      </w:r>
    </w:p>
    <w:p>
      <w:pPr>
        <w:spacing w:after="0" w:line="202" w:lineRule="exact"/>
        <w:rPr>
          <w:sz w:val="20"/>
          <w:szCs w:val="20"/>
          <w:color w:val="auto"/>
        </w:rPr>
      </w:pPr>
    </w:p>
    <w:p>
      <w:pPr>
        <w:ind w:right="20" w:firstLine="324"/>
        <w:spacing w:after="0" w:line="277" w:lineRule="auto"/>
        <w:rPr>
          <w:sz w:val="20"/>
          <w:szCs w:val="20"/>
          <w:color w:val="auto"/>
        </w:rPr>
      </w:pPr>
      <w:r>
        <w:rPr>
          <w:rFonts w:ascii="Arial" w:cs="Arial" w:eastAsia="Arial" w:hAnsi="Arial"/>
          <w:sz w:val="19"/>
          <w:szCs w:val="19"/>
          <w:color w:val="auto"/>
        </w:rPr>
        <w:t>Each unit contains one-half of one warrant. Pursuant to the warrant agreement, no fractional warrants will be issued upon separation of the units, and only whole units will trade. This is different from other blank check companies whose units include one ordinary share and one whole warrant to purchase one share. We established the components of the units in this way in order to reduce the dilutive effect of the warrants upon completion of a business combination since the warrants will be exercisable in the aggregate for a half of the number of shares compared to units that each contain a whole warrant to purchase one share, which we believe makes us a more attractive business combination partner for target businesses. Nevertheless, this unit structure may cause our units to be worth less than if they included a warrant to purchase one whole share.</w:t>
      </w:r>
    </w:p>
    <w:p>
      <w:pPr>
        <w:spacing w:after="0" w:line="179" w:lineRule="exact"/>
        <w:rPr>
          <w:sz w:val="20"/>
          <w:szCs w:val="20"/>
          <w:color w:val="auto"/>
        </w:rPr>
      </w:pPr>
    </w:p>
    <w:p>
      <w:pPr>
        <w:ind w:left="180" w:right="120"/>
        <w:spacing w:after="0" w:line="328" w:lineRule="auto"/>
        <w:rPr>
          <w:sz w:val="20"/>
          <w:szCs w:val="20"/>
          <w:color w:val="auto"/>
        </w:rPr>
      </w:pPr>
      <w:r>
        <w:rPr>
          <w:rFonts w:ascii="Arial" w:cs="Arial" w:eastAsia="Arial" w:hAnsi="Arial"/>
          <w:sz w:val="19"/>
          <w:szCs w:val="19"/>
          <w:b w:val="1"/>
          <w:bCs w:val="1"/>
          <w:i w:val="1"/>
          <w:iCs w:val="1"/>
          <w:color w:val="auto"/>
        </w:rPr>
        <w:t>Because we must furnish our shareholders with target business financial statements, we may lose the ability to complete an otherwise advantageous initial business combination with some prospective target businesses.</w:t>
      </w:r>
    </w:p>
    <w:p>
      <w:pPr>
        <w:spacing w:after="0" w:line="132" w:lineRule="exact"/>
        <w:rPr>
          <w:sz w:val="20"/>
          <w:szCs w:val="20"/>
          <w:color w:val="auto"/>
        </w:rPr>
      </w:pPr>
    </w:p>
    <w:p>
      <w:pPr>
        <w:ind w:right="40" w:firstLine="324"/>
        <w:spacing w:after="0" w:line="244" w:lineRule="auto"/>
        <w:rPr>
          <w:sz w:val="20"/>
          <w:szCs w:val="20"/>
          <w:color w:val="auto"/>
        </w:rPr>
      </w:pPr>
      <w:r>
        <w:rPr>
          <w:rFonts w:ascii="Arial" w:cs="Arial" w:eastAsia="Arial" w:hAnsi="Arial"/>
          <w:sz w:val="21"/>
          <w:szCs w:val="21"/>
          <w:color w:val="auto"/>
        </w:rPr>
        <w:t>The federal proxy rules require that a proxy statement with respect to a vote on a business combination meeting certain financial significance tests include historical and/or pro forma financial statement disclosure in periodic reports. We will include the same financial statement disclosure in connection with our tender offer documents, whether or not they are required under the tender offer rules. These financial statements may be required to be prepared in accordance with, or be reconciled to, accounting principles generally accepted in the United States of America, or U.S. GAAP, or international financing reporting standards as issued by the International Accounting Standards Board, or IFRS, depending on the circumstances and the historical financial statements may be required to be audited in accordance with the standards of the Public Company Accounting Oversight Board (United States), or PCAOB. These financial statement requirements may limit the pool of potential target businesses we may acquire because some targets may be unable to provide such financial statements in time for us to disclose such financial statements in accordance with federal proxy rules and complete our initial business combination within the prescribed time frame.</w:t>
      </w:r>
    </w:p>
    <w:p>
      <w:pPr>
        <w:spacing w:after="0" w:line="215" w:lineRule="exact"/>
        <w:rPr>
          <w:sz w:val="20"/>
          <w:szCs w:val="20"/>
          <w:color w:val="auto"/>
        </w:rPr>
      </w:pPr>
    </w:p>
    <w:p>
      <w:pPr>
        <w:ind w:left="180" w:right="180"/>
        <w:spacing w:after="0" w:line="252" w:lineRule="auto"/>
        <w:rPr>
          <w:sz w:val="20"/>
          <w:szCs w:val="20"/>
          <w:color w:val="auto"/>
        </w:rPr>
      </w:pPr>
      <w:r>
        <w:rPr>
          <w:rFonts w:ascii="Arial" w:cs="Arial" w:eastAsia="Arial" w:hAnsi="Arial"/>
          <w:sz w:val="21"/>
          <w:szCs w:val="21"/>
          <w:b w:val="1"/>
          <w:bCs w:val="1"/>
          <w:i w:val="1"/>
          <w:iCs w:val="1"/>
          <w:color w:val="auto"/>
        </w:rPr>
        <w:t>We are an emerging growth company and a smaller reporting company within the meaning of the Securities Act, and if we take advantage of certain exemptions from disclosure requirements available to emerging growth companies or smaller reporting companies, this could make our securities less attractive to investors and may make it more difficult to compare our performance with other public companies.</w:t>
      </w:r>
    </w:p>
    <w:p>
      <w:pPr>
        <w:spacing w:after="0" w:line="201" w:lineRule="exact"/>
        <w:rPr>
          <w:sz w:val="20"/>
          <w:szCs w:val="20"/>
          <w:color w:val="auto"/>
        </w:rPr>
      </w:pPr>
    </w:p>
    <w:p>
      <w:pPr>
        <w:ind w:right="20" w:firstLine="324"/>
        <w:spacing w:after="0" w:line="272" w:lineRule="auto"/>
        <w:rPr>
          <w:sz w:val="20"/>
          <w:szCs w:val="20"/>
          <w:color w:val="auto"/>
        </w:rPr>
      </w:pPr>
      <w:r>
        <w:rPr>
          <w:rFonts w:ascii="Arial" w:cs="Arial" w:eastAsia="Arial" w:hAnsi="Arial"/>
          <w:sz w:val="19"/>
          <w:szCs w:val="19"/>
          <w:color w:val="auto"/>
        </w:rPr>
        <w:t>We are an “emerging growth company” within the meaning of the Securities Act, as modified by the JOBS Act, and we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shareholder approval of any golden parachute payments not previously approved. As a result, our shareholders may not have access to certain information they may deem important. We could be an emerging growth company for up to five years, although circumstances could cause us to lose that status earlier, including if the market value of our ordinary shares held by non-affiliates exceeds $700 million as of the end of any second quarter of a fiscal year, in which case we would no longer be an emerging growth company as of the end of such fiscal year. We cannot predict whether investors will find our securities less attractive because we will rely on these exemptions. If some investors find our securities less attractive as a result of our reliance on these exemptions, the trading prices of our securities may be lower than they otherwise would be, there may be a less active trading market for our securities and the trading prices of our securities may be more volatile.</w:t>
      </w:r>
    </w:p>
    <w:p>
      <w:pPr>
        <w:spacing w:after="0" w:line="183" w:lineRule="exact"/>
        <w:rPr>
          <w:sz w:val="20"/>
          <w:szCs w:val="20"/>
          <w:color w:val="auto"/>
        </w:rPr>
      </w:pPr>
    </w:p>
    <w:p>
      <w:pPr>
        <w:ind w:firstLine="324"/>
        <w:spacing w:after="0" w:line="244" w:lineRule="auto"/>
        <w:rPr>
          <w:sz w:val="20"/>
          <w:szCs w:val="20"/>
          <w:color w:val="auto"/>
        </w:rPr>
      </w:pPr>
      <w:r>
        <w:rPr>
          <w:rFonts w:ascii="Arial" w:cs="Arial" w:eastAsia="Arial" w:hAnsi="Arial"/>
          <w:sz w:val="21"/>
          <w:szCs w:val="21"/>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49" w:name="page50"/>
    <w:bookmarkEnd w:id="49"/>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ind w:firstLine="324"/>
        <w:spacing w:after="0" w:line="246" w:lineRule="auto"/>
        <w:rPr>
          <w:sz w:val="20"/>
          <w:szCs w:val="20"/>
          <w:color w:val="auto"/>
        </w:rPr>
      </w:pPr>
      <w:r>
        <w:rPr>
          <w:rFonts w:ascii="Arial" w:cs="Arial" w:eastAsia="Arial" w:hAnsi="Arial"/>
          <w:sz w:val="21"/>
          <w:szCs w:val="21"/>
          <w:color w:val="auto"/>
        </w:rPr>
        <w:t>Additionally, we are a “smaller reporting company” as defined in Rule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(1) the market value of our ordinary shares held by non-affiliates exceeds $250 million as of the end of that year’s second fiscal quarter, or (2) our annual revenues exceeded $100 million during such completed fiscal year and the market value of our ordinary shares held by non-affiliates exceeds $700 million as of the end of that year’s second fiscal quarter. To the extent we take advantage of such reduced disclosure obligations, it may also make comparison of our financial statements with other public companies difficult or impossible.</w:t>
      </w:r>
    </w:p>
    <w:p>
      <w:pPr>
        <w:spacing w:after="0" w:line="207" w:lineRule="exact"/>
        <w:rPr>
          <w:sz w:val="20"/>
          <w:szCs w:val="20"/>
          <w:color w:val="auto"/>
        </w:rPr>
      </w:pPr>
    </w:p>
    <w:p>
      <w:pPr>
        <w:jc w:val="both"/>
        <w:ind w:left="180" w:right="340"/>
        <w:spacing w:after="0"/>
        <w:rPr>
          <w:sz w:val="20"/>
          <w:szCs w:val="20"/>
          <w:color w:val="auto"/>
        </w:rPr>
      </w:pPr>
      <w:r>
        <w:rPr>
          <w:rFonts w:ascii="Arial" w:cs="Arial" w:eastAsia="Arial" w:hAnsi="Arial"/>
          <w:sz w:val="22"/>
          <w:szCs w:val="22"/>
          <w:b w:val="1"/>
          <w:bCs w:val="1"/>
          <w:i w:val="1"/>
          <w:iCs w:val="1"/>
          <w:color w:val="auto"/>
        </w:rPr>
        <w:t>Compliance obligations under the Sarbanes-Oxley Act may make it more difficult for us to effectuate our initial business combination, require substantial financial and management resources, and increase the time and costs of completing an acquisition.</w:t>
      </w:r>
    </w:p>
    <w:p>
      <w:pPr>
        <w:spacing w:after="0" w:line="213" w:lineRule="exact"/>
        <w:rPr>
          <w:sz w:val="20"/>
          <w:szCs w:val="20"/>
          <w:color w:val="auto"/>
        </w:rPr>
      </w:pPr>
    </w:p>
    <w:p>
      <w:pPr>
        <w:ind w:right="60" w:firstLine="324"/>
        <w:spacing w:after="0" w:line="274" w:lineRule="auto"/>
        <w:rPr>
          <w:sz w:val="20"/>
          <w:szCs w:val="20"/>
          <w:color w:val="auto"/>
        </w:rPr>
      </w:pPr>
      <w:r>
        <w:rPr>
          <w:rFonts w:ascii="Arial" w:cs="Arial" w:eastAsia="Arial" w:hAnsi="Arial"/>
          <w:sz w:val="19"/>
          <w:szCs w:val="19"/>
          <w:color w:val="auto"/>
        </w:rPr>
        <w:t>Section 404 of the Sarbanes-Oxley Act requires that we evaluate and report on our system of internal controls beginning with our Annual Report on Form 10-K for the year ending December 31, 2020. Only in the event we are deemed to be a large accelerated filer or an accelerated filer, and no longer qualify as an emerging growth company, will we be required to comply with the independent registered public accounting firm attestation requirement on our internal control over financial reporting. The fact that we are a blank check company makes compliance with the requirements of the Sarbanes-Oxley Act particularly burdensome on us as compared to other public companies because a target business with which we seek to complete our initial business combination may not be in compliance with the provisions of the Sarbanes-Oxley Act regarding adequacy of its internal controls. The development of the internal control of any such entity to achieve compliance with the Sarbanes-Oxley Act may increase the time and costs necessary to complete any such acquisition.</w:t>
      </w:r>
    </w:p>
    <w:p>
      <w:pPr>
        <w:spacing w:after="0" w:line="185" w:lineRule="exact"/>
        <w:rPr>
          <w:sz w:val="20"/>
          <w:szCs w:val="20"/>
          <w:color w:val="auto"/>
        </w:rPr>
      </w:pPr>
    </w:p>
    <w:p>
      <w:pPr>
        <w:ind w:left="180" w:right="280"/>
        <w:spacing w:after="0" w:line="274" w:lineRule="auto"/>
        <w:rPr>
          <w:sz w:val="20"/>
          <w:szCs w:val="20"/>
          <w:color w:val="auto"/>
        </w:rPr>
      </w:pPr>
      <w:r>
        <w:rPr>
          <w:rFonts w:ascii="Arial" w:cs="Arial" w:eastAsia="Arial" w:hAnsi="Arial"/>
          <w:sz w:val="21"/>
          <w:szCs w:val="21"/>
          <w:b w:val="1"/>
          <w:bCs w:val="1"/>
          <w:i w:val="1"/>
          <w:iCs w:val="1"/>
          <w:color w:val="auto"/>
        </w:rPr>
        <w:t>Because we are incorporated under the laws of the Cayman Islands, you may face difficulties in protecting your interests, and your ability to protect your rights through the U.S. Federal courts may be limited.</w:t>
      </w:r>
    </w:p>
    <w:p>
      <w:pPr>
        <w:spacing w:after="0" w:line="178" w:lineRule="exact"/>
        <w:rPr>
          <w:sz w:val="20"/>
          <w:szCs w:val="20"/>
          <w:color w:val="auto"/>
        </w:rPr>
      </w:pPr>
    </w:p>
    <w:p>
      <w:pPr>
        <w:ind w:right="40" w:firstLine="324"/>
        <w:spacing w:after="0"/>
        <w:rPr>
          <w:sz w:val="20"/>
          <w:szCs w:val="20"/>
          <w:color w:val="auto"/>
        </w:rPr>
      </w:pPr>
      <w:r>
        <w:rPr>
          <w:rFonts w:ascii="Arial" w:cs="Arial" w:eastAsia="Arial" w:hAnsi="Arial"/>
          <w:sz w:val="22"/>
          <w:szCs w:val="22"/>
          <w:color w:val="auto"/>
        </w:rPr>
        <w:t>We are an exempted company incorporated under the laws of the Cayman Islands. As a result, it may be difficult for investors to effect service of process within the United States upon our directors or officers, or enforce judgments obtained in the United States courts against our directors or officers.</w:t>
      </w:r>
    </w:p>
    <w:p>
      <w:pPr>
        <w:spacing w:after="0" w:line="213" w:lineRule="exact"/>
        <w:rPr>
          <w:sz w:val="20"/>
          <w:szCs w:val="20"/>
          <w:color w:val="auto"/>
        </w:rPr>
      </w:pPr>
    </w:p>
    <w:p>
      <w:pPr>
        <w:ind w:firstLine="324"/>
        <w:spacing w:after="0" w:line="244" w:lineRule="auto"/>
        <w:rPr>
          <w:sz w:val="20"/>
          <w:szCs w:val="20"/>
          <w:color w:val="auto"/>
        </w:rPr>
      </w:pPr>
      <w:r>
        <w:rPr>
          <w:rFonts w:ascii="Arial" w:cs="Arial" w:eastAsia="Arial" w:hAnsi="Arial"/>
          <w:sz w:val="21"/>
          <w:szCs w:val="21"/>
          <w:color w:val="auto"/>
        </w:rPr>
        <w:t>Our corporate affairs are governed by our amended and restated memorandum and articles of association, the Companies Law and the common law of the Cayman Islands. The rights of shareholders to take action against the directors, actions by minority shareholders and the fiduciary responsibilities of our directors to us under Cayman Islands law are to a large extent governed by the common law of the Cayman Islands. The common law of the Cayman Islands is derived in part from comparatively limited judicial precedent in the Cayman Islands as well as from English common law, the decisions of whose courts are of persuasive authority, but are not binding on a court in the Cayman Islands. The rights of our shareholders and the fiduciary responsibilities of our directors under Cayman Islands law are different from what they would be under statutes or judicial precedent in some jurisdictions in the United States. In particular, the Cayman Islands has a different body of securities laws as compared to the United States, and certain states, such as Delaware, may have more fully developed and judicially interpreted bodies of corporate law. In addition, Cayman Islands companies may not have standing to initiate a shareholders derivative action in a Federal court of the United States.</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0" w:name="page51"/>
    <w:bookmarkEnd w:id="50"/>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ind w:firstLine="324"/>
        <w:spacing w:after="0" w:line="271" w:lineRule="auto"/>
        <w:rPr>
          <w:sz w:val="20"/>
          <w:szCs w:val="20"/>
          <w:color w:val="auto"/>
        </w:rPr>
      </w:pPr>
      <w:r>
        <w:rPr>
          <w:rFonts w:ascii="Arial" w:cs="Arial" w:eastAsia="Arial" w:hAnsi="Arial"/>
          <w:sz w:val="19"/>
          <w:szCs w:val="19"/>
          <w:color w:val="auto"/>
        </w:rPr>
        <w:t>We have been advised by our Cayman Islands legal counsel that the courts of the Cayman Islands are unlikely (1) to recognize or enforce against us judgments of courts of the United States predicated upon the civil liability provisions of the federal securities laws of the United States or any state; and (2) in original actions brought in the Cayman Islands, to impose liabilities against us predicated upon the civil liability provisions of the federal securities laws of the United States or any state, so far as the liabilities imposed by those provisions are penal in nature. In those circumstances, although there is no statutory enforcement in the Cayman Islands of judgments obtained in the United States, the courts of the Cayman Islands will recognize and enforce a foreign money judgment of a foreign court of competent jurisdiction without retrial on the merits based on the principle that a judgment of a competent foreign court imposes upon the judgment debtor an obligation to pay the sum for which judgment has been given provided certain conditions are met. For a foreign judgment to be enforced in the Cayman Islands, such judgment must be final and conclusive and for a liquidated sum, and must not be in respect of taxes or a fine or penalty, inconsistent with a Cayman Islands judgment in respect of the same matter, impeachable on the grounds of fraud or obtained in a manner, or be of a kind the enforcement of which is, contrary to natural justice or the public policy of the Cayman Islands (awards of punitive or multiple damages may well be held to be contrary to public policy). A Cayman Islands Court may stay enforcement proceedings if concurrent proceedings are being brought elsewhere.</w:t>
      </w:r>
    </w:p>
    <w:p>
      <w:pPr>
        <w:spacing w:after="0" w:line="200" w:lineRule="exact"/>
        <w:rPr>
          <w:sz w:val="20"/>
          <w:szCs w:val="20"/>
          <w:color w:val="auto"/>
        </w:rPr>
      </w:pPr>
    </w:p>
    <w:p>
      <w:pPr>
        <w:spacing w:after="0" w:line="238" w:lineRule="exact"/>
        <w:rPr>
          <w:sz w:val="20"/>
          <w:szCs w:val="20"/>
          <w:color w:val="auto"/>
        </w:rPr>
      </w:pPr>
    </w:p>
    <w:p>
      <w:pPr>
        <w:jc w:val="both"/>
        <w:ind w:right="100" w:firstLine="324"/>
        <w:spacing w:after="0"/>
        <w:rPr>
          <w:sz w:val="20"/>
          <w:szCs w:val="20"/>
          <w:color w:val="auto"/>
        </w:rPr>
      </w:pPr>
      <w:r>
        <w:rPr>
          <w:rFonts w:ascii="Arial" w:cs="Arial" w:eastAsia="Arial" w:hAnsi="Arial"/>
          <w:sz w:val="22"/>
          <w:szCs w:val="22"/>
          <w:color w:val="auto"/>
        </w:rPr>
        <w:t>As a result of all of the above, public shareholders may have more difficulty in protecting their interests in the face of actions taken by management, members of the board of directors or controlling shareholders than they would as public shareholders of a United States company.</w:t>
      </w:r>
    </w:p>
    <w:p>
      <w:pPr>
        <w:spacing w:after="0" w:line="213" w:lineRule="exact"/>
        <w:rPr>
          <w:sz w:val="20"/>
          <w:szCs w:val="20"/>
          <w:color w:val="auto"/>
        </w:rPr>
      </w:pPr>
    </w:p>
    <w:p>
      <w:pPr>
        <w:ind w:left="180" w:right="120"/>
        <w:spacing w:after="0"/>
        <w:rPr>
          <w:sz w:val="20"/>
          <w:szCs w:val="20"/>
          <w:color w:val="auto"/>
        </w:rPr>
      </w:pPr>
      <w:r>
        <w:rPr>
          <w:rFonts w:ascii="Arial" w:cs="Arial" w:eastAsia="Arial" w:hAnsi="Arial"/>
          <w:sz w:val="22"/>
          <w:szCs w:val="22"/>
          <w:b w:val="1"/>
          <w:bCs w:val="1"/>
          <w:i w:val="1"/>
          <w:iCs w:val="1"/>
          <w:color w:val="auto"/>
        </w:rPr>
        <w:t>Provisions in our amended and restated memorandum and articles of association may inhibit a takeover of us, which could limit the price investors might be willing to pay in the future for our Class A ordinary shares and could entrench management.</w:t>
      </w:r>
    </w:p>
    <w:p>
      <w:pPr>
        <w:spacing w:after="0" w:line="213" w:lineRule="exact"/>
        <w:rPr>
          <w:sz w:val="20"/>
          <w:szCs w:val="20"/>
          <w:color w:val="auto"/>
        </w:rPr>
      </w:pPr>
    </w:p>
    <w:p>
      <w:pPr>
        <w:ind w:right="120" w:firstLine="324"/>
        <w:spacing w:after="0" w:line="236" w:lineRule="auto"/>
        <w:rPr>
          <w:sz w:val="20"/>
          <w:szCs w:val="20"/>
          <w:color w:val="auto"/>
        </w:rPr>
      </w:pPr>
      <w:r>
        <w:rPr>
          <w:rFonts w:ascii="Arial" w:cs="Arial" w:eastAsia="Arial" w:hAnsi="Arial"/>
          <w:sz w:val="22"/>
          <w:szCs w:val="22"/>
          <w:color w:val="auto"/>
        </w:rPr>
        <w:t>Our amended and restated memorandum and articles of association contains provisions that may discourage unsolicited takeover proposals that shareholders may consider to be in their best interests. These provisions include two-year director terms and the ability of the board of directors to designate the terms of and issue new series of preferred shares, which may make more difficult the removal of management and may discourage transactions that otherwise could involve payment of a premium over prevailing market prices for our securities.</w:t>
      </w:r>
    </w:p>
    <w:p>
      <w:pPr>
        <w:spacing w:after="0" w:line="214" w:lineRule="exact"/>
        <w:rPr>
          <w:sz w:val="20"/>
          <w:szCs w:val="20"/>
          <w:color w:val="auto"/>
        </w:rPr>
      </w:pPr>
    </w:p>
    <w:p>
      <w:pPr>
        <w:jc w:val="both"/>
        <w:ind w:left="180" w:right="160"/>
        <w:spacing w:after="0"/>
        <w:rPr>
          <w:sz w:val="20"/>
          <w:szCs w:val="20"/>
          <w:color w:val="auto"/>
        </w:rPr>
      </w:pPr>
      <w:r>
        <w:rPr>
          <w:rFonts w:ascii="Arial" w:cs="Arial" w:eastAsia="Arial" w:hAnsi="Arial"/>
          <w:sz w:val="22"/>
          <w:szCs w:val="22"/>
          <w:b w:val="1"/>
          <w:bCs w:val="1"/>
          <w:i w:val="1"/>
          <w:iCs w:val="1"/>
          <w:color w:val="auto"/>
        </w:rPr>
        <w:t>After our initial business combination, it is possible that a majority of our directors and officers will live outside the United States and all or substantially all of our assets will be located outside the United States; therefore investors may not be able to enforce federal securities laws or their other legal rights.</w:t>
      </w:r>
    </w:p>
    <w:p>
      <w:pPr>
        <w:spacing w:after="0" w:line="213" w:lineRule="exact"/>
        <w:rPr>
          <w:sz w:val="20"/>
          <w:szCs w:val="20"/>
          <w:color w:val="auto"/>
        </w:rPr>
      </w:pPr>
    </w:p>
    <w:p>
      <w:pPr>
        <w:ind w:right="120" w:firstLine="324"/>
        <w:spacing w:after="0" w:line="249" w:lineRule="auto"/>
        <w:rPr>
          <w:sz w:val="20"/>
          <w:szCs w:val="20"/>
          <w:color w:val="auto"/>
        </w:rPr>
      </w:pPr>
      <w:r>
        <w:rPr>
          <w:rFonts w:ascii="Arial" w:cs="Arial" w:eastAsia="Arial" w:hAnsi="Arial"/>
          <w:sz w:val="21"/>
          <w:szCs w:val="21"/>
          <w:color w:val="auto"/>
        </w:rPr>
        <w:t>It is possible that after our initial business combination, a majority of our directors and officers will reside outside of the United States and all or substantially all of our assets will be located outside of the United States. As a result, it may be difficult, or in some cases not possible, for investors in the United States to enforce their legal rights, to effect service of process upon all of our directors or officers or to enforce judgments of United States courts predicated upon civil liabilities and criminal penalties on our directors and officers under United States laws.</w:t>
      </w:r>
    </w:p>
    <w:p>
      <w:pPr>
        <w:spacing w:after="0" w:line="205" w:lineRule="exact"/>
        <w:rPr>
          <w:sz w:val="20"/>
          <w:szCs w:val="20"/>
          <w:color w:val="auto"/>
        </w:rPr>
      </w:pPr>
    </w:p>
    <w:p>
      <w:pPr>
        <w:ind w:left="180" w:right="800"/>
        <w:spacing w:after="0" w:line="359" w:lineRule="auto"/>
        <w:rPr>
          <w:sz w:val="20"/>
          <w:szCs w:val="20"/>
          <w:color w:val="auto"/>
        </w:rPr>
      </w:pPr>
      <w:r>
        <w:rPr>
          <w:rFonts w:ascii="Arial" w:cs="Arial" w:eastAsia="Arial" w:hAnsi="Arial"/>
          <w:sz w:val="18"/>
          <w:szCs w:val="18"/>
          <w:b w:val="1"/>
          <w:bCs w:val="1"/>
          <w:i w:val="1"/>
          <w:iCs w:val="1"/>
          <w:color w:val="auto"/>
        </w:rPr>
        <w:t>If we effect a business combination with a company located outside of the United States, the laws applicable to such company will likely govern all of our material agreements and we may not be able to enforce our legal rights.</w:t>
      </w:r>
    </w:p>
    <w:p>
      <w:pPr>
        <w:spacing w:after="0" w:line="110" w:lineRule="exact"/>
        <w:rPr>
          <w:sz w:val="20"/>
          <w:szCs w:val="20"/>
          <w:color w:val="auto"/>
        </w:rPr>
      </w:pPr>
    </w:p>
    <w:p>
      <w:pPr>
        <w:ind w:right="240" w:firstLine="324"/>
        <w:spacing w:after="0" w:line="279" w:lineRule="auto"/>
        <w:rPr>
          <w:sz w:val="20"/>
          <w:szCs w:val="20"/>
          <w:color w:val="auto"/>
        </w:rPr>
      </w:pPr>
      <w:r>
        <w:rPr>
          <w:rFonts w:ascii="Arial" w:cs="Arial" w:eastAsia="Arial" w:hAnsi="Arial"/>
          <w:sz w:val="19"/>
          <w:szCs w:val="19"/>
          <w:color w:val="auto"/>
        </w:rPr>
        <w:t>If we effect a business combination with a company located outside of the United States, the laws of the country in which such company operates will likely govern almost all of the material agreements relating to its operations. We cannot assure you that the target business will be able to enforce any of its material agreements or that remedies will be available in this new jurisdiction. The system of laws and the enforcement of existing laws in such jurisdiction may not be as certain in implementation and interpretation as in the United States. The inability to enforce or obtain a remedy under any of our future agreements could result in a significant loss of business, business opportunities or capital.</w:t>
      </w:r>
    </w:p>
    <w:p>
      <w:pPr>
        <w:spacing w:after="0" w:line="177" w:lineRule="exact"/>
        <w:rPr>
          <w:sz w:val="20"/>
          <w:szCs w:val="20"/>
          <w:color w:val="auto"/>
        </w:rPr>
      </w:pPr>
    </w:p>
    <w:p>
      <w:pPr>
        <w:ind w:left="180" w:right="480"/>
        <w:spacing w:after="0" w:line="328" w:lineRule="auto"/>
        <w:rPr>
          <w:sz w:val="20"/>
          <w:szCs w:val="20"/>
          <w:color w:val="auto"/>
        </w:rPr>
      </w:pPr>
      <w:r>
        <w:rPr>
          <w:rFonts w:ascii="Arial" w:cs="Arial" w:eastAsia="Arial" w:hAnsi="Arial"/>
          <w:sz w:val="19"/>
          <w:szCs w:val="19"/>
          <w:b w:val="1"/>
          <w:bCs w:val="1"/>
          <w:i w:val="1"/>
          <w:iCs w:val="1"/>
          <w:color w:val="auto"/>
        </w:rPr>
        <w:t>If our management following our initial business combination is unfamiliar with U.S. securities laws, they may have to expend time and resources becoming familiar with such laws, which could lead to various regulatory issues.</w:t>
      </w:r>
    </w:p>
    <w:p>
      <w:pPr>
        <w:spacing w:after="0" w:line="132" w:lineRule="exact"/>
        <w:rPr>
          <w:sz w:val="20"/>
          <w:szCs w:val="20"/>
          <w:color w:val="auto"/>
        </w:rPr>
      </w:pPr>
    </w:p>
    <w:p>
      <w:pPr>
        <w:ind w:right="20" w:firstLine="324"/>
        <w:spacing w:after="0" w:line="249" w:lineRule="auto"/>
        <w:rPr>
          <w:sz w:val="20"/>
          <w:szCs w:val="20"/>
          <w:color w:val="auto"/>
        </w:rPr>
      </w:pPr>
      <w:r>
        <w:rPr>
          <w:rFonts w:ascii="Arial" w:cs="Arial" w:eastAsia="Arial" w:hAnsi="Arial"/>
          <w:sz w:val="21"/>
          <w:szCs w:val="21"/>
          <w:color w:val="auto"/>
        </w:rPr>
        <w:t>Following our initial business combination, any or all of our management could resign from their positions as officers of the Company, and the management of the target business at the time of the business combination could remain in place. Management of the target business may not be familiar with U.S. securities laws. If new management is unfamiliar with U.S. securities laws, they may have to expend time and resources becoming familiar with such laws. This could be expensive and time-consuming and could lead to various regulatory issues which may adversely affect our operations.</w:t>
      </w:r>
    </w:p>
    <w:p>
      <w:pPr>
        <w:sectPr>
          <w:pgSz w:w="11900" w:h="16838" w:orient="portrait"/>
          <w:cols w:equalWidth="0" w:num="1">
            <w:col w:w="11240"/>
          </w:cols>
          <w:pgMar w:left="320" w:top="122" w:right="339" w:bottom="1440" w:gutter="0" w:footer="0" w:header="0"/>
        </w:sect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51" w:name="page52"/>
    <w:bookmarkEnd w:id="51"/>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ind w:left="180" w:right="20"/>
        <w:spacing w:after="0" w:line="238" w:lineRule="auto"/>
        <w:rPr>
          <w:sz w:val="20"/>
          <w:szCs w:val="20"/>
          <w:color w:val="auto"/>
        </w:rPr>
      </w:pPr>
      <w:r>
        <w:rPr>
          <w:rFonts w:ascii="Arial" w:cs="Arial" w:eastAsia="Arial" w:hAnsi="Arial"/>
          <w:sz w:val="22"/>
          <w:szCs w:val="22"/>
          <w:b w:val="1"/>
          <w:bCs w:val="1"/>
          <w:i w:val="1"/>
          <w:iCs w:val="1"/>
          <w:color w:val="auto"/>
        </w:rPr>
        <w:t>After our initial business combination, substantially all of our assets may be located in a foreign country and substantially all of our revenue may be derived from our operations in such country. Accordingly, our results of operations and prospects will be subject, to a significant extent, to the economic, political, social and government policies, developments and conditions in the country in which we operate.</w:t>
      </w:r>
    </w:p>
    <w:p>
      <w:pPr>
        <w:spacing w:after="0" w:line="212" w:lineRule="exact"/>
        <w:rPr>
          <w:sz w:val="20"/>
          <w:szCs w:val="20"/>
          <w:color w:val="auto"/>
        </w:rPr>
      </w:pPr>
    </w:p>
    <w:p>
      <w:pPr>
        <w:ind w:right="80" w:firstLine="324"/>
        <w:spacing w:after="0" w:line="246" w:lineRule="auto"/>
        <w:rPr>
          <w:sz w:val="20"/>
          <w:szCs w:val="20"/>
          <w:color w:val="auto"/>
        </w:rPr>
      </w:pPr>
      <w:r>
        <w:rPr>
          <w:rFonts w:ascii="Arial" w:cs="Arial" w:eastAsia="Arial" w:hAnsi="Arial"/>
          <w:sz w:val="21"/>
          <w:szCs w:val="21"/>
          <w:color w:val="auto"/>
        </w:rPr>
        <w:t>The economic, political and social conditions, as well as government policies, of the country in which our operations are located could affect our business. Economic growth could be uneven, both geographically and among various sectors of the economy and such growth may not be sustained in the future. If in the future such country’s economy experiences a downturn or grows at a slower rate than expected, there may be less demand for spending in certain industries. A decrease in demand for spending in certain industries could materially and adversely affect our ability to find an attractive target business with which to consummate our initial business combination and if we effect our initial business combination, the ability of that target business to become profitable.</w:t>
      </w:r>
    </w:p>
    <w:p>
      <w:pPr>
        <w:spacing w:after="0" w:line="211" w:lineRule="exact"/>
        <w:rPr>
          <w:sz w:val="20"/>
          <w:szCs w:val="20"/>
          <w:color w:val="auto"/>
        </w:rPr>
      </w:pPr>
    </w:p>
    <w:p>
      <w:pPr>
        <w:ind w:left="180" w:right="840"/>
        <w:spacing w:after="0" w:line="274" w:lineRule="auto"/>
        <w:rPr>
          <w:sz w:val="20"/>
          <w:szCs w:val="20"/>
          <w:color w:val="auto"/>
        </w:rPr>
      </w:pPr>
      <w:r>
        <w:rPr>
          <w:rFonts w:ascii="Arial" w:cs="Arial" w:eastAsia="Arial" w:hAnsi="Arial"/>
          <w:sz w:val="21"/>
          <w:szCs w:val="21"/>
          <w:b w:val="1"/>
          <w:bCs w:val="1"/>
          <w:i w:val="1"/>
          <w:iCs w:val="1"/>
          <w:color w:val="auto"/>
        </w:rPr>
        <w:t>We will be subject to changing law and regulations regarding regulatory matters, corporate governance and public disclosure that have increased both our costs and the risk of non-compliance.</w:t>
      </w:r>
    </w:p>
    <w:p>
      <w:pPr>
        <w:spacing w:after="0" w:line="178" w:lineRule="exact"/>
        <w:rPr>
          <w:sz w:val="20"/>
          <w:szCs w:val="20"/>
          <w:color w:val="auto"/>
        </w:rPr>
      </w:pPr>
    </w:p>
    <w:p>
      <w:pPr>
        <w:ind w:right="40" w:firstLine="324"/>
        <w:spacing w:after="0" w:line="236" w:lineRule="auto"/>
        <w:rPr>
          <w:sz w:val="20"/>
          <w:szCs w:val="20"/>
          <w:color w:val="auto"/>
        </w:rPr>
      </w:pPr>
      <w:r>
        <w:rPr>
          <w:rFonts w:ascii="Arial" w:cs="Arial" w:eastAsia="Arial" w:hAnsi="Arial"/>
          <w:sz w:val="22"/>
          <w:szCs w:val="22"/>
          <w:color w:val="auto"/>
        </w:rPr>
        <w:t>We are subject to rules and regulations of various governing bodies, including, for example, the SEC, which are charged with the protection of investors and the oversight of companies whose securities are publicly traded, and to new and evolving regulatory measures under applicable law. Our efforts to comply with new and changing laws and regulations are likely to continue to result in increased general and administrative expenses and a diversion of management time and attention from our search for a business combination target to compliance activities.</w:t>
      </w:r>
    </w:p>
    <w:p>
      <w:pPr>
        <w:spacing w:after="0" w:line="214" w:lineRule="exact"/>
        <w:rPr>
          <w:sz w:val="20"/>
          <w:szCs w:val="20"/>
          <w:color w:val="auto"/>
        </w:rPr>
      </w:pPr>
    </w:p>
    <w:p>
      <w:pPr>
        <w:ind w:right="20" w:firstLine="324"/>
        <w:spacing w:after="0" w:line="236" w:lineRule="auto"/>
        <w:rPr>
          <w:sz w:val="20"/>
          <w:szCs w:val="20"/>
          <w:color w:val="auto"/>
        </w:rPr>
      </w:pPr>
      <w:r>
        <w:rPr>
          <w:rFonts w:ascii="Arial" w:cs="Arial" w:eastAsia="Arial" w:hAnsi="Arial"/>
          <w:sz w:val="22"/>
          <w:szCs w:val="22"/>
          <w:color w:val="auto"/>
        </w:rPr>
        <w:t>Moreover, because these laws, regulations and standards are subject to varying interpretations, their application in practice may evolve over time as new guidance becomes available. This evolution may result in continuing uncertainty regarding compliance matters and additional costs necessitated by ongoing revisions to our disclosure and governance practices. If we fail to address and comply with these regulations and any subsequent changes, we may be subject to penalty and our business may be harmed.</w:t>
      </w:r>
    </w:p>
    <w:p>
      <w:pPr>
        <w:spacing w:after="0" w:line="214" w:lineRule="exact"/>
        <w:rPr>
          <w:sz w:val="20"/>
          <w:szCs w:val="20"/>
          <w:color w:val="auto"/>
        </w:rPr>
      </w:pPr>
    </w:p>
    <w:p>
      <w:pPr>
        <w:ind w:left="180"/>
        <w:spacing w:after="0"/>
        <w:rPr>
          <w:sz w:val="20"/>
          <w:szCs w:val="20"/>
          <w:color w:val="auto"/>
        </w:rPr>
      </w:pPr>
      <w:r>
        <w:rPr>
          <w:rFonts w:ascii="Arial" w:cs="Arial" w:eastAsia="Arial" w:hAnsi="Arial"/>
          <w:sz w:val="22"/>
          <w:szCs w:val="22"/>
          <w:b w:val="1"/>
          <w:bCs w:val="1"/>
          <w:i w:val="1"/>
          <w:iCs w:val="1"/>
          <w:color w:val="auto"/>
        </w:rPr>
        <w:t>We may be delayed in processing mail received at our registered office.</w:t>
      </w:r>
    </w:p>
    <w:p>
      <w:pPr>
        <w:spacing w:after="0" w:line="233" w:lineRule="exact"/>
        <w:rPr>
          <w:sz w:val="20"/>
          <w:szCs w:val="20"/>
          <w:color w:val="auto"/>
        </w:rPr>
      </w:pPr>
    </w:p>
    <w:p>
      <w:pPr>
        <w:ind w:right="160" w:firstLine="324"/>
        <w:spacing w:after="0" w:line="238" w:lineRule="auto"/>
        <w:rPr>
          <w:sz w:val="20"/>
          <w:szCs w:val="20"/>
          <w:color w:val="auto"/>
        </w:rPr>
      </w:pPr>
      <w:r>
        <w:rPr>
          <w:rFonts w:ascii="Arial" w:cs="Arial" w:eastAsia="Arial" w:hAnsi="Arial"/>
          <w:sz w:val="22"/>
          <w:szCs w:val="22"/>
          <w:color w:val="auto"/>
        </w:rPr>
        <w:t>Mail addressed to the Company and received at its registered office will be forwarded unopened to the forwarding address supplied by Company to be dealt with. None of the Company, its directors, officers, advisors or service providers (including the organisation which provides registered office services in the Cayman Islands) will bear any responsibility for any delay howsoever caused in mail reaching the forwarding address.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Risks Relating to the Cannabis Industry</w:t>
      </w:r>
    </w:p>
    <w:p>
      <w:pPr>
        <w:spacing w:after="0" w:line="239" w:lineRule="exact"/>
        <w:rPr>
          <w:sz w:val="20"/>
          <w:szCs w:val="20"/>
          <w:color w:val="auto"/>
        </w:rPr>
      </w:pPr>
    </w:p>
    <w:p>
      <w:pPr>
        <w:ind w:firstLine="324"/>
        <w:spacing w:after="0" w:line="235" w:lineRule="auto"/>
        <w:rPr>
          <w:sz w:val="20"/>
          <w:szCs w:val="20"/>
          <w:color w:val="auto"/>
        </w:rPr>
      </w:pPr>
      <w:r>
        <w:rPr>
          <w:rFonts w:ascii="Arial" w:cs="Arial" w:eastAsia="Arial" w:hAnsi="Arial"/>
          <w:sz w:val="22"/>
          <w:szCs w:val="22"/>
          <w:color w:val="auto"/>
        </w:rPr>
        <w:t>Business combinations with companies operating in the cannabis industry entail special considerations and risks. If we complete a business combination with a target business in the cannabis industry, we will be subject to, and possibly adversely affected by, the risks set forth below. However, our efforts in identifying prospective target businesses may not be limited to the cannabis industry. Accordingly, if we acquire a target business in another industry, these risks will likely not affect us and we will be subject to other risks attendant with the specific industry of the target business which we acquire, none of which can be presently ascertained.</w:t>
      </w:r>
    </w:p>
    <w:p>
      <w:pPr>
        <w:spacing w:after="0" w:line="215" w:lineRule="exact"/>
        <w:rPr>
          <w:sz w:val="20"/>
          <w:szCs w:val="20"/>
          <w:color w:val="auto"/>
        </w:rPr>
      </w:pPr>
    </w:p>
    <w:p>
      <w:pPr>
        <w:ind w:left="180"/>
        <w:spacing w:after="0"/>
        <w:rPr>
          <w:sz w:val="20"/>
          <w:szCs w:val="20"/>
          <w:color w:val="auto"/>
        </w:rPr>
      </w:pPr>
      <w:r>
        <w:rPr>
          <w:rFonts w:ascii="Arial" w:cs="Arial" w:eastAsia="Arial" w:hAnsi="Arial"/>
          <w:sz w:val="22"/>
          <w:szCs w:val="22"/>
          <w:b w:val="1"/>
          <w:bCs w:val="1"/>
          <w:i w:val="1"/>
          <w:iCs w:val="1"/>
          <w:color w:val="auto"/>
        </w:rPr>
        <w:t>There are risks related to the cannabis industry to which we may become subject.</w:t>
      </w:r>
    </w:p>
    <w:p>
      <w:pPr>
        <w:spacing w:after="0" w:line="233" w:lineRule="exact"/>
        <w:rPr>
          <w:sz w:val="20"/>
          <w:szCs w:val="20"/>
          <w:color w:val="auto"/>
        </w:rPr>
      </w:pPr>
    </w:p>
    <w:p>
      <w:pPr>
        <w:ind w:right="80" w:firstLine="324"/>
        <w:spacing w:after="0" w:line="250" w:lineRule="auto"/>
        <w:rPr>
          <w:sz w:val="20"/>
          <w:szCs w:val="20"/>
          <w:color w:val="auto"/>
        </w:rPr>
      </w:pPr>
      <w:r>
        <w:rPr>
          <w:rFonts w:ascii="Arial" w:cs="Arial" w:eastAsia="Arial" w:hAnsi="Arial"/>
          <w:sz w:val="22"/>
          <w:szCs w:val="22"/>
          <w:color w:val="auto"/>
        </w:rPr>
        <w:t>If we are successful in completing a business combination with a target business with operations in the cannabis industry, we will be subject to, and possibly adversely affected by, the following risks:</w:t>
      </w:r>
    </w:p>
    <w:p>
      <w:pPr>
        <w:spacing w:after="0" w:line="209"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cannabis industry is extremely speculative and its legality is uncertain, making it subject to inherent risk;</w:t>
      </w:r>
    </w:p>
    <w:p>
      <w:pPr>
        <w:spacing w:after="0" w:line="252" w:lineRule="exact"/>
        <w:rPr>
          <w:rFonts w:ascii="Arial" w:cs="Arial" w:eastAsia="Arial" w:hAnsi="Arial"/>
          <w:sz w:val="18"/>
          <w:szCs w:val="18"/>
          <w:color w:val="auto"/>
        </w:rPr>
      </w:pPr>
    </w:p>
    <w:p>
      <w:pPr>
        <w:ind w:left="660" w:right="380" w:hanging="328"/>
        <w:spacing w:after="0" w:line="286" w:lineRule="auto"/>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Use of cannabis that is not in compliance with the U.S. Controlled Substances Act is illegal under U.S. federal law, and therefore, strict enforcement of U.S. federal laws regarding the use, cultivation, manufacturing, processing, transportation, distribution, storage and/or sale of cannabis would likely result in our inability to execute a business plan in the cannabis industry;</w:t>
      </w:r>
    </w:p>
    <w:p>
      <w:pPr>
        <w:sectPr>
          <w:pgSz w:w="11900" w:h="16838" w:orient="portrait"/>
          <w:cols w:equalWidth="0" w:num="1">
            <w:col w:w="11200"/>
          </w:cols>
          <w:pgMar w:left="320" w:top="122" w:right="379" w:bottom="1440" w:gutter="0" w:footer="0" w:header="0"/>
        </w:sectPr>
      </w:pPr>
    </w:p>
    <w:p>
      <w:pPr>
        <w:spacing w:after="0" w:line="377" w:lineRule="exact"/>
        <w:rPr>
          <w:sz w:val="20"/>
          <w:szCs w:val="20"/>
          <w:color w:val="auto"/>
        </w:rPr>
      </w:pPr>
    </w:p>
    <w:p>
      <w:pPr>
        <w:jc w:val="center"/>
        <w:ind w:right="-59"/>
        <w:spacing w:after="0"/>
        <w:rPr>
          <w:sz w:val="20"/>
          <w:szCs w:val="20"/>
          <w:color w:val="auto"/>
        </w:rPr>
      </w:pPr>
      <w:r>
        <w:rPr>
          <w:rFonts w:ascii="Arial" w:cs="Arial" w:eastAsia="Arial" w:hAnsi="Arial"/>
          <w:sz w:val="12"/>
          <w:szCs w:val="1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type w:val="continuous"/>
        </w:sectPr>
      </w:pPr>
    </w:p>
    <w:bookmarkStart w:id="52" w:name="page53"/>
    <w:bookmarkEnd w:id="52"/>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660" w:right="440" w:hanging="328"/>
        <w:spacing w:after="0" w:line="342" w:lineRule="auto"/>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Changes in the current policies of the Trump Administration and the U.S. Department of Justice resulting in heightened enforcement of U.S. federal cannabis laws may negatively impact our ability to pursue our prospective business operations and/or generate revenues;</w:t>
      </w:r>
    </w:p>
    <w:p>
      <w:pPr>
        <w:spacing w:after="0" w:line="150" w:lineRule="exact"/>
        <w:rPr>
          <w:rFonts w:ascii="Arial" w:cs="Arial" w:eastAsia="Arial" w:hAnsi="Arial"/>
          <w:sz w:val="16"/>
          <w:szCs w:val="16"/>
          <w:color w:val="auto"/>
        </w:rPr>
      </w:pPr>
    </w:p>
    <w:p>
      <w:pPr>
        <w:ind w:left="660" w:right="2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U.S. federal courts may refuse to recognize the enforceability of contracts pertaining to any business operations that are deemed illegal under U.S. federal law and, as a result, cannabis-related contracts could prove unenforceable in such courts;</w:t>
      </w:r>
    </w:p>
    <w:p>
      <w:pPr>
        <w:spacing w:after="0" w:line="197" w:lineRule="exact"/>
        <w:rPr>
          <w:rFonts w:ascii="Arial" w:cs="Arial" w:eastAsia="Arial" w:hAnsi="Arial"/>
          <w:sz w:val="18"/>
          <w:szCs w:val="18"/>
          <w:color w:val="auto"/>
        </w:rPr>
      </w:pPr>
    </w:p>
    <w:p>
      <w:pPr>
        <w:ind w:left="660" w:right="20" w:hanging="328"/>
        <w:spacing w:after="0" w:line="263"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Consumer complaints and negative publicity regarding cannabis related products and services could lead to political pressure on states to implement new laws and regulations that are adverse to the cannabis industry, to not modify existing, restrictive laws and regulations or to reverse current favorable laws and regulations relating to cannabis;</w:t>
      </w:r>
    </w:p>
    <w:p>
      <w:pPr>
        <w:spacing w:after="0" w:line="210" w:lineRule="exact"/>
        <w:rPr>
          <w:rFonts w:ascii="Arial" w:cs="Arial" w:eastAsia="Arial" w:hAnsi="Arial"/>
          <w:sz w:val="18"/>
          <w:szCs w:val="18"/>
          <w:color w:val="auto"/>
        </w:rPr>
      </w:pPr>
    </w:p>
    <w:p>
      <w:pPr>
        <w:ind w:left="660" w:right="18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Assets leased to cannabis businesses may be forfeited to the U.S. federal government in connection with government enforcement actions under U.S. federal law;</w:t>
      </w:r>
    </w:p>
    <w:p>
      <w:pPr>
        <w:spacing w:after="0" w:line="197" w:lineRule="exact"/>
        <w:rPr>
          <w:rFonts w:ascii="Arial" w:cs="Arial" w:eastAsia="Arial" w:hAnsi="Arial"/>
          <w:sz w:val="18"/>
          <w:szCs w:val="18"/>
          <w:color w:val="auto"/>
        </w:rPr>
      </w:pPr>
    </w:p>
    <w:p>
      <w:pPr>
        <w:ind w:left="660" w:right="32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U.S. Food and Drug Administration regulation of cannabis and the possible registration of facilities where cannabis is grown could negatively affect the cannabis industry, which could directly affect our financial condition;</w:t>
      </w:r>
    </w:p>
    <w:p>
      <w:pPr>
        <w:spacing w:after="0" w:line="197" w:lineRule="exact"/>
        <w:rPr>
          <w:rFonts w:ascii="Arial" w:cs="Arial" w:eastAsia="Arial" w:hAnsi="Arial"/>
          <w:sz w:val="18"/>
          <w:szCs w:val="18"/>
          <w:color w:val="auto"/>
        </w:rPr>
      </w:pPr>
    </w:p>
    <w:p>
      <w:pPr>
        <w:ind w:left="660" w:right="4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Due to our proposed involvement in the regulated cannabis industry, we may have a difficult time obtaining the various insurance policies that are needed to operate our business, which may expose us to additional risks and financial liabilities;</w:t>
      </w:r>
    </w:p>
    <w:p>
      <w:pPr>
        <w:spacing w:after="0" w:line="197" w:lineRule="exact"/>
        <w:rPr>
          <w:rFonts w:ascii="Arial" w:cs="Arial" w:eastAsia="Arial" w:hAnsi="Arial"/>
          <w:sz w:val="18"/>
          <w:szCs w:val="18"/>
          <w:color w:val="auto"/>
        </w:rPr>
      </w:pPr>
    </w:p>
    <w:p>
      <w:pPr>
        <w:ind w:left="660" w:right="20" w:hanging="328"/>
        <w:spacing w:after="0" w:line="263"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cannabis industry may face significant opposition from other industries that perceive cannabis products and services as competitive with their own, including but not limited to the pharmaceutical industry, adult beverage industry and tobacco industry, all of which are have powerful lobbying and financial resources;</w:t>
      </w:r>
    </w:p>
    <w:p>
      <w:pPr>
        <w:spacing w:after="0" w:line="210" w:lineRule="exact"/>
        <w:rPr>
          <w:rFonts w:ascii="Arial" w:cs="Arial" w:eastAsia="Arial" w:hAnsi="Arial"/>
          <w:sz w:val="18"/>
          <w:szCs w:val="18"/>
          <w:color w:val="auto"/>
        </w:rPr>
      </w:pPr>
    </w:p>
    <w:p>
      <w:pPr>
        <w:ind w:left="660" w:hanging="328"/>
        <w:spacing w:after="0" w:line="263"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Many national and regional banks have been resistant to doing business with cannabis companies because of the uncertainties presented by federal law and, as a result, we may have difficulty accessing the service of banks, which may inhibit our ability to open bank accounts or otherwise utilize traditional banking services;</w:t>
      </w:r>
    </w:p>
    <w:p>
      <w:pPr>
        <w:spacing w:after="0" w:line="210" w:lineRule="exact"/>
        <w:rPr>
          <w:rFonts w:ascii="Arial" w:cs="Arial" w:eastAsia="Arial" w:hAnsi="Arial"/>
          <w:sz w:val="18"/>
          <w:szCs w:val="18"/>
          <w:color w:val="auto"/>
        </w:rPr>
      </w:pPr>
    </w:p>
    <w:p>
      <w:pPr>
        <w:ind w:left="660" w:right="40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Due to our proposed involvement in the regulated cannabis industry, we may have a difficult time obtaining financing in connection with our initial business combination or thereafter;</w:t>
      </w:r>
    </w:p>
    <w:p>
      <w:pPr>
        <w:spacing w:after="0" w:line="197" w:lineRule="exact"/>
        <w:rPr>
          <w:rFonts w:ascii="Arial" w:cs="Arial" w:eastAsia="Arial" w:hAnsi="Arial"/>
          <w:sz w:val="18"/>
          <w:szCs w:val="18"/>
          <w:color w:val="auto"/>
        </w:rPr>
      </w:pPr>
    </w:p>
    <w:p>
      <w:pPr>
        <w:ind w:left="660" w:right="80" w:hanging="328"/>
        <w:spacing w:after="0" w:line="342" w:lineRule="auto"/>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Laws and regulations affecting the regulated cannabis industry are varied, broad in scope and subject to evolving interpretations, and may restrict the use of the properties we acquire or require certain additional regulatory approvals, which could materially adversely affect our operations;</w:t>
      </w:r>
    </w:p>
    <w:p>
      <w:pPr>
        <w:spacing w:after="0" w:line="150" w:lineRule="exact"/>
        <w:rPr>
          <w:rFonts w:ascii="Arial" w:cs="Arial" w:eastAsia="Arial" w:hAnsi="Arial"/>
          <w:sz w:val="16"/>
          <w:szCs w:val="16"/>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National securities exchanges may not list companies engaged in the cannabis industry;</w:t>
      </w:r>
    </w:p>
    <w:p>
      <w:pPr>
        <w:spacing w:after="0" w:line="252" w:lineRule="exact"/>
        <w:rPr>
          <w:rFonts w:ascii="Arial" w:cs="Arial" w:eastAsia="Arial" w:hAnsi="Arial"/>
          <w:sz w:val="18"/>
          <w:szCs w:val="18"/>
          <w:color w:val="auto"/>
        </w:rPr>
      </w:pPr>
    </w:p>
    <w:p>
      <w:pPr>
        <w:jc w:val="both"/>
        <w:ind w:left="660" w:right="40" w:hanging="328"/>
        <w:spacing w:after="0" w:line="263"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Section 280E of the Internal Revenue Code of 1986, as amended, which disallows a tax deduction for any amount paid or incurred in carrying on any trade or business that consists of trafficking in controlled substances prohibited by federal or state law, may prevent us from deducting certain business expenditures, which would increase our net taxable income; and</w:t>
      </w:r>
    </w:p>
    <w:p>
      <w:pPr>
        <w:spacing w:after="0" w:line="210"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Risks similar to those discussed above based on regulations of other jurisdictions in which a prospective target may operate or be organized in.</w:t>
      </w:r>
    </w:p>
    <w:p>
      <w:pPr>
        <w:spacing w:after="0" w:line="268" w:lineRule="exact"/>
        <w:rPr>
          <w:sz w:val="20"/>
          <w:szCs w:val="20"/>
          <w:color w:val="auto"/>
        </w:rPr>
      </w:pPr>
    </w:p>
    <w:p>
      <w:pPr>
        <w:ind w:left="340"/>
        <w:spacing w:after="0"/>
        <w:rPr>
          <w:sz w:val="20"/>
          <w:szCs w:val="20"/>
          <w:color w:val="auto"/>
        </w:rPr>
      </w:pPr>
      <w:r>
        <w:rPr>
          <w:rFonts w:ascii="Arial" w:cs="Arial" w:eastAsia="Arial" w:hAnsi="Arial"/>
          <w:sz w:val="22"/>
          <w:szCs w:val="22"/>
          <w:color w:val="auto"/>
        </w:rPr>
        <w:t>Any of the foregoing could have an adverse impact on our operations following a business combination.</w:t>
      </w:r>
    </w:p>
    <w:p>
      <w:pPr>
        <w:spacing w:after="0" w:line="200" w:lineRule="exact"/>
        <w:rPr>
          <w:sz w:val="20"/>
          <w:szCs w:val="20"/>
          <w:color w:val="auto"/>
        </w:rPr>
      </w:pP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53" w:name="page54"/>
    <w:bookmarkEnd w:id="53"/>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ind w:left="180"/>
        <w:spacing w:after="0"/>
        <w:rPr>
          <w:sz w:val="20"/>
          <w:szCs w:val="20"/>
          <w:color w:val="auto"/>
        </w:rPr>
      </w:pPr>
      <w:r>
        <w:rPr>
          <w:rFonts w:ascii="Arial" w:cs="Arial" w:eastAsia="Arial" w:hAnsi="Arial"/>
          <w:sz w:val="22"/>
          <w:szCs w:val="22"/>
          <w:b w:val="1"/>
          <w:bCs w:val="1"/>
          <w:i w:val="1"/>
          <w:iCs w:val="1"/>
          <w:color w:val="auto"/>
        </w:rPr>
        <w:t>Cannabis is currently illegal under U.S. federal law and in other jurisdictions</w:t>
      </w:r>
    </w:p>
    <w:p>
      <w:pPr>
        <w:spacing w:after="0" w:line="233" w:lineRule="exact"/>
        <w:rPr>
          <w:sz w:val="20"/>
          <w:szCs w:val="20"/>
          <w:color w:val="auto"/>
        </w:rPr>
      </w:pPr>
    </w:p>
    <w:p>
      <w:pPr>
        <w:ind w:right="40" w:firstLine="324"/>
        <w:spacing w:after="0" w:line="271" w:lineRule="auto"/>
        <w:rPr>
          <w:sz w:val="20"/>
          <w:szCs w:val="20"/>
          <w:color w:val="auto"/>
        </w:rPr>
      </w:pPr>
      <w:r>
        <w:rPr>
          <w:rFonts w:ascii="Arial" w:cs="Arial" w:eastAsia="Arial" w:hAnsi="Arial"/>
          <w:sz w:val="19"/>
          <w:szCs w:val="19"/>
          <w:color w:val="auto"/>
        </w:rPr>
        <w:t>If we complete a business combination with a target in the cannabis industry, our ability to achieve our business objectives will be contingent, in part, upon the legality of the cannabis industry, our compliance with regulatory requirements enacted by various governmental authorities, and our obtaining all regulatory approvals, where necessary. The laws and regulations governing cannabis are still developing, including in ways that we may not foresee. Although the Agriculture Improvement Act of 2018 has taken hemp and hemp derived cannabinoids out of the most restrictive class of controlled substances under U.S. federal law, marijuana is a schedule-1 controlled substance in the United States and is currently illegal under U.S. federal law. Even in those U.S. states in which the recreational use of marijuana has been legalized, its use remains a violation of U.S. federal law. Additionally, in 2018, a series of memoranda and guidance from 2009 to 2014 that generally directed U.S. Attorneys not to enforce federal marijuana laws against actors who were in compliance with state guidance were formally rescinded. Since U.S. federal laws criminalizing the use of marijuana preempt state laws that legalize its use, continuation of U.S. federal law in its current state regarding marijuana could limit our ability to do business in the United States. Similar issues of illegality apply in other countries. Any amendment to or replacement of existing laws to make them more onerous, or delays in amending or replacing existing laws to liberalize the legal possession and use of cannabis, or delays in obtaining, or the failure to obtain, any necessary regulatory approvals may significantly delay or impact negatively our ability to consummate an initial business combination, the markets in which we operate, products and sales initiatives and could have a material adverse effect on our business, liquidity, financial condition and/or results of operations.</w:t>
      </w:r>
    </w:p>
    <w:p>
      <w:pPr>
        <w:spacing w:after="0" w:line="200" w:lineRule="exact"/>
        <w:rPr>
          <w:sz w:val="20"/>
          <w:szCs w:val="20"/>
          <w:color w:val="auto"/>
        </w:rPr>
      </w:pPr>
    </w:p>
    <w:p>
      <w:pPr>
        <w:spacing w:after="0" w:line="230" w:lineRule="exact"/>
        <w:rPr>
          <w:sz w:val="20"/>
          <w:szCs w:val="20"/>
          <w:color w:val="auto"/>
        </w:rPr>
      </w:pPr>
    </w:p>
    <w:p>
      <w:pPr>
        <w:ind w:left="180" w:right="20"/>
        <w:spacing w:after="0" w:line="250" w:lineRule="auto"/>
        <w:rPr>
          <w:sz w:val="20"/>
          <w:szCs w:val="20"/>
          <w:color w:val="auto"/>
        </w:rPr>
      </w:pPr>
      <w:r>
        <w:rPr>
          <w:rFonts w:ascii="Arial" w:cs="Arial" w:eastAsia="Arial" w:hAnsi="Arial"/>
          <w:sz w:val="22"/>
          <w:szCs w:val="22"/>
          <w:b w:val="1"/>
          <w:bCs w:val="1"/>
          <w:i w:val="1"/>
          <w:iCs w:val="1"/>
          <w:color w:val="auto"/>
        </w:rPr>
        <w:t>Change in the laws, regulations and guidelines that impact the cannabis industry may cause adverse effects on our ability to successfully complete our initial business combination.</w:t>
      </w:r>
    </w:p>
    <w:p>
      <w:pPr>
        <w:spacing w:after="0" w:line="202" w:lineRule="exact"/>
        <w:rPr>
          <w:sz w:val="20"/>
          <w:szCs w:val="20"/>
          <w:color w:val="auto"/>
        </w:rPr>
      </w:pPr>
    </w:p>
    <w:p>
      <w:pPr>
        <w:ind w:right="60" w:firstLine="324"/>
        <w:spacing w:after="0" w:line="282" w:lineRule="auto"/>
        <w:rPr>
          <w:sz w:val="20"/>
          <w:szCs w:val="20"/>
          <w:color w:val="auto"/>
        </w:rPr>
      </w:pPr>
      <w:r>
        <w:rPr>
          <w:rFonts w:ascii="Arial" w:cs="Arial" w:eastAsia="Arial" w:hAnsi="Arial"/>
          <w:sz w:val="19"/>
          <w:szCs w:val="19"/>
          <w:color w:val="auto"/>
        </w:rPr>
        <w:t>We only intend to target companies that are compliant with all applicable laws and regulations within the jurisdictions in which they are located or operate and, in particular, we will not invest in, or consummate a business combination with, a target business that we determine has been operating, or whose business plan is to operate, in violation of U.S. federal laws, including the U.S. Controlled Substances Act. Changes to such laws, regulations and guidelines may cause adverse effects on our ability to identify and acquire a target company that meets these legal and regulatory requirements at the time of acquisition.</w:t>
      </w:r>
    </w:p>
    <w:p>
      <w:pPr>
        <w:spacing w:after="0" w:line="174" w:lineRule="exact"/>
        <w:rPr>
          <w:sz w:val="20"/>
          <w:szCs w:val="20"/>
          <w:color w:val="auto"/>
        </w:rPr>
      </w:pPr>
    </w:p>
    <w:p>
      <w:pPr>
        <w:ind w:left="180" w:right="300"/>
        <w:spacing w:after="0" w:line="250" w:lineRule="auto"/>
        <w:rPr>
          <w:sz w:val="20"/>
          <w:szCs w:val="20"/>
          <w:color w:val="auto"/>
        </w:rPr>
      </w:pPr>
      <w:r>
        <w:rPr>
          <w:rFonts w:ascii="Arial" w:cs="Arial" w:eastAsia="Arial" w:hAnsi="Arial"/>
          <w:sz w:val="22"/>
          <w:szCs w:val="22"/>
          <w:b w:val="1"/>
          <w:bCs w:val="1"/>
          <w:i w:val="1"/>
          <w:iCs w:val="1"/>
          <w:color w:val="auto"/>
        </w:rPr>
        <w:t>The nascent status of the medical and recreational cannabis industry involves unique circumstances and there can be no assurance that the industry will continue to exist or grow as currently anticipated.</w:t>
      </w:r>
    </w:p>
    <w:p>
      <w:pPr>
        <w:spacing w:after="0" w:line="202" w:lineRule="exact"/>
        <w:rPr>
          <w:sz w:val="20"/>
          <w:szCs w:val="20"/>
          <w:color w:val="auto"/>
        </w:rPr>
      </w:pPr>
    </w:p>
    <w:p>
      <w:pPr>
        <w:ind w:firstLine="324"/>
        <w:spacing w:after="0" w:line="238" w:lineRule="auto"/>
        <w:rPr>
          <w:sz w:val="20"/>
          <w:szCs w:val="20"/>
          <w:color w:val="auto"/>
        </w:rPr>
      </w:pPr>
      <w:r>
        <w:rPr>
          <w:rFonts w:ascii="Arial" w:cs="Arial" w:eastAsia="Arial" w:hAnsi="Arial"/>
          <w:sz w:val="22"/>
          <w:szCs w:val="22"/>
          <w:color w:val="auto"/>
        </w:rPr>
        <w:t>Cannabis industry businesses operate under a relatively new medical and adult-use recreational market. In addition to being subject to general business risks, a business involving an agricultural product and a regulated consumer product needs to continue to build brand, product awareness and operations through significant investments in strategy, production capacity, quality assurance and compliance with regulations.</w:t>
      </w:r>
    </w:p>
    <w:p>
      <w:pPr>
        <w:spacing w:after="0" w:line="212" w:lineRule="exact"/>
        <w:rPr>
          <w:sz w:val="20"/>
          <w:szCs w:val="20"/>
          <w:color w:val="auto"/>
        </w:rPr>
      </w:pPr>
    </w:p>
    <w:p>
      <w:pPr>
        <w:ind w:right="460" w:firstLine="324"/>
        <w:spacing w:after="0" w:line="274" w:lineRule="auto"/>
        <w:rPr>
          <w:sz w:val="20"/>
          <w:szCs w:val="20"/>
          <w:color w:val="auto"/>
        </w:rPr>
      </w:pPr>
      <w:r>
        <w:rPr>
          <w:rFonts w:ascii="Arial" w:cs="Arial" w:eastAsia="Arial" w:hAnsi="Arial"/>
          <w:sz w:val="21"/>
          <w:szCs w:val="21"/>
          <w:color w:val="auto"/>
        </w:rPr>
        <w:t>Competitive conditions, consumer tastes, patient requirements and spending patterns in this new industry and market are relatively unknown and may have unique circumstances that differ from existing industries and markets.</w:t>
      </w:r>
    </w:p>
    <w:p>
      <w:pPr>
        <w:spacing w:after="0" w:line="178" w:lineRule="exact"/>
        <w:rPr>
          <w:sz w:val="20"/>
          <w:szCs w:val="20"/>
          <w:color w:val="auto"/>
        </w:rPr>
      </w:pPr>
    </w:p>
    <w:p>
      <w:pPr>
        <w:ind w:firstLine="324"/>
        <w:spacing w:after="0" w:line="238" w:lineRule="auto"/>
        <w:rPr>
          <w:sz w:val="20"/>
          <w:szCs w:val="20"/>
          <w:color w:val="auto"/>
        </w:rPr>
      </w:pPr>
      <w:r>
        <w:rPr>
          <w:rFonts w:ascii="Arial" w:cs="Arial" w:eastAsia="Arial" w:hAnsi="Arial"/>
          <w:sz w:val="22"/>
          <w:szCs w:val="22"/>
          <w:color w:val="auto"/>
        </w:rPr>
        <w:t>There can be no assurance that this industry and market will continue to exist or grow as currently estimated or anticipated, or function and evolve in a manner consistent with management’s expectations and assumptions. Any event or circumstance that affects the medical or recreational cannabis industry and market could have a material adverse effect on our business, financial condition and results of operations.</w:t>
      </w:r>
    </w:p>
    <w:p>
      <w:pPr>
        <w:spacing w:after="0" w:line="212" w:lineRule="exact"/>
        <w:rPr>
          <w:sz w:val="20"/>
          <w:szCs w:val="20"/>
          <w:color w:val="auto"/>
        </w:rPr>
      </w:pPr>
    </w:p>
    <w:p>
      <w:pPr>
        <w:ind w:left="180" w:right="780"/>
        <w:spacing w:after="0" w:line="250" w:lineRule="auto"/>
        <w:rPr>
          <w:sz w:val="20"/>
          <w:szCs w:val="20"/>
          <w:color w:val="auto"/>
        </w:rPr>
      </w:pPr>
      <w:r>
        <w:rPr>
          <w:rFonts w:ascii="Arial" w:cs="Arial" w:eastAsia="Arial" w:hAnsi="Arial"/>
          <w:sz w:val="22"/>
          <w:szCs w:val="22"/>
          <w:b w:val="1"/>
          <w:bCs w:val="1"/>
          <w:i w:val="1"/>
          <w:iCs w:val="1"/>
          <w:color w:val="auto"/>
        </w:rPr>
        <w:t>Any potential growth in the cannabis industry continues to be subject to new and changing state and local laws and regulations.</w:t>
      </w:r>
    </w:p>
    <w:p>
      <w:pPr>
        <w:spacing w:after="0" w:line="202" w:lineRule="exact"/>
        <w:rPr>
          <w:sz w:val="20"/>
          <w:szCs w:val="20"/>
          <w:color w:val="auto"/>
        </w:rPr>
      </w:pPr>
    </w:p>
    <w:p>
      <w:pPr>
        <w:ind w:right="140" w:firstLine="324"/>
        <w:spacing w:after="0" w:line="245" w:lineRule="auto"/>
        <w:rPr>
          <w:sz w:val="20"/>
          <w:szCs w:val="20"/>
          <w:color w:val="auto"/>
        </w:rPr>
      </w:pPr>
      <w:r>
        <w:rPr>
          <w:rFonts w:ascii="Arial" w:cs="Arial" w:eastAsia="Arial" w:hAnsi="Arial"/>
          <w:sz w:val="21"/>
          <w:szCs w:val="21"/>
          <w:color w:val="auto"/>
        </w:rPr>
        <w:t>Continued development of the cannabis industry is dependent upon continued legislative legalization of cannabis at the state level, and a number of factors could slow or halt progress in this area, even where there is public support for legislative action. Any delay or halt in the passing or implementation of legislation legalizing cannabis use, or its cultivation, manufacturing, processing, transportation, distribution, storage and/or sale, or the re-criminalization or restriction of cannabis at the state level could negatively impact our business. Additionally, changes in applicable state and local laws or regulations, including zoning restrictions, permitting requirements and fees, could restrict the products and services we may offer or impose additional compliance costs on us or our customers. Violations of applicable laws, or allegations of such violations, could disrupt our business and result in a material adverse effect on our operations. We cannot predict the nature of any future laws, regulations, interpretations or applications, and it is possible that regulations may be enacted in the future that will be materially adverse to our business.</w:t>
      </w:r>
    </w:p>
    <w:p>
      <w:pPr>
        <w:sectPr>
          <w:pgSz w:w="11900" w:h="16838" w:orient="portrait"/>
          <w:cols w:equalWidth="0" w:num="1">
            <w:col w:w="11220"/>
          </w:cols>
          <w:pgMar w:left="320" w:top="122" w:right="359" w:bottom="1440" w:gutter="0" w:footer="0" w:header="0"/>
        </w:sectPr>
      </w:pP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type w:val="continuous"/>
        </w:sectPr>
      </w:pPr>
    </w:p>
    <w:bookmarkStart w:id="54" w:name="page55"/>
    <w:bookmarkEnd w:id="54"/>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Change in the laws, regulations and guidelines that impact our business may cause adverse effects on our operations.</w:t>
      </w:r>
    </w:p>
    <w:p>
      <w:pPr>
        <w:spacing w:after="0" w:line="268" w:lineRule="exact"/>
        <w:rPr>
          <w:sz w:val="20"/>
          <w:szCs w:val="20"/>
          <w:color w:val="auto"/>
        </w:rPr>
      </w:pPr>
    </w:p>
    <w:p>
      <w:pPr>
        <w:ind w:right="200" w:firstLine="324"/>
        <w:spacing w:after="0" w:line="287" w:lineRule="auto"/>
        <w:rPr>
          <w:sz w:val="20"/>
          <w:szCs w:val="20"/>
          <w:color w:val="auto"/>
        </w:rPr>
      </w:pPr>
      <w:r>
        <w:rPr>
          <w:rFonts w:ascii="Arial" w:cs="Arial" w:eastAsia="Arial" w:hAnsi="Arial"/>
          <w:sz w:val="19"/>
          <w:szCs w:val="19"/>
          <w:color w:val="auto"/>
        </w:rPr>
        <w:t>A cannabis products business will be subject to a variety of laws, regulations and guidelines relating to the marketing, acquisition, manufacture, management, transportation, storage, sale, labeling and disposal of cannabis as well as laws and regulations relating to health and safety, the conduct of operations and the protection of the environment. Changes to such laws, regulations and guidelines may cause adverse effects on the operations of our target company post-acquisition.</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22"/>
          <w:szCs w:val="22"/>
          <w:b w:val="1"/>
          <w:bCs w:val="1"/>
          <w:i w:val="1"/>
          <w:iCs w:val="1"/>
          <w:color w:val="auto"/>
        </w:rPr>
        <w:t>Operating in a highly regulated business will require significant resources.</w:t>
      </w:r>
    </w:p>
    <w:p>
      <w:pPr>
        <w:spacing w:after="0" w:line="233" w:lineRule="exact"/>
        <w:rPr>
          <w:sz w:val="20"/>
          <w:szCs w:val="20"/>
          <w:color w:val="auto"/>
        </w:rPr>
      </w:pPr>
    </w:p>
    <w:p>
      <w:pPr>
        <w:ind w:firstLine="324"/>
        <w:spacing w:after="0" w:line="252" w:lineRule="auto"/>
        <w:rPr>
          <w:sz w:val="20"/>
          <w:szCs w:val="20"/>
          <w:color w:val="auto"/>
        </w:rPr>
      </w:pPr>
      <w:r>
        <w:rPr>
          <w:rFonts w:ascii="Arial" w:cs="Arial" w:eastAsia="Arial" w:hAnsi="Arial"/>
          <w:sz w:val="21"/>
          <w:szCs w:val="21"/>
          <w:color w:val="auto"/>
        </w:rPr>
        <w:t>In the event we acquire a business involved in the production, distribution or sale of cannabis products, we will be operating in a highly regulated business. In such a case, we would expect a significant amount of management’s time and external resources to be used to comply with the laws, regulations and guidelines that impact our business, and changes thereto, and such compliance may place a significant burden on our management and other resources.</w:t>
      </w:r>
    </w:p>
    <w:p>
      <w:pPr>
        <w:spacing w:after="0" w:line="201" w:lineRule="exact"/>
        <w:rPr>
          <w:sz w:val="20"/>
          <w:szCs w:val="20"/>
          <w:color w:val="auto"/>
        </w:rPr>
      </w:pPr>
    </w:p>
    <w:p>
      <w:pPr>
        <w:ind w:left="180"/>
        <w:spacing w:after="0"/>
        <w:rPr>
          <w:sz w:val="20"/>
          <w:szCs w:val="20"/>
          <w:color w:val="auto"/>
        </w:rPr>
      </w:pPr>
      <w:r>
        <w:rPr>
          <w:rFonts w:ascii="Arial" w:cs="Arial" w:eastAsia="Arial" w:hAnsi="Arial"/>
          <w:sz w:val="22"/>
          <w:szCs w:val="22"/>
          <w:b w:val="1"/>
          <w:bCs w:val="1"/>
          <w:i w:val="1"/>
          <w:iCs w:val="1"/>
          <w:color w:val="auto"/>
        </w:rPr>
        <w:t>Differing regulatory environments may cause adverse effects on our operations.</w:t>
      </w:r>
    </w:p>
    <w:p>
      <w:pPr>
        <w:spacing w:after="0" w:line="233" w:lineRule="exact"/>
        <w:rPr>
          <w:sz w:val="20"/>
          <w:szCs w:val="20"/>
          <w:color w:val="auto"/>
        </w:rPr>
      </w:pPr>
    </w:p>
    <w:p>
      <w:pPr>
        <w:ind w:right="100" w:firstLine="324"/>
        <w:spacing w:after="0" w:line="282" w:lineRule="auto"/>
        <w:rPr>
          <w:sz w:val="20"/>
          <w:szCs w:val="20"/>
          <w:color w:val="auto"/>
        </w:rPr>
      </w:pPr>
      <w:r>
        <w:rPr>
          <w:rFonts w:ascii="Arial" w:cs="Arial" w:eastAsia="Arial" w:hAnsi="Arial"/>
          <w:sz w:val="19"/>
          <w:szCs w:val="19"/>
          <w:color w:val="auto"/>
        </w:rPr>
        <w:t>A cannabis products business will be subject to a variety of laws, regulations and guidelines in each of the jurisdictions in which it operates. Complying with multiple regulatory regimes will require additional resources and may limit our ability to expand into certain jurisdictions, even where cannabis may be legal. For example, even if cannabis were to become legal under U.S. federal law, companies operating in the cannabis industry would have to comply with applicable state and local laws, which may vary greatly between jurisdictions, increasing costs for companies that operate in multiple jurisdictions.</w:t>
      </w:r>
    </w:p>
    <w:p>
      <w:pPr>
        <w:spacing w:after="0" w:line="174" w:lineRule="exact"/>
        <w:rPr>
          <w:sz w:val="20"/>
          <w:szCs w:val="20"/>
          <w:color w:val="auto"/>
        </w:rPr>
      </w:pPr>
    </w:p>
    <w:p>
      <w:pPr>
        <w:ind w:left="180" w:right="400"/>
        <w:spacing w:after="0" w:line="250" w:lineRule="auto"/>
        <w:rPr>
          <w:sz w:val="20"/>
          <w:szCs w:val="20"/>
          <w:color w:val="auto"/>
        </w:rPr>
      </w:pPr>
      <w:r>
        <w:rPr>
          <w:rFonts w:ascii="Arial" w:cs="Arial" w:eastAsia="Arial" w:hAnsi="Arial"/>
          <w:sz w:val="22"/>
          <w:szCs w:val="22"/>
          <w:b w:val="1"/>
          <w:bCs w:val="1"/>
          <w:i w:val="1"/>
          <w:iCs w:val="1"/>
          <w:color w:val="auto"/>
        </w:rPr>
        <w:t>We may operate a highly regulated business and any failure or significant delay in obtaining regulatory approvals could adversely affect our ability to conduct our business.</w:t>
      </w:r>
    </w:p>
    <w:p>
      <w:pPr>
        <w:spacing w:after="0" w:line="202" w:lineRule="exact"/>
        <w:rPr>
          <w:sz w:val="20"/>
          <w:szCs w:val="20"/>
          <w:color w:val="auto"/>
        </w:rPr>
      </w:pPr>
    </w:p>
    <w:p>
      <w:pPr>
        <w:ind w:right="60" w:firstLine="324"/>
        <w:spacing w:after="0" w:line="277" w:lineRule="auto"/>
        <w:rPr>
          <w:sz w:val="20"/>
          <w:szCs w:val="20"/>
          <w:color w:val="auto"/>
        </w:rPr>
      </w:pPr>
      <w:r>
        <w:rPr>
          <w:rFonts w:ascii="Arial" w:cs="Arial" w:eastAsia="Arial" w:hAnsi="Arial"/>
          <w:sz w:val="19"/>
          <w:szCs w:val="19"/>
          <w:color w:val="auto"/>
        </w:rPr>
        <w:t>In the event we acquire a business involved in the production, distribution or sale of cannabis products, achievement of our business objectives will be contingent, in part, upon compliance with the regulatory requirements enacted by applicable government authorities and obtaining all regulatory approvals, where necessary, for the sale of our products. We cannot predict the time required to secure all appropriate regulatory approvals for our products, additional restrictions that may be placed on our business or the extent of testing and documentation that may be required by government authorities. Any delays in obtaining, or failure to obtain regulatory approvals would significantly delay the development of markets and products and could have a material adverse effect on our business, results of operation and financial condition.</w:t>
      </w:r>
    </w:p>
    <w:p>
      <w:pPr>
        <w:spacing w:after="0" w:line="179" w:lineRule="exact"/>
        <w:rPr>
          <w:sz w:val="20"/>
          <w:szCs w:val="20"/>
          <w:color w:val="auto"/>
        </w:rPr>
      </w:pPr>
    </w:p>
    <w:p>
      <w:pPr>
        <w:ind w:left="180"/>
        <w:spacing w:after="0"/>
        <w:rPr>
          <w:sz w:val="20"/>
          <w:szCs w:val="20"/>
          <w:color w:val="auto"/>
        </w:rPr>
      </w:pPr>
      <w:r>
        <w:rPr>
          <w:rFonts w:ascii="Arial" w:cs="Arial" w:eastAsia="Arial" w:hAnsi="Arial"/>
          <w:sz w:val="22"/>
          <w:szCs w:val="22"/>
          <w:b w:val="1"/>
          <w:bCs w:val="1"/>
          <w:i w:val="1"/>
          <w:iCs w:val="1"/>
          <w:color w:val="auto"/>
        </w:rPr>
        <w:t>U.S. regulations relating to hemp-derived CBD products are unclear and rapidly evolving.</w:t>
      </w:r>
    </w:p>
    <w:p>
      <w:pPr>
        <w:spacing w:after="0" w:line="233" w:lineRule="exact"/>
        <w:rPr>
          <w:sz w:val="20"/>
          <w:szCs w:val="20"/>
          <w:color w:val="auto"/>
        </w:rPr>
      </w:pPr>
    </w:p>
    <w:p>
      <w:pPr>
        <w:ind w:right="120" w:firstLine="324"/>
        <w:spacing w:after="0" w:line="277" w:lineRule="auto"/>
        <w:rPr>
          <w:sz w:val="20"/>
          <w:szCs w:val="20"/>
          <w:color w:val="auto"/>
        </w:rPr>
      </w:pPr>
      <w:r>
        <w:rPr>
          <w:rFonts w:ascii="Arial" w:cs="Arial" w:eastAsia="Arial" w:hAnsi="Arial"/>
          <w:sz w:val="19"/>
          <w:szCs w:val="19"/>
          <w:color w:val="auto"/>
        </w:rPr>
        <w:t>We may acquire a business involved in the production, distribution or sale of hemp-derived CBD products. Participation in the market for hemp-derived CBD products in the United States and elsewhere may require us to employ novel approaches to existing regulatory pathways. Although the passage of the Farm Bill in December 2018 legalized the cultivation of hemp in the United States to produce products containing CBD and other non-THC cannabinoids, it is unclear how the U.S. Food and Drug Administration (“FDA”) will respond to the approach taken by a target business we acquire, or whether the FDA will propose or implement new or additional regulations. In addition, such products may be subject to regulation at the state or local levels. Unforeseen regulatory obstacles may hinder our ability to successfully compete in the market for such products.</w:t>
      </w:r>
    </w:p>
    <w:p>
      <w:pPr>
        <w:spacing w:after="0" w:line="179" w:lineRule="exact"/>
        <w:rPr>
          <w:sz w:val="20"/>
          <w:szCs w:val="20"/>
          <w:color w:val="auto"/>
        </w:rPr>
      </w:pPr>
    </w:p>
    <w:p>
      <w:pPr>
        <w:ind w:left="180" w:right="180"/>
        <w:spacing w:after="0" w:line="250" w:lineRule="auto"/>
        <w:rPr>
          <w:sz w:val="20"/>
          <w:szCs w:val="20"/>
          <w:color w:val="auto"/>
        </w:rPr>
      </w:pPr>
      <w:r>
        <w:rPr>
          <w:rFonts w:ascii="Arial" w:cs="Arial" w:eastAsia="Arial" w:hAnsi="Arial"/>
          <w:sz w:val="22"/>
          <w:szCs w:val="22"/>
          <w:b w:val="1"/>
          <w:bCs w:val="1"/>
          <w:i w:val="1"/>
          <w:iCs w:val="1"/>
          <w:color w:val="auto"/>
        </w:rPr>
        <w:t>Marketing constraints under regulatory frameworks may limit a potential target cannabis company’s ability to compete for market share in a manner similar to that of companies in other industries.</w:t>
      </w:r>
    </w:p>
    <w:p>
      <w:pPr>
        <w:spacing w:after="0" w:line="202" w:lineRule="exact"/>
        <w:rPr>
          <w:sz w:val="20"/>
          <w:szCs w:val="20"/>
          <w:color w:val="auto"/>
        </w:rPr>
      </w:pPr>
    </w:p>
    <w:p>
      <w:pPr>
        <w:ind w:right="160" w:firstLine="324"/>
        <w:spacing w:after="0" w:line="246" w:lineRule="auto"/>
        <w:rPr>
          <w:sz w:val="20"/>
          <w:szCs w:val="20"/>
          <w:color w:val="auto"/>
        </w:rPr>
      </w:pPr>
      <w:r>
        <w:rPr>
          <w:rFonts w:ascii="Arial" w:cs="Arial" w:eastAsia="Arial" w:hAnsi="Arial"/>
          <w:sz w:val="21"/>
          <w:szCs w:val="21"/>
          <w:color w:val="auto"/>
        </w:rPr>
        <w:t>The development of a potential target cannabis company’s business and operating results may be hindered by applicable restrictions on sales and marketing activities imposed by regulations applicable to the cannabis industry. For example, the regulatory environment in Canada would limit a target cannabis company’s ability to compete for market share in a manner similar to that of companies in other industries. Additionally, Canadian regulations impose further packaging, labeling and advertising restrictions on producers in the adult-use recreational cannabis market. If a target cannabis company is unable to effectively market its products and compete for market share, or if the costs of compliance with government legislation and regulation cannot be absorbed through increased selling prices for its products, its sales and operating results could be adversely affected.</w:t>
      </w:r>
    </w:p>
    <w:p>
      <w:pPr>
        <w:sectPr>
          <w:pgSz w:w="11900" w:h="16838" w:orient="portrait"/>
          <w:cols w:equalWidth="0" w:num="1">
            <w:col w:w="11240"/>
          </w:cols>
          <w:pgMar w:left="320" w:top="122" w:right="339" w:bottom="144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55" w:name="page56"/>
    <w:bookmarkEnd w:id="55"/>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ind w:left="180"/>
        <w:spacing w:after="0"/>
        <w:rPr>
          <w:sz w:val="20"/>
          <w:szCs w:val="20"/>
          <w:color w:val="auto"/>
        </w:rPr>
      </w:pPr>
      <w:r>
        <w:rPr>
          <w:rFonts w:ascii="Arial" w:cs="Arial" w:eastAsia="Arial" w:hAnsi="Arial"/>
          <w:sz w:val="22"/>
          <w:szCs w:val="22"/>
          <w:b w:val="1"/>
          <w:bCs w:val="1"/>
          <w:i w:val="1"/>
          <w:iCs w:val="1"/>
          <w:color w:val="auto"/>
        </w:rPr>
        <w:t>We may become involved in regulatory or agency proceedings, investigations and audits.</w:t>
      </w:r>
    </w:p>
    <w:p>
      <w:pPr>
        <w:spacing w:after="0" w:line="233" w:lineRule="exact"/>
        <w:rPr>
          <w:sz w:val="20"/>
          <w:szCs w:val="20"/>
          <w:color w:val="auto"/>
        </w:rPr>
      </w:pPr>
    </w:p>
    <w:p>
      <w:pPr>
        <w:ind w:right="120" w:firstLine="324"/>
        <w:spacing w:after="0" w:line="245" w:lineRule="auto"/>
        <w:rPr>
          <w:sz w:val="20"/>
          <w:szCs w:val="20"/>
          <w:color w:val="auto"/>
        </w:rPr>
      </w:pPr>
      <w:r>
        <w:rPr>
          <w:rFonts w:ascii="Arial" w:cs="Arial" w:eastAsia="Arial" w:hAnsi="Arial"/>
          <w:sz w:val="21"/>
          <w:szCs w:val="21"/>
          <w:color w:val="auto"/>
        </w:rPr>
        <w:t>Businesses in the cannabis industry, and the business of the suppliers from which we may acquire the products we may sell, require compliance with many laws and regulations. Failure to comply with these laws and regulations could subject us or such suppliers to regulatory or agency proceedings or investigations and could also lead to damage awards, fines and penalties. We or such suppliers may become involved in a number of government or agency proceedings, investigations and audits. The outcome of any regulatory or agency proceedings, investigations, audits, and other contingencies could harm our reputation or the reputations of the brands that we may sell, require us to take, or refrain from taking, actions that could harm our operations or require us to pay substantial amounts of money, harming our financial condition. There can be no assurance that any pending or future regulatory or agency proceedings, investigations and audits will not result in substantial costs or a diversion of management’s attention and resources or have a material adverse impact on our business, financial condition and results of operations.</w:t>
      </w:r>
    </w:p>
    <w:p>
      <w:pPr>
        <w:spacing w:after="0" w:line="208" w:lineRule="exact"/>
        <w:rPr>
          <w:sz w:val="20"/>
          <w:szCs w:val="20"/>
          <w:color w:val="auto"/>
        </w:rPr>
      </w:pPr>
    </w:p>
    <w:p>
      <w:pPr>
        <w:jc w:val="both"/>
        <w:ind w:left="180" w:right="360"/>
        <w:spacing w:after="0" w:line="257" w:lineRule="auto"/>
        <w:rPr>
          <w:sz w:val="20"/>
          <w:szCs w:val="20"/>
          <w:color w:val="auto"/>
        </w:rPr>
      </w:pPr>
      <w:r>
        <w:rPr>
          <w:rFonts w:ascii="Arial" w:cs="Arial" w:eastAsia="Arial" w:hAnsi="Arial"/>
          <w:sz w:val="21"/>
          <w:szCs w:val="21"/>
          <w:b w:val="1"/>
          <w:bCs w:val="1"/>
          <w:i w:val="1"/>
          <w:iCs w:val="1"/>
          <w:color w:val="auto"/>
        </w:rPr>
        <w:t>Research in the United States, Canada and internationally regarding the medical benefits, viability, safety, efficacy and dosing of cannabis or isolated cannabinoids remains in relatively early stages. There have been few clinical trials on the benefits of cannabis or isolated cannabinoids conducted by us or by others.</w:t>
      </w:r>
    </w:p>
    <w:p>
      <w:pPr>
        <w:spacing w:after="0" w:line="196" w:lineRule="exact"/>
        <w:rPr>
          <w:sz w:val="20"/>
          <w:szCs w:val="20"/>
          <w:color w:val="auto"/>
        </w:rPr>
      </w:pPr>
    </w:p>
    <w:p>
      <w:pPr>
        <w:ind w:firstLine="324"/>
        <w:spacing w:after="0" w:line="272" w:lineRule="auto"/>
        <w:rPr>
          <w:sz w:val="20"/>
          <w:szCs w:val="20"/>
          <w:color w:val="auto"/>
        </w:rPr>
      </w:pPr>
      <w:r>
        <w:rPr>
          <w:rFonts w:ascii="Arial" w:cs="Arial" w:eastAsia="Arial" w:hAnsi="Arial"/>
          <w:sz w:val="19"/>
          <w:szCs w:val="19"/>
          <w:color w:val="auto"/>
        </w:rPr>
        <w:t>Research in the United States, Canada and internationally regarding the medical benefits, viability, safety, efficacy and dosing of cannabis or isolated cannabinoids (such as CBD and THC) remains in relatively early stages. Historically stringent regulations related to cannabis have made conducting medical and academic studies challenging, and there have been relatively few clinical trials on the benefits of cannabis or isolated cannabinoids to date. Many statements concerning the potential medical benefits of cannabinoids are based on published articles and reports, and as a result, such statements are subject to the experimental parameters, qualifications and limitations in the studies that have been completed. In the event we acquire a target business involving medical cannabis, future research and clinical trials may draw different or negative conclusions regarding the medical benefits, viability, safety, efficacy, dosing or other facts and perceptions related to medical cannabis, which could adversely affect social acceptance of cannabis and the demand for our products. We may be subject to liability for risks against which we cannot insure or against which we may elect not to insure due to the high cost of insurance premiums or other factors. The payment of any such liabilities would reduce the funds available for our normal business activities. Payment of liabilities for which we do not carry insurance may have a material adverse effect on our financial position and operations.</w:t>
      </w:r>
    </w:p>
    <w:p>
      <w:pPr>
        <w:spacing w:after="0" w:line="188" w:lineRule="exact"/>
        <w:rPr>
          <w:sz w:val="20"/>
          <w:szCs w:val="20"/>
          <w:color w:val="auto"/>
        </w:rPr>
      </w:pPr>
    </w:p>
    <w:p>
      <w:pPr>
        <w:ind w:left="180" w:right="40"/>
        <w:spacing w:after="0" w:line="328" w:lineRule="auto"/>
        <w:rPr>
          <w:sz w:val="20"/>
          <w:szCs w:val="20"/>
          <w:color w:val="auto"/>
        </w:rPr>
      </w:pPr>
      <w:r>
        <w:rPr>
          <w:rFonts w:ascii="Arial" w:cs="Arial" w:eastAsia="Arial" w:hAnsi="Arial"/>
          <w:sz w:val="19"/>
          <w:szCs w:val="19"/>
          <w:b w:val="1"/>
          <w:bCs w:val="1"/>
          <w:i w:val="1"/>
          <w:iCs w:val="1"/>
          <w:color w:val="auto"/>
        </w:rPr>
        <w:t>With respect to target businesses operating in the medical and adult-use cannabis markets, the illicit supply of cannabis and cannabis-based products may reduce our sales and impede our ability to succeed in such markets.</w:t>
      </w:r>
    </w:p>
    <w:p>
      <w:pPr>
        <w:spacing w:after="0" w:line="132" w:lineRule="exact"/>
        <w:rPr>
          <w:sz w:val="20"/>
          <w:szCs w:val="20"/>
          <w:color w:val="auto"/>
        </w:rPr>
      </w:pPr>
    </w:p>
    <w:p>
      <w:pPr>
        <w:jc w:val="both"/>
        <w:ind w:right="200" w:firstLine="324"/>
        <w:spacing w:after="0"/>
        <w:rPr>
          <w:sz w:val="20"/>
          <w:szCs w:val="20"/>
          <w:color w:val="auto"/>
        </w:rPr>
      </w:pPr>
      <w:r>
        <w:rPr>
          <w:rFonts w:ascii="Arial" w:cs="Arial" w:eastAsia="Arial" w:hAnsi="Arial"/>
          <w:sz w:val="22"/>
          <w:szCs w:val="22"/>
          <w:color w:val="auto"/>
        </w:rPr>
        <w:t>In the event we acquire a target business operating in the medical and adult-use cannabis markets, we may face competition from unlicensed and unregulated market participants, including illegal dispensaries and black market suppliers selling cannabis and cannabis-based products.</w:t>
      </w:r>
    </w:p>
    <w:p>
      <w:pPr>
        <w:spacing w:after="0" w:line="213" w:lineRule="exact"/>
        <w:rPr>
          <w:sz w:val="20"/>
          <w:szCs w:val="20"/>
          <w:color w:val="auto"/>
        </w:rPr>
      </w:pPr>
    </w:p>
    <w:p>
      <w:pPr>
        <w:ind w:right="140" w:firstLine="324"/>
        <w:spacing w:after="0" w:line="270" w:lineRule="auto"/>
        <w:rPr>
          <w:sz w:val="20"/>
          <w:szCs w:val="20"/>
          <w:color w:val="auto"/>
        </w:rPr>
      </w:pPr>
      <w:r>
        <w:rPr>
          <w:rFonts w:ascii="Arial" w:cs="Arial" w:eastAsia="Arial" w:hAnsi="Arial"/>
          <w:sz w:val="19"/>
          <w:szCs w:val="19"/>
          <w:color w:val="auto"/>
        </w:rPr>
        <w:t>Even with the legalization of medical and adult-use cannabis in certain jurisdictions, black market operations remain abundant and are a substantial competitor to cannabis-related businesses. In addition, illegal dispensaries and black market participants may be able to (i) offer products with higher concentrations of active ingredients that are either expressly prohibited or impracticable to produce under applicable regulations, (ii) use delivery methods, including edibles, concentrates and extract vaporizers, that we may be prohibited from offering to individuals in such jurisdictions, (iii) brand products more explicitly, and</w:t>
      </w:r>
    </w:p>
    <w:p>
      <w:pPr>
        <w:spacing w:after="0" w:line="4" w:lineRule="exact"/>
        <w:rPr>
          <w:sz w:val="20"/>
          <w:szCs w:val="20"/>
          <w:color w:val="auto"/>
        </w:rPr>
      </w:pPr>
    </w:p>
    <w:p>
      <w:pPr>
        <w:ind w:right="280" w:firstLine="8"/>
        <w:spacing w:after="0" w:line="234" w:lineRule="auto"/>
        <w:tabs>
          <w:tab w:leader="none" w:pos="366" w:val="left"/>
        </w:tabs>
        <w:numPr>
          <w:ilvl w:val="0"/>
          <w:numId w:val="23"/>
        </w:numPr>
        <w:rPr>
          <w:rFonts w:ascii="Arial" w:cs="Arial" w:eastAsia="Arial" w:hAnsi="Arial"/>
          <w:sz w:val="22"/>
          <w:szCs w:val="22"/>
          <w:color w:val="auto"/>
        </w:rPr>
      </w:pPr>
      <w:r>
        <w:rPr>
          <w:rFonts w:ascii="Arial" w:cs="Arial" w:eastAsia="Arial" w:hAnsi="Arial"/>
          <w:sz w:val="22"/>
          <w:szCs w:val="22"/>
          <w:color w:val="auto"/>
        </w:rPr>
        <w:t>describe/discuss intended effects of products. As these illicit market participants do not comply with the regulations governing the medical and adult-use cannabis industry in such jurisdictions, their operations may also have significantly lower costs.</w:t>
      </w:r>
    </w:p>
    <w:p>
      <w:pPr>
        <w:spacing w:after="0" w:line="214" w:lineRule="exact"/>
        <w:rPr>
          <w:sz w:val="20"/>
          <w:szCs w:val="20"/>
          <w:color w:val="auto"/>
        </w:rPr>
      </w:pPr>
    </w:p>
    <w:p>
      <w:pPr>
        <w:ind w:right="40" w:firstLine="324"/>
        <w:spacing w:after="0" w:line="279" w:lineRule="auto"/>
        <w:rPr>
          <w:sz w:val="20"/>
          <w:szCs w:val="20"/>
          <w:color w:val="auto"/>
        </w:rPr>
      </w:pPr>
      <w:r>
        <w:rPr>
          <w:rFonts w:ascii="Arial" w:cs="Arial" w:eastAsia="Arial" w:hAnsi="Arial"/>
          <w:sz w:val="19"/>
          <w:szCs w:val="19"/>
          <w:color w:val="auto"/>
        </w:rPr>
        <w:t>As a result of the competition presented by the black market for cannabis, any unwillingness by consumers currently utilizing these unlicensed distribution channels to begin purchasing from legal producers for any reason or any inability or unwillingness of law enforcement authorities to enforce laws prohibiting the unlicensed cultivation and sale of cannabis and cannabis-based products could (i) result in the perpetuation of the black market for cannabis, (ii) adversely affect our market share and (iii) adversely impact the public perception of cannabis use and licensed cannabis producers and dealers, all of which would have a materially adverse effect on our business, operations and financial condition.</w:t>
      </w:r>
    </w:p>
    <w:p>
      <w:pPr>
        <w:sectPr>
          <w:pgSz w:w="11900" w:h="16838" w:orient="portrait"/>
          <w:cols w:equalWidth="0" w:num="1">
            <w:col w:w="11220"/>
          </w:cols>
          <w:pgMar w:left="320" w:top="122" w:right="359" w:bottom="1440" w:gutter="0" w:footer="0" w:header="0"/>
        </w:sectPr>
      </w:pPr>
    </w:p>
    <w:p>
      <w:pPr>
        <w:spacing w:after="0" w:line="369"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type w:val="continuous"/>
        </w:sectPr>
      </w:pPr>
    </w:p>
    <w:bookmarkStart w:id="56" w:name="page57"/>
    <w:bookmarkEnd w:id="56"/>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ind w:left="180" w:right="120"/>
        <w:spacing w:after="0" w:line="250" w:lineRule="auto"/>
        <w:rPr>
          <w:sz w:val="20"/>
          <w:szCs w:val="20"/>
          <w:color w:val="auto"/>
        </w:rPr>
      </w:pPr>
      <w:r>
        <w:rPr>
          <w:rFonts w:ascii="Arial" w:cs="Arial" w:eastAsia="Arial" w:hAnsi="Arial"/>
          <w:sz w:val="22"/>
          <w:szCs w:val="22"/>
          <w:b w:val="1"/>
          <w:bCs w:val="1"/>
          <w:i w:val="1"/>
          <w:iCs w:val="1"/>
          <w:color w:val="auto"/>
        </w:rPr>
        <w:t>If recreational or medical-use consumers elect to produce cannabis for their own purposes, it could reduce the addressable market for a potential target cannabis company’s products.</w:t>
      </w:r>
    </w:p>
    <w:p>
      <w:pPr>
        <w:spacing w:after="0" w:line="202" w:lineRule="exact"/>
        <w:rPr>
          <w:sz w:val="20"/>
          <w:szCs w:val="20"/>
          <w:color w:val="auto"/>
        </w:rPr>
      </w:pPr>
    </w:p>
    <w:p>
      <w:pPr>
        <w:ind w:right="60" w:firstLine="324"/>
        <w:spacing w:after="0" w:line="277" w:lineRule="auto"/>
        <w:rPr>
          <w:sz w:val="20"/>
          <w:szCs w:val="20"/>
          <w:color w:val="auto"/>
        </w:rPr>
      </w:pPr>
      <w:r>
        <w:rPr>
          <w:rFonts w:ascii="Arial" w:cs="Arial" w:eastAsia="Arial" w:hAnsi="Arial"/>
          <w:sz w:val="19"/>
          <w:szCs w:val="19"/>
          <w:color w:val="auto"/>
        </w:rPr>
        <w:t>Cannabis regulations may permit the end user to produce cannabis for their own purposes. For example, under cannabis regulations in Canada, three options are available for an individual to obtain cannabis for medical purposes: (i) registering with a holder of a license to sell for medical purposes and purchasing products from that entity; (ii) register with Health Canada to produce a limited amount of cannabis for their own medical purposes; or (iii) designate someone else to produce cannabis for them. It is possible that the ability of an end user to produce cannabis for their own purposes, such as under (ii) and (iii) above, could significantly reduce the addressable market for a potential target cannabis company’s products and could materially and adversely affect the business, financial condition and results of operations of a potential target cannabis company.</w:t>
      </w:r>
    </w:p>
    <w:p>
      <w:pPr>
        <w:spacing w:after="0" w:line="17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The cannabis industry faces significant opposition, and any negative trends may adversely affect our business operations.</w:t>
      </w:r>
    </w:p>
    <w:p>
      <w:pPr>
        <w:spacing w:after="0" w:line="279" w:lineRule="exact"/>
        <w:rPr>
          <w:sz w:val="20"/>
          <w:szCs w:val="20"/>
          <w:color w:val="auto"/>
        </w:rPr>
      </w:pPr>
    </w:p>
    <w:p>
      <w:pPr>
        <w:ind w:right="60" w:firstLine="324"/>
        <w:spacing w:after="0" w:line="287" w:lineRule="auto"/>
        <w:rPr>
          <w:sz w:val="20"/>
          <w:szCs w:val="20"/>
          <w:color w:val="auto"/>
        </w:rPr>
      </w:pPr>
      <w:r>
        <w:rPr>
          <w:rFonts w:ascii="Arial" w:cs="Arial" w:eastAsia="Arial" w:hAnsi="Arial"/>
          <w:sz w:val="19"/>
          <w:szCs w:val="19"/>
          <w:color w:val="auto"/>
        </w:rPr>
        <w:t>If we complete a business combination with a target in the cannabis industry, we will be substantially dependent on the continued market acceptance, and the proliferation of consumers, of cannabis. We believe that with further legalization, cannabis will become more accepted, resulting in growth in consumer demand. However, we cannot predict the future growth rate or future market potential, and any negative outlook on the cannabis industry may adversely affect our business operations.</w:t>
      </w:r>
    </w:p>
    <w:p>
      <w:pPr>
        <w:spacing w:after="0" w:line="170" w:lineRule="exact"/>
        <w:rPr>
          <w:sz w:val="20"/>
          <w:szCs w:val="20"/>
          <w:color w:val="auto"/>
        </w:rPr>
      </w:pPr>
    </w:p>
    <w:p>
      <w:pPr>
        <w:ind w:firstLine="324"/>
        <w:spacing w:after="0" w:line="246" w:lineRule="auto"/>
        <w:rPr>
          <w:sz w:val="20"/>
          <w:szCs w:val="20"/>
          <w:color w:val="auto"/>
        </w:rPr>
      </w:pPr>
      <w:r>
        <w:rPr>
          <w:rFonts w:ascii="Arial" w:cs="Arial" w:eastAsia="Arial" w:hAnsi="Arial"/>
          <w:sz w:val="21"/>
          <w:szCs w:val="21"/>
          <w:color w:val="auto"/>
        </w:rPr>
        <w:t>Large, well-funded industries that perceive cannabis products and services as competitive with their own, including but not limited to the pharmaceutical industry, adult beverage industry and tobacco industry, all of which are have powerful lobbying and financial resources, may have strong economic reasons to oppose the development of the cannabis industry. For example, should cannabis displace other drugs or products, the medical cannabis industry could face a material threat from the pharmaceutical industry, which is well-funded and possesses a strong and experienced lobby. Any inroads the pharmaceutical, or any other potentially displaced, industry or sector could make in halting or impeding the cannabis industry could have a detrimental impact on our business.</w:t>
      </w:r>
    </w:p>
    <w:p>
      <w:pPr>
        <w:spacing w:after="0" w:line="211" w:lineRule="exact"/>
        <w:rPr>
          <w:sz w:val="20"/>
          <w:szCs w:val="20"/>
          <w:color w:val="auto"/>
        </w:rPr>
      </w:pPr>
    </w:p>
    <w:p>
      <w:pPr>
        <w:ind w:left="180" w:right="460"/>
        <w:spacing w:after="0" w:line="250" w:lineRule="auto"/>
        <w:rPr>
          <w:sz w:val="20"/>
          <w:szCs w:val="20"/>
          <w:color w:val="auto"/>
        </w:rPr>
      </w:pPr>
      <w:r>
        <w:rPr>
          <w:rFonts w:ascii="Arial" w:cs="Arial" w:eastAsia="Arial" w:hAnsi="Arial"/>
          <w:sz w:val="22"/>
          <w:szCs w:val="22"/>
          <w:b w:val="1"/>
          <w:bCs w:val="1"/>
          <w:i w:val="1"/>
          <w:iCs w:val="1"/>
          <w:color w:val="auto"/>
        </w:rPr>
        <w:t>Competition from synthetic products may adversely affect the business, financial condition or results of operations of a potential target cannabis company.</w:t>
      </w:r>
    </w:p>
    <w:p>
      <w:pPr>
        <w:spacing w:after="0" w:line="202" w:lineRule="exact"/>
        <w:rPr>
          <w:sz w:val="20"/>
          <w:szCs w:val="20"/>
          <w:color w:val="auto"/>
        </w:rPr>
      </w:pPr>
    </w:p>
    <w:p>
      <w:pPr>
        <w:ind w:firstLine="324"/>
        <w:spacing w:after="0" w:line="279" w:lineRule="auto"/>
        <w:rPr>
          <w:sz w:val="20"/>
          <w:szCs w:val="20"/>
          <w:color w:val="auto"/>
        </w:rPr>
      </w:pPr>
      <w:r>
        <w:rPr>
          <w:rFonts w:ascii="Arial" w:cs="Arial" w:eastAsia="Arial" w:hAnsi="Arial"/>
          <w:sz w:val="19"/>
          <w:szCs w:val="19"/>
          <w:color w:val="auto"/>
        </w:rPr>
        <w:t>The pharmaceutical industry may attempt to dominate the cannabis industry, and in particular, legal cannabis, through the development and distribution of synthetic products which emulate the effects of cannabis. If they are successful, the widespread popularity of such synthetic products could change the demand, volume and profitability of the cannabis industry. This could adversely affect the ability of a potential target cannabis company to secure long-term profitability and success through the sustainable and profitable operation of the anticipated businesses and investment targets, and could have a material adverse effect on a potential target cannabis company’s business, financial condition or results of operations.</w:t>
      </w:r>
    </w:p>
    <w:p>
      <w:pPr>
        <w:spacing w:after="0" w:line="177" w:lineRule="exact"/>
        <w:rPr>
          <w:sz w:val="20"/>
          <w:szCs w:val="20"/>
          <w:color w:val="auto"/>
        </w:rPr>
      </w:pPr>
    </w:p>
    <w:p>
      <w:pPr>
        <w:ind w:left="180"/>
        <w:spacing w:after="0" w:line="250" w:lineRule="auto"/>
        <w:rPr>
          <w:sz w:val="20"/>
          <w:szCs w:val="20"/>
          <w:color w:val="auto"/>
        </w:rPr>
      </w:pPr>
      <w:r>
        <w:rPr>
          <w:rFonts w:ascii="Arial" w:cs="Arial" w:eastAsia="Arial" w:hAnsi="Arial"/>
          <w:sz w:val="22"/>
          <w:szCs w:val="22"/>
          <w:b w:val="1"/>
          <w:bCs w:val="1"/>
          <w:i w:val="1"/>
          <w:iCs w:val="1"/>
          <w:color w:val="auto"/>
        </w:rPr>
        <w:t>An initial surge in demand for cannabis may result in supply shortages in the short term, while in the longer term, supply of cannabis could exceed demand, which may cause a fluctuation in revenue.</w:t>
      </w:r>
    </w:p>
    <w:p>
      <w:pPr>
        <w:spacing w:after="0" w:line="202" w:lineRule="exact"/>
        <w:rPr>
          <w:sz w:val="20"/>
          <w:szCs w:val="20"/>
          <w:color w:val="auto"/>
        </w:rPr>
      </w:pPr>
    </w:p>
    <w:p>
      <w:pPr>
        <w:ind w:right="60" w:firstLine="324"/>
        <w:spacing w:after="0" w:line="238" w:lineRule="auto"/>
        <w:rPr>
          <w:sz w:val="20"/>
          <w:szCs w:val="20"/>
          <w:color w:val="auto"/>
        </w:rPr>
      </w:pPr>
      <w:r>
        <w:rPr>
          <w:rFonts w:ascii="Arial" w:cs="Arial" w:eastAsia="Arial" w:hAnsi="Arial"/>
          <w:sz w:val="22"/>
          <w:szCs w:val="22"/>
          <w:color w:val="auto"/>
        </w:rPr>
        <w:t>Changes in the legal status of cannabis may result in an initial surge in demand. As a result of such initial surge, cannabis companies operating under such changed legal regime may not be able to produce enough cannabis to meet demand of the adult-use recreational and medical markets, as applicable. This may result in lower than expected sales and revenues and increased competition for sales and sources of supply.</w:t>
      </w:r>
    </w:p>
    <w:p>
      <w:pPr>
        <w:spacing w:after="0" w:line="212" w:lineRule="exact"/>
        <w:rPr>
          <w:sz w:val="20"/>
          <w:szCs w:val="20"/>
          <w:color w:val="auto"/>
        </w:rPr>
      </w:pPr>
    </w:p>
    <w:p>
      <w:pPr>
        <w:ind w:right="40" w:firstLine="324"/>
        <w:spacing w:after="0" w:line="279" w:lineRule="auto"/>
        <w:rPr>
          <w:sz w:val="20"/>
          <w:szCs w:val="20"/>
          <w:color w:val="auto"/>
        </w:rPr>
      </w:pPr>
      <w:r>
        <w:rPr>
          <w:rFonts w:ascii="Arial" w:cs="Arial" w:eastAsia="Arial" w:hAnsi="Arial"/>
          <w:sz w:val="19"/>
          <w:szCs w:val="19"/>
          <w:color w:val="auto"/>
        </w:rPr>
        <w:t>However, in the future, cannabis producers may produce more cannabis than is needed to satisfy the collective demand of the adult-use recreational and medical markets, as applicable, and they may be unable to export that oversupply into other markets where cannabis use is fully legal under all applicable jurisdictional laws. As a result, the available supply of cannabis could exceed demand, resulting in a significant decline in the market price for cannabis. If such supply or price fluctuations were to occur, companies operating in the cannabis industry may see revenue and profitability fluctuate materially and their business, financial condition, results of operations and prospects may be adversely affected.</w:t>
      </w:r>
    </w:p>
    <w:p>
      <w:pPr>
        <w:spacing w:after="0" w:line="369"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57" w:name="page58"/>
    <w:bookmarkEnd w:id="57"/>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ind w:left="180" w:right="760"/>
        <w:spacing w:after="0" w:line="250" w:lineRule="auto"/>
        <w:rPr>
          <w:sz w:val="20"/>
          <w:szCs w:val="20"/>
          <w:color w:val="auto"/>
        </w:rPr>
      </w:pPr>
      <w:r>
        <w:rPr>
          <w:rFonts w:ascii="Arial" w:cs="Arial" w:eastAsia="Arial" w:hAnsi="Arial"/>
          <w:sz w:val="22"/>
          <w:szCs w:val="22"/>
          <w:b w:val="1"/>
          <w:bCs w:val="1"/>
          <w:i w:val="1"/>
          <w:iCs w:val="1"/>
          <w:color w:val="auto"/>
        </w:rPr>
        <w:t>Consumer preferences may change, and the potential target business may be unsuccessful in acquiring or retaining consumers and keeping pace with changing market developments.</w:t>
      </w:r>
    </w:p>
    <w:p>
      <w:pPr>
        <w:spacing w:after="0" w:line="202" w:lineRule="exact"/>
        <w:rPr>
          <w:sz w:val="20"/>
          <w:szCs w:val="20"/>
          <w:color w:val="auto"/>
        </w:rPr>
      </w:pPr>
    </w:p>
    <w:p>
      <w:pPr>
        <w:ind w:right="40" w:firstLine="324"/>
        <w:spacing w:after="0" w:line="274" w:lineRule="auto"/>
        <w:rPr>
          <w:sz w:val="20"/>
          <w:szCs w:val="20"/>
          <w:color w:val="auto"/>
        </w:rPr>
      </w:pPr>
      <w:r>
        <w:rPr>
          <w:rFonts w:ascii="Arial" w:cs="Arial" w:eastAsia="Arial" w:hAnsi="Arial"/>
          <w:sz w:val="19"/>
          <w:szCs w:val="19"/>
          <w:color w:val="auto"/>
        </w:rPr>
        <w:t>As a result of changing consumer preferences, many consumer products attain financial success for a limited period of time. Even if a potential target’s products find success at retail, there can be no assurance that such products will continue to be profitable. A potential target’s success will be significantly dependent upon its ability to develop new and improved product lines and adapt to consumer preferences. Even if a potential target business is successful in introducing new products or developing its current products, a failure to gain consumer acceptance or to update products could cause a decline in the products’ popularity and impair the brands. In addition, a potential target business may be required to invest significant capital in the creation of new product lines, strains, brands, marketing campaigns, packaging and other product features-none of which are guaranteed to be successful. Failure to introduce new features and product lines and to achieve and sustain market acceptance could result in the potential target business being unable to satisfy consumer preferences and generate revenue.</w:t>
      </w:r>
    </w:p>
    <w:p>
      <w:pPr>
        <w:spacing w:after="0" w:line="185" w:lineRule="exact"/>
        <w:rPr>
          <w:sz w:val="20"/>
          <w:szCs w:val="20"/>
          <w:color w:val="auto"/>
        </w:rPr>
      </w:pPr>
    </w:p>
    <w:p>
      <w:pPr>
        <w:ind w:firstLine="324"/>
        <w:spacing w:after="0" w:line="246" w:lineRule="auto"/>
        <w:rPr>
          <w:sz w:val="20"/>
          <w:szCs w:val="20"/>
          <w:color w:val="auto"/>
        </w:rPr>
      </w:pPr>
      <w:r>
        <w:rPr>
          <w:rFonts w:ascii="Arial" w:cs="Arial" w:eastAsia="Arial" w:hAnsi="Arial"/>
          <w:sz w:val="21"/>
          <w:szCs w:val="21"/>
          <w:color w:val="auto"/>
        </w:rPr>
        <w:t>A potential target’s success depends on its ability to attract and retain consumers. There are many factors which could impact its ability to attract and retain consumers, including its ability to continually produce desirable and effective products, the successful implementation of its consumer acquisition plan and the continued growth in the aggregate number of potential consumers. A potential target business may not be successful in developing effective and safe new products, anticipating shifts in social trends and consumer demands, bringing such products to market in time to be effectively commercialized, or obtaining any required regulatory approvals, which, together with any capital expenditures made in the course of such product development and regulatory approval processes. A potential target’s failure to acquire and retain consumers could have a material adverse effect on the potential target business.</w:t>
      </w:r>
    </w:p>
    <w:p>
      <w:pPr>
        <w:spacing w:after="0" w:line="207" w:lineRule="exact"/>
        <w:rPr>
          <w:sz w:val="20"/>
          <w:szCs w:val="20"/>
          <w:color w:val="auto"/>
        </w:rPr>
      </w:pPr>
    </w:p>
    <w:p>
      <w:pPr>
        <w:ind w:right="60" w:firstLine="324"/>
        <w:spacing w:after="0" w:line="249" w:lineRule="auto"/>
        <w:rPr>
          <w:sz w:val="20"/>
          <w:szCs w:val="20"/>
          <w:color w:val="auto"/>
        </w:rPr>
      </w:pPr>
      <w:r>
        <w:rPr>
          <w:rFonts w:ascii="Arial" w:cs="Arial" w:eastAsia="Arial" w:hAnsi="Arial"/>
          <w:sz w:val="21"/>
          <w:szCs w:val="21"/>
          <w:color w:val="auto"/>
        </w:rPr>
        <w:t>In addition, the patterns of cannabis consumption may shift over time due to a variety of factors, including changes in demographics, social trends, public health polices and other leisure or consumption behaviors. If consumer preferences for a potential target’s products or cannabis products in general do not develop, or if once developed, they were to move away from its products or cannabis products in general, or if a potential target business is unable to anticipate and respond effectively to shifts in consumer behaviors, it may be adversely affected.</w:t>
      </w:r>
    </w:p>
    <w:p>
      <w:pPr>
        <w:spacing w:after="0" w:line="205" w:lineRule="exact"/>
        <w:rPr>
          <w:sz w:val="20"/>
          <w:szCs w:val="20"/>
          <w:color w:val="auto"/>
        </w:rPr>
      </w:pPr>
    </w:p>
    <w:p>
      <w:pPr>
        <w:ind w:left="180"/>
        <w:spacing w:after="0"/>
        <w:rPr>
          <w:sz w:val="20"/>
          <w:szCs w:val="20"/>
          <w:color w:val="auto"/>
        </w:rPr>
      </w:pPr>
      <w:r>
        <w:rPr>
          <w:rFonts w:ascii="Arial" w:cs="Arial" w:eastAsia="Arial" w:hAnsi="Arial"/>
          <w:sz w:val="22"/>
          <w:szCs w:val="22"/>
          <w:b w:val="1"/>
          <w:bCs w:val="1"/>
          <w:i w:val="1"/>
          <w:iCs w:val="1"/>
          <w:color w:val="auto"/>
        </w:rPr>
        <w:t>The cannabis industry is highly competitive and evolving.</w:t>
      </w:r>
    </w:p>
    <w:p>
      <w:pPr>
        <w:spacing w:after="0" w:line="233" w:lineRule="exact"/>
        <w:rPr>
          <w:sz w:val="20"/>
          <w:szCs w:val="20"/>
          <w:color w:val="auto"/>
        </w:rPr>
      </w:pPr>
    </w:p>
    <w:p>
      <w:pPr>
        <w:ind w:right="40" w:firstLine="324"/>
        <w:spacing w:after="0" w:line="275" w:lineRule="auto"/>
        <w:rPr>
          <w:sz w:val="20"/>
          <w:szCs w:val="20"/>
          <w:color w:val="auto"/>
        </w:rPr>
      </w:pPr>
      <w:r>
        <w:rPr>
          <w:rFonts w:ascii="Arial" w:cs="Arial" w:eastAsia="Arial" w:hAnsi="Arial"/>
          <w:sz w:val="19"/>
          <w:szCs w:val="19"/>
          <w:color w:val="auto"/>
        </w:rPr>
        <w:t>The market for businesses in the cannabis industry is highly competitive and evolving. There may be no material aspect of our business that is protected by patents, copyrights, trademarks or trade names, and we may face strong competition from larger companies, including in our search for an initial business combination and those that may offer similar products and services to ours following our initial business combination. Our potential competitors may have longer operating histories, significantly greater financial, marketing or other resources and larger client bases than we will, and there can be no assurance that we will be able to successfully compete against these or other competitors. Additionally, because the cannabis industry is at an early stage, a potential target cannabis company may face additional competition from new entrants, including as a result of an increased number of licenses granted under any applicable regulatory regime.</w:t>
      </w:r>
    </w:p>
    <w:p>
      <w:pPr>
        <w:spacing w:after="0" w:line="184" w:lineRule="exact"/>
        <w:rPr>
          <w:sz w:val="20"/>
          <w:szCs w:val="20"/>
          <w:color w:val="auto"/>
        </w:rPr>
      </w:pPr>
    </w:p>
    <w:p>
      <w:pPr>
        <w:ind w:right="20" w:firstLine="324"/>
        <w:spacing w:after="0" w:line="274" w:lineRule="auto"/>
        <w:rPr>
          <w:sz w:val="20"/>
          <w:szCs w:val="20"/>
          <w:color w:val="auto"/>
        </w:rPr>
      </w:pPr>
      <w:r>
        <w:rPr>
          <w:rFonts w:ascii="Arial" w:cs="Arial" w:eastAsia="Arial" w:hAnsi="Arial"/>
          <w:sz w:val="19"/>
          <w:szCs w:val="19"/>
          <w:color w:val="auto"/>
        </w:rPr>
        <w:t>If the number of users of medical cannabis increases, and/or if the national demand for recreational cannabis increases, the demand for products will increase and we expect that competition will become more intense, as current and future competitors begin to offer an increasing number of diversified products. To remain competitive, a target business may require a continued high level of investment in research and development, marketing, sales and client support. However, a potential target business may not have sufficient resources to maintain research and development, marketing, sales and client support efforts on a competitive basis, which could materially and adversely affect the business, financial condition and results of operations of the Company. Additionally, as new technologies related to the cultivation, processing, manufacturing and research and development of cannabis are being explored, there is potential for third party competitors to be in possession of superior technology that would reduce any relative competitiveness a potential business target may have.</w:t>
      </w:r>
    </w:p>
    <w:p>
      <w:pPr>
        <w:spacing w:after="0" w:line="185" w:lineRule="exact"/>
        <w:rPr>
          <w:sz w:val="20"/>
          <w:szCs w:val="20"/>
          <w:color w:val="auto"/>
        </w:rPr>
      </w:pPr>
    </w:p>
    <w:p>
      <w:pPr>
        <w:ind w:right="220" w:firstLine="324"/>
        <w:spacing w:after="0" w:line="328" w:lineRule="auto"/>
        <w:rPr>
          <w:sz w:val="20"/>
          <w:szCs w:val="20"/>
          <w:color w:val="auto"/>
        </w:rPr>
      </w:pPr>
      <w:r>
        <w:rPr>
          <w:rFonts w:ascii="Arial" w:cs="Arial" w:eastAsia="Arial" w:hAnsi="Arial"/>
          <w:sz w:val="19"/>
          <w:szCs w:val="19"/>
          <w:color w:val="auto"/>
        </w:rPr>
        <w:t>As the legal landscape for cannabis continues to evolve, it is possible that the cannabis industry will undergo consolidation, creating larger companies with greater financial resources, manufacturing and marketing capabilities and product offerings.</w:t>
      </w: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58" w:name="page59"/>
    <w:bookmarkEnd w:id="58"/>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ind w:right="740" w:firstLine="324"/>
        <w:spacing w:after="0" w:line="274" w:lineRule="auto"/>
        <w:rPr>
          <w:sz w:val="20"/>
          <w:szCs w:val="20"/>
          <w:color w:val="auto"/>
        </w:rPr>
      </w:pPr>
      <w:r>
        <w:rPr>
          <w:rFonts w:ascii="Arial" w:cs="Arial" w:eastAsia="Arial" w:hAnsi="Arial"/>
          <w:sz w:val="21"/>
          <w:szCs w:val="21"/>
          <w:color w:val="auto"/>
        </w:rPr>
        <w:t>Given the rapid changes affecting the global, national, and regional economies generally and the cannabis industry, in particular, we may not be able to create and maintain a competitive advantage in the marketplace.</w:t>
      </w:r>
    </w:p>
    <w:p>
      <w:pPr>
        <w:spacing w:after="0" w:line="178" w:lineRule="exact"/>
        <w:rPr>
          <w:sz w:val="20"/>
          <w:szCs w:val="20"/>
          <w:color w:val="auto"/>
        </w:rPr>
      </w:pPr>
    </w:p>
    <w:p>
      <w:pPr>
        <w:ind w:right="20" w:firstLine="324"/>
        <w:spacing w:after="0" w:line="236" w:lineRule="auto"/>
        <w:rPr>
          <w:sz w:val="20"/>
          <w:szCs w:val="20"/>
          <w:color w:val="auto"/>
        </w:rPr>
      </w:pPr>
      <w:r>
        <w:rPr>
          <w:rFonts w:ascii="Arial" w:cs="Arial" w:eastAsia="Arial" w:hAnsi="Arial"/>
          <w:sz w:val="22"/>
          <w:szCs w:val="22"/>
          <w:color w:val="auto"/>
        </w:rPr>
        <w:t>Our success will depend on our ability to keep pace with any changes in our markets, particularly, legal and regulatory changes. For example, it is likely that we, and our competitors, will seek to introduce new products in the future. Our success will also depend on our ability to respond to, among other things, changes in the economy, market conditions, and competitive pressures. Any failure by us to anticipate or respond adequately to such changes could have a material adverse effect on our financial condition and results of operations.</w:t>
      </w:r>
    </w:p>
    <w:p>
      <w:pPr>
        <w:spacing w:after="0" w:line="214" w:lineRule="exact"/>
        <w:rPr>
          <w:sz w:val="20"/>
          <w:szCs w:val="20"/>
          <w:color w:val="auto"/>
        </w:rPr>
      </w:pPr>
    </w:p>
    <w:p>
      <w:pPr>
        <w:ind w:left="180"/>
        <w:spacing w:after="0"/>
        <w:rPr>
          <w:sz w:val="20"/>
          <w:szCs w:val="20"/>
          <w:color w:val="auto"/>
        </w:rPr>
      </w:pPr>
      <w:r>
        <w:rPr>
          <w:rFonts w:ascii="Arial" w:cs="Arial" w:eastAsia="Arial" w:hAnsi="Arial"/>
          <w:sz w:val="21"/>
          <w:szCs w:val="21"/>
          <w:b w:val="1"/>
          <w:bCs w:val="1"/>
          <w:i w:val="1"/>
          <w:iCs w:val="1"/>
          <w:color w:val="auto"/>
        </w:rPr>
        <w:t>The technologies, process and formulations a target company uses may face competition or become obsolete.</w:t>
      </w:r>
    </w:p>
    <w:p>
      <w:pPr>
        <w:spacing w:after="0" w:line="245" w:lineRule="exact"/>
        <w:rPr>
          <w:sz w:val="20"/>
          <w:szCs w:val="20"/>
          <w:color w:val="auto"/>
        </w:rPr>
      </w:pPr>
    </w:p>
    <w:p>
      <w:pPr>
        <w:ind w:right="20" w:firstLine="324"/>
        <w:spacing w:after="0" w:line="271" w:lineRule="auto"/>
        <w:rPr>
          <w:sz w:val="20"/>
          <w:szCs w:val="20"/>
          <w:color w:val="auto"/>
        </w:rPr>
      </w:pPr>
      <w:r>
        <w:rPr>
          <w:rFonts w:ascii="Arial" w:cs="Arial" w:eastAsia="Arial" w:hAnsi="Arial"/>
          <w:sz w:val="19"/>
          <w:szCs w:val="19"/>
          <w:color w:val="auto"/>
        </w:rPr>
        <w:t>Many businesses in the cannabis industry face rapidly changing markets, technology, emerging industry standards and frequent introduction of new products. The introduction of new products embodying new technologies, including new manufacturing processes or formulations, and the emergence of new industry standards may render a potential business target’s products obsolete, less competitive or less marketable. The process of developing their products is complex and requires significant continuing costs, development efforts and third party commitments, including licensees, researchers, collaborators and lenders. A target company’s failure to develop new technologies and products and the obsolescence of existing technologies or processes could adversely affect its business, financial condition and results of operations. A target company may be unable to anticipate changes in its potential customer requirements that could make its existing technology, processes or formulations obsolete. Its success will depend in part on its ability to continue to enhance its existing technologies, develop new technology that addresses the increasing sophistication and varied news of the market, and respond to technological advances and emerging industry standards and practices on a timely and cost-effective basis. The development of its proprietary technology, processes and formulations may entail significant technical and business risks. A potential target company may not be successful in using its new technologies or exploiting its niche markets effectively or adapting its business to evolving customer or medical requirements or preferences or emerging industry standards.</w:t>
      </w:r>
    </w:p>
    <w:p>
      <w:pPr>
        <w:spacing w:after="0" w:line="200" w:lineRule="exact"/>
        <w:rPr>
          <w:sz w:val="20"/>
          <w:szCs w:val="20"/>
          <w:color w:val="auto"/>
        </w:rPr>
      </w:pPr>
    </w:p>
    <w:p>
      <w:pPr>
        <w:spacing w:after="0" w:line="238" w:lineRule="exact"/>
        <w:rPr>
          <w:sz w:val="20"/>
          <w:szCs w:val="20"/>
          <w:color w:val="auto"/>
        </w:rPr>
      </w:pPr>
    </w:p>
    <w:p>
      <w:pPr>
        <w:ind w:left="180"/>
        <w:spacing w:after="0"/>
        <w:rPr>
          <w:sz w:val="20"/>
          <w:szCs w:val="20"/>
          <w:color w:val="auto"/>
        </w:rPr>
      </w:pPr>
      <w:r>
        <w:rPr>
          <w:rFonts w:ascii="Arial" w:cs="Arial" w:eastAsia="Arial" w:hAnsi="Arial"/>
          <w:sz w:val="22"/>
          <w:szCs w:val="22"/>
          <w:b w:val="1"/>
          <w:bCs w:val="1"/>
          <w:i w:val="1"/>
          <w:iCs w:val="1"/>
          <w:color w:val="auto"/>
        </w:rPr>
        <w:t>There is uncertainty in pricing and demand for cannabis-based products.</w:t>
      </w:r>
    </w:p>
    <w:p>
      <w:pPr>
        <w:spacing w:after="0" w:line="233" w:lineRule="exact"/>
        <w:rPr>
          <w:sz w:val="20"/>
          <w:szCs w:val="20"/>
          <w:color w:val="auto"/>
        </w:rPr>
      </w:pPr>
    </w:p>
    <w:p>
      <w:pPr>
        <w:ind w:firstLine="324"/>
        <w:spacing w:after="0" w:line="244" w:lineRule="auto"/>
        <w:rPr>
          <w:sz w:val="20"/>
          <w:szCs w:val="20"/>
          <w:color w:val="auto"/>
        </w:rPr>
      </w:pPr>
      <w:r>
        <w:rPr>
          <w:rFonts w:ascii="Arial" w:cs="Arial" w:eastAsia="Arial" w:hAnsi="Arial"/>
          <w:sz w:val="21"/>
          <w:szCs w:val="21"/>
          <w:color w:val="auto"/>
        </w:rPr>
        <w:t>The anticipated pricing of cannabis products may differ substantially from current levels given changes in the competitive and regulatory landscape. The potential target company’s business model may be susceptible to erosion of profitability should cannabis and cannabis-related products experience secular pricing changes. Potential sources of pricing changes include over-production, regulatory action, increased competition or the emergence of new competitors. Additionally, even if pricing of the broader cannabis and cannabis-related product market is sustained, there is no guarantee that a potential target cannabis company will be successful in creating and maintaining consumer demand and estimated pricing levels. To do this, the potential target company may be dependent upon, among other things, continually producing desirable and effective cannabis and cannabis-related products and the continued growth in the aggregate number of cannabis consumers. Campaigns designed to enhance the potential target company’s brand and attract consumers, subject to restrictions imposed by law, can be expensive and may not result in increased sales. If the potential target company is unable to attract new consumers, it may not be able to increase its sales.</w:t>
      </w:r>
    </w:p>
    <w:p>
      <w:pPr>
        <w:spacing w:after="0" w:line="215" w:lineRule="exact"/>
        <w:rPr>
          <w:sz w:val="20"/>
          <w:szCs w:val="20"/>
          <w:color w:val="auto"/>
        </w:rPr>
      </w:pPr>
    </w:p>
    <w:p>
      <w:pPr>
        <w:ind w:left="180"/>
        <w:spacing w:after="0"/>
        <w:rPr>
          <w:sz w:val="20"/>
          <w:szCs w:val="20"/>
          <w:color w:val="auto"/>
        </w:rPr>
      </w:pPr>
      <w:r>
        <w:rPr>
          <w:rFonts w:ascii="Arial" w:cs="Arial" w:eastAsia="Arial" w:hAnsi="Arial"/>
          <w:sz w:val="22"/>
          <w:szCs w:val="22"/>
          <w:b w:val="1"/>
          <w:bCs w:val="1"/>
          <w:i w:val="1"/>
          <w:iCs w:val="1"/>
          <w:color w:val="auto"/>
        </w:rPr>
        <w:t>A potential target company may have difficulty in forecasting sales and other business metrics.</w:t>
      </w:r>
    </w:p>
    <w:p>
      <w:pPr>
        <w:spacing w:after="0" w:line="233" w:lineRule="exact"/>
        <w:rPr>
          <w:sz w:val="20"/>
          <w:szCs w:val="20"/>
          <w:color w:val="auto"/>
        </w:rPr>
      </w:pPr>
    </w:p>
    <w:p>
      <w:pPr>
        <w:ind w:right="80" w:firstLine="324"/>
        <w:spacing w:after="0" w:line="277" w:lineRule="auto"/>
        <w:rPr>
          <w:sz w:val="20"/>
          <w:szCs w:val="20"/>
          <w:color w:val="auto"/>
        </w:rPr>
      </w:pPr>
      <w:r>
        <w:rPr>
          <w:rFonts w:ascii="Arial" w:cs="Arial" w:eastAsia="Arial" w:hAnsi="Arial"/>
          <w:sz w:val="19"/>
          <w:szCs w:val="19"/>
          <w:color w:val="auto"/>
        </w:rPr>
        <w:t>A potential target cannabis business may rely largely on its own market research to forecast sales as detailed forecasts are not generally obtainable from other sources at this early stage of the cannabis industry. If the potential target business underestimates the demand for its products, it may not be able to produce products that meet its stringent requirements, and this could result in delays in the shipment of products and failure to satisfy demand, as well as damage to reputation and partner relationships. If the potential target business overestimates the demand for its products, it could face inventory levels in excess of demand, which could result in inventory write-downs or write-offs and the sale of excess inventory at discounted prices, which would harm the potential target’s gross margins and brand management efforts.</w:t>
      </w:r>
    </w:p>
    <w:p>
      <w:pPr>
        <w:spacing w:after="0" w:line="179" w:lineRule="exact"/>
        <w:rPr>
          <w:sz w:val="20"/>
          <w:szCs w:val="20"/>
          <w:color w:val="auto"/>
        </w:rPr>
      </w:pPr>
    </w:p>
    <w:p>
      <w:pPr>
        <w:ind w:right="140" w:firstLine="324"/>
        <w:spacing w:after="0" w:line="275" w:lineRule="auto"/>
        <w:rPr>
          <w:sz w:val="20"/>
          <w:szCs w:val="20"/>
          <w:color w:val="auto"/>
        </w:rPr>
      </w:pPr>
      <w:r>
        <w:rPr>
          <w:rFonts w:ascii="Arial" w:cs="Arial" w:eastAsia="Arial" w:hAnsi="Arial"/>
          <w:sz w:val="19"/>
          <w:szCs w:val="19"/>
          <w:color w:val="auto"/>
        </w:rPr>
        <w:t>Due to the nascent nature of the market, it could be difficult for the potential target to forecast demand. In particular, it could be difficult to forecast the rate of the illicit cannabis market crossing over to the legal market. If the market does not develop as the potential target business expects, it could have a material adverse effect on its business, results of operations and financial condition. In addition to inherent risks and difficulties forecasting sales, anticipated costs and yields are also challenging to predict with certainty as the cannabis industry is in its relative infancy and rapidly evolving. If we make capital investments based on flawed sales, costs and yields forecasts, the potential target business may not achieve its expected, or any, return on invested capital. Failure to realize forecasted sales, costs and yields could have a material adverse effect on the potential target’s business, results of operations and financial condition.</w:t>
      </w:r>
    </w:p>
    <w:p>
      <w:pPr>
        <w:sectPr>
          <w:pgSz w:w="11900" w:h="16838" w:orient="portrait"/>
          <w:cols w:equalWidth="0" w:num="1">
            <w:col w:w="11240"/>
          </w:cols>
          <w:pgMar w:left="320" w:top="122" w:right="339" w:bottom="1440" w:gutter="0" w:footer="0" w:header="0"/>
        </w:sect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59" w:name="page60"/>
    <w:bookmarkEnd w:id="59"/>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ind w:left="180" w:right="260"/>
        <w:spacing w:after="0" w:line="250" w:lineRule="auto"/>
        <w:rPr>
          <w:sz w:val="20"/>
          <w:szCs w:val="20"/>
          <w:color w:val="auto"/>
        </w:rPr>
      </w:pPr>
      <w:r>
        <w:rPr>
          <w:rFonts w:ascii="Arial" w:cs="Arial" w:eastAsia="Arial" w:hAnsi="Arial"/>
          <w:sz w:val="22"/>
          <w:szCs w:val="22"/>
          <w:b w:val="1"/>
          <w:bCs w:val="1"/>
          <w:i w:val="1"/>
          <w:iCs w:val="1"/>
          <w:color w:val="auto"/>
        </w:rPr>
        <w:t>We and our customers may have difficulty accessing the service of banks, which may make it difficult to sell products and services.</w:t>
      </w:r>
    </w:p>
    <w:p>
      <w:pPr>
        <w:spacing w:after="0" w:line="202" w:lineRule="exact"/>
        <w:rPr>
          <w:sz w:val="20"/>
          <w:szCs w:val="20"/>
          <w:color w:val="auto"/>
        </w:rPr>
      </w:pPr>
    </w:p>
    <w:p>
      <w:pPr>
        <w:ind w:right="40" w:firstLine="324"/>
        <w:spacing w:after="0" w:line="273" w:lineRule="auto"/>
        <w:rPr>
          <w:sz w:val="20"/>
          <w:szCs w:val="20"/>
          <w:color w:val="auto"/>
        </w:rPr>
      </w:pPr>
      <w:r>
        <w:rPr>
          <w:rFonts w:ascii="Arial" w:cs="Arial" w:eastAsia="Arial" w:hAnsi="Arial"/>
          <w:sz w:val="19"/>
          <w:szCs w:val="19"/>
          <w:color w:val="auto"/>
        </w:rPr>
        <w:t>Financial transactions involving proceeds generated by cannabis-related conduct can form the basis for prosecution under the federal money laundering statutes, unlicensed money transmitter statute and the U.S. Bank Secrecy Act. Guidance issued by the Financial Crimes Enforcement Network (“FinCen”), a division of the U.S. Department of the Treasury (the “FinCen Memo”), clarifies how financial institutions can provide services to cannabis-related businesses consistent with their obligations under the Bank Secrecy Act. Despite the rescission of memoranda that had de-prioritized the enforcement of federal law against marijuana users and businesses that comply with state marijuana laws, FinCen has not rescinded the FinCen Memo. While this memo appears to be a standalone document and is presumptively still in effect, FinCen could elect to rescind the FinCen Memo at any time. Banks remain hesitant to offer banking services to cannabis-related businesses. Consequently, those businesses involved in the cannabis industry continue to encounter difficulty establishing banking relationships. Our inability to maintain bank accounts would make it difficult for us to operate our business, increase our operating costs, and pose additional operational, logistical and security challenges and could result in our inability to implement our business plan.</w:t>
      </w:r>
    </w:p>
    <w:p>
      <w:pPr>
        <w:spacing w:after="0" w:line="182" w:lineRule="exact"/>
        <w:rPr>
          <w:sz w:val="20"/>
          <w:szCs w:val="20"/>
          <w:color w:val="auto"/>
        </w:rPr>
      </w:pPr>
    </w:p>
    <w:p>
      <w:pPr>
        <w:ind w:left="180" w:right="120"/>
        <w:spacing w:after="0" w:line="250" w:lineRule="auto"/>
        <w:rPr>
          <w:sz w:val="20"/>
          <w:szCs w:val="20"/>
          <w:color w:val="auto"/>
        </w:rPr>
      </w:pPr>
      <w:r>
        <w:rPr>
          <w:rFonts w:ascii="Arial" w:cs="Arial" w:eastAsia="Arial" w:hAnsi="Arial"/>
          <w:sz w:val="22"/>
          <w:szCs w:val="22"/>
          <w:b w:val="1"/>
          <w:bCs w:val="1"/>
          <w:i w:val="1"/>
          <w:iCs w:val="1"/>
          <w:color w:val="auto"/>
        </w:rPr>
        <w:t>The development and operation of businesses in the cannabis industry may require additional financing, which may not be available on favorable terms, if at all.</w:t>
      </w:r>
    </w:p>
    <w:p>
      <w:pPr>
        <w:spacing w:after="0" w:line="202" w:lineRule="exact"/>
        <w:rPr>
          <w:sz w:val="20"/>
          <w:szCs w:val="20"/>
          <w:color w:val="auto"/>
        </w:rPr>
      </w:pPr>
    </w:p>
    <w:p>
      <w:pPr>
        <w:jc w:val="both"/>
        <w:ind w:right="80" w:firstLine="324"/>
        <w:spacing w:after="0" w:line="287" w:lineRule="auto"/>
        <w:rPr>
          <w:sz w:val="20"/>
          <w:szCs w:val="20"/>
          <w:color w:val="auto"/>
        </w:rPr>
      </w:pPr>
      <w:r>
        <w:rPr>
          <w:rFonts w:ascii="Arial" w:cs="Arial" w:eastAsia="Arial" w:hAnsi="Arial"/>
          <w:sz w:val="19"/>
          <w:szCs w:val="19"/>
          <w:color w:val="auto"/>
        </w:rPr>
        <w:t>Due to the growth in the cannabis industry, the continued development and operation of businesses in the cannabis industry may require additional financing. The failure to raise such capital could result in the delay or indefinite postponement of current business objectives or the cessation of business. There can be no assurance that additional capital or other types of financing will be available if needed or that, if available, the terms of such financing will be favorable.</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22"/>
          <w:szCs w:val="22"/>
          <w:b w:val="1"/>
          <w:bCs w:val="1"/>
          <w:i w:val="1"/>
          <w:iCs w:val="1"/>
          <w:color w:val="auto"/>
        </w:rPr>
        <w:t>We may be subject to product liability claims.</w:t>
      </w:r>
    </w:p>
    <w:p>
      <w:pPr>
        <w:spacing w:after="0" w:line="233" w:lineRule="exact"/>
        <w:rPr>
          <w:sz w:val="20"/>
          <w:szCs w:val="20"/>
          <w:color w:val="auto"/>
        </w:rPr>
      </w:pPr>
    </w:p>
    <w:p>
      <w:pPr>
        <w:ind w:right="20" w:firstLine="324"/>
        <w:spacing w:after="0" w:line="246" w:lineRule="auto"/>
        <w:rPr>
          <w:sz w:val="20"/>
          <w:szCs w:val="20"/>
          <w:color w:val="auto"/>
        </w:rPr>
      </w:pPr>
      <w:r>
        <w:rPr>
          <w:rFonts w:ascii="Arial" w:cs="Arial" w:eastAsia="Arial" w:hAnsi="Arial"/>
          <w:sz w:val="21"/>
          <w:szCs w:val="21"/>
          <w:color w:val="auto"/>
        </w:rPr>
        <w:t>If we acquire a target business operating as a manufacturer and distributor of products utilizing cannabis for human consumption, we will face an inherent risk of exposure to product liability claims, regulatory action and litigation if our products are alleged to have caused significant loss or injury. In addition, the manufacture and sale of cannabis products involve the risk of injury to consumers due to tampering by unauthorized third parties or product contamination. Previously unknown adverse reactions resulting from human consumption of cannabis products alone or in combination with other medications or substances could occur. We may be subject to various product liability claims, including, among others, that the products we produced caused injury or illness, include inadequate instructions for use or include inadequate warnings concerning possible side effects or interactions with other substances.</w:t>
      </w:r>
    </w:p>
    <w:p>
      <w:pPr>
        <w:spacing w:after="0" w:line="207" w:lineRule="exact"/>
        <w:rPr>
          <w:sz w:val="20"/>
          <w:szCs w:val="20"/>
          <w:color w:val="auto"/>
        </w:rPr>
      </w:pPr>
    </w:p>
    <w:p>
      <w:pPr>
        <w:ind w:firstLine="324"/>
        <w:spacing w:after="0" w:line="279" w:lineRule="auto"/>
        <w:rPr>
          <w:sz w:val="20"/>
          <w:szCs w:val="20"/>
          <w:color w:val="auto"/>
        </w:rPr>
      </w:pPr>
      <w:r>
        <w:rPr>
          <w:rFonts w:ascii="Arial" w:cs="Arial" w:eastAsia="Arial" w:hAnsi="Arial"/>
          <w:sz w:val="19"/>
          <w:szCs w:val="19"/>
          <w:color w:val="auto"/>
        </w:rPr>
        <w:t>A product liability claim or regulatory action against us could result in increased costs, could adversely affect our reputation with our clients and consumers generally, and could have a material adverse effect on our results of operations and financial condition. There can be no assurances that we will be able to obtain or maintain product liability insurance on acceptable terms or with adequate coverage against potential liabilities. Such insurance is expensive and may not be available in the future on acceptable terms, or at all. The inability to obtain sufficient insurance coverage on reasonable terms or to otherwise protect against potential product liability claims could prevent or inhibit the commercialization of products.</w:t>
      </w: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60" w:name="page61"/>
    <w:bookmarkEnd w:id="60"/>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jc w:val="both"/>
        <w:ind w:left="180" w:right="60"/>
        <w:spacing w:after="0" w:line="297" w:lineRule="auto"/>
        <w:rPr>
          <w:sz w:val="20"/>
          <w:szCs w:val="20"/>
          <w:color w:val="auto"/>
        </w:rPr>
      </w:pPr>
      <w:r>
        <w:rPr>
          <w:rFonts w:ascii="Arial" w:cs="Arial" w:eastAsia="Arial" w:hAnsi="Arial"/>
          <w:sz w:val="19"/>
          <w:szCs w:val="19"/>
          <w:b w:val="1"/>
          <w:bCs w:val="1"/>
          <w:i w:val="1"/>
          <w:iCs w:val="1"/>
          <w:color w:val="auto"/>
        </w:rPr>
        <w:t>We may not be able to obtain adequate insurance coverage in respect of the risks our business faces, the premiums for such insurance may not continue to be commercially justifiable or there may be coverage limitations and other exclusions which may result in such insurance not being sufficient to cover potential liabilities that we face.</w:t>
      </w:r>
    </w:p>
    <w:p>
      <w:pPr>
        <w:spacing w:after="0" w:line="161" w:lineRule="exact"/>
        <w:rPr>
          <w:sz w:val="20"/>
          <w:szCs w:val="20"/>
          <w:color w:val="auto"/>
        </w:rPr>
      </w:pPr>
    </w:p>
    <w:p>
      <w:pPr>
        <w:ind w:right="100" w:firstLine="324"/>
        <w:spacing w:after="0" w:line="279" w:lineRule="auto"/>
        <w:rPr>
          <w:sz w:val="20"/>
          <w:szCs w:val="20"/>
          <w:color w:val="auto"/>
        </w:rPr>
      </w:pPr>
      <w:r>
        <w:rPr>
          <w:rFonts w:ascii="Arial" w:cs="Arial" w:eastAsia="Arial" w:hAnsi="Arial"/>
          <w:sz w:val="19"/>
          <w:szCs w:val="19"/>
          <w:color w:val="auto"/>
        </w:rPr>
        <w:t>Although we expect to have insurance coverage with respect to the assets and operations of our target business, such insurance coverage will be subject to coverage limits and exclusions and may not be available for the risks and hazards to which we are exposed. In addition, no assurance can be given that such insurance will be adequate to cover our liabilities, including potential product liability claims, or will be generally available in the future or, if available, that premiums will be commercially justifiable. If we were to incur substantial liability and such damages were not covered by insurance or were in excess of policy limits, we may be exposed to material uninsured liabilities that could impede our liquidity, profitability or solvency.</w:t>
      </w:r>
    </w:p>
    <w:p>
      <w:pPr>
        <w:spacing w:after="0" w:line="177" w:lineRule="exact"/>
        <w:rPr>
          <w:sz w:val="20"/>
          <w:szCs w:val="20"/>
          <w:color w:val="auto"/>
        </w:rPr>
      </w:pPr>
    </w:p>
    <w:p>
      <w:pPr>
        <w:ind w:left="180" w:right="140"/>
        <w:spacing w:after="0" w:line="250" w:lineRule="auto"/>
        <w:rPr>
          <w:sz w:val="20"/>
          <w:szCs w:val="20"/>
          <w:color w:val="auto"/>
        </w:rPr>
      </w:pPr>
      <w:r>
        <w:rPr>
          <w:rFonts w:ascii="Arial" w:cs="Arial" w:eastAsia="Arial" w:hAnsi="Arial"/>
          <w:sz w:val="22"/>
          <w:szCs w:val="22"/>
          <w:b w:val="1"/>
          <w:bCs w:val="1"/>
          <w:i w:val="1"/>
          <w:iCs w:val="1"/>
          <w:color w:val="auto"/>
        </w:rPr>
        <w:t>We, or the cannabis industry more generally, may receive unfavorable publicity or become subject to negative consumer or investor perception.</w:t>
      </w:r>
    </w:p>
    <w:p>
      <w:pPr>
        <w:spacing w:after="0" w:line="202" w:lineRule="exact"/>
        <w:rPr>
          <w:sz w:val="20"/>
          <w:szCs w:val="20"/>
          <w:color w:val="auto"/>
        </w:rPr>
      </w:pPr>
    </w:p>
    <w:p>
      <w:pPr>
        <w:ind w:firstLine="324"/>
        <w:spacing w:after="0" w:line="271" w:lineRule="auto"/>
        <w:rPr>
          <w:sz w:val="20"/>
          <w:szCs w:val="20"/>
          <w:color w:val="auto"/>
        </w:rPr>
      </w:pPr>
      <w:r>
        <w:rPr>
          <w:rFonts w:ascii="Arial" w:cs="Arial" w:eastAsia="Arial" w:hAnsi="Arial"/>
          <w:sz w:val="19"/>
          <w:szCs w:val="19"/>
          <w:color w:val="auto"/>
        </w:rPr>
        <w:t>We believe that the cannabis industry is highly dependent upon positive consumer and investor perception regarding the benefits, safety, efficacy and quality of the cannabis distributed to consumers. The perception of the cannabis industry and cannabis products, currently and in the future, may be significantly influenced by scientific research or findings, regulatory investigations, litigation, political statements, media attention and other publicity (whether or not accurate or with merit) both in the United States and in other countries, including Canada, relating to the consumption of cannabis products, including unexpected safety or efficacy concerns arising with respect to cannabis products or the activities of industry participants. There can be no assurance that future scientific research, findings, regulatory proceedings, litigation, media attention or other research findings or publicity will be favorable to the cannabis market or any particular cannabis product or will be consistent with earlier publicity. Adverse future scientific research reports, findings and regulatory proceedings that are, or litigation, media attention or other publicity that is, perceived as less favorable than, or that questions, earlier research reports, findings or publicity (whether or not accurate or with merit) could result in a significant reduction in the demand for the cannabis products of a target business we acquire. Further, adverse publicity reports or other media attention regarding the safety, efficacy and quality of cannabis, or the products of a target business we acquire specifically, or associating the consumption of cannabis with illness or other negative effects or events, could adversely affect us. This adverse publicity could arise even if the adverse effects associated with cannabis products resulted from consumers’ failure to use such products legally, appropriately or as directed.</w:t>
      </w:r>
    </w:p>
    <w:p>
      <w:pPr>
        <w:spacing w:after="0" w:line="187" w:lineRule="exact"/>
        <w:rPr>
          <w:sz w:val="20"/>
          <w:szCs w:val="20"/>
          <w:color w:val="auto"/>
        </w:rPr>
      </w:pPr>
    </w:p>
    <w:p>
      <w:pPr>
        <w:ind w:left="180" w:right="380"/>
        <w:spacing w:after="0" w:line="250" w:lineRule="auto"/>
        <w:rPr>
          <w:sz w:val="20"/>
          <w:szCs w:val="20"/>
          <w:color w:val="auto"/>
        </w:rPr>
      </w:pPr>
      <w:r>
        <w:rPr>
          <w:rFonts w:ascii="Arial" w:cs="Arial" w:eastAsia="Arial" w:hAnsi="Arial"/>
          <w:sz w:val="22"/>
          <w:szCs w:val="22"/>
          <w:b w:val="1"/>
          <w:bCs w:val="1"/>
          <w:i w:val="1"/>
          <w:iCs w:val="1"/>
          <w:color w:val="auto"/>
        </w:rPr>
        <w:t>Third parties with whom we do business may perceive themselves as being exposed to reputational risk by virtue of their relationship with us and may ultimately elect not to do business with us.</w:t>
      </w:r>
    </w:p>
    <w:p>
      <w:pPr>
        <w:spacing w:after="0" w:line="202" w:lineRule="exact"/>
        <w:rPr>
          <w:sz w:val="20"/>
          <w:szCs w:val="20"/>
          <w:color w:val="auto"/>
        </w:rPr>
      </w:pPr>
    </w:p>
    <w:p>
      <w:pPr>
        <w:ind w:right="140" w:firstLine="324"/>
        <w:spacing w:after="0"/>
        <w:rPr>
          <w:sz w:val="20"/>
          <w:szCs w:val="20"/>
          <w:color w:val="auto"/>
        </w:rPr>
      </w:pPr>
      <w:r>
        <w:rPr>
          <w:rFonts w:ascii="Arial" w:cs="Arial" w:eastAsia="Arial" w:hAnsi="Arial"/>
          <w:sz w:val="22"/>
          <w:szCs w:val="22"/>
          <w:color w:val="auto"/>
        </w:rPr>
        <w:t>If we acquire a target business in the cannabis industry, the parties with which we do business may perceive that they are exposed to reputational risk as a result of our cannabis business activities. Failure to establish or maintain business relationships could have a material adverse effect on us.</w:t>
      </w:r>
    </w:p>
    <w:p>
      <w:pPr>
        <w:spacing w:after="0" w:line="213" w:lineRule="exact"/>
        <w:rPr>
          <w:sz w:val="20"/>
          <w:szCs w:val="20"/>
          <w:color w:val="auto"/>
        </w:rPr>
      </w:pPr>
    </w:p>
    <w:p>
      <w:pPr>
        <w:ind w:left="180" w:right="400"/>
        <w:spacing w:after="0" w:line="250" w:lineRule="auto"/>
        <w:rPr>
          <w:sz w:val="20"/>
          <w:szCs w:val="20"/>
          <w:color w:val="auto"/>
        </w:rPr>
      </w:pPr>
      <w:r>
        <w:rPr>
          <w:rFonts w:ascii="Arial" w:cs="Arial" w:eastAsia="Arial" w:hAnsi="Arial"/>
          <w:sz w:val="22"/>
          <w:szCs w:val="22"/>
          <w:b w:val="1"/>
          <w:bCs w:val="1"/>
          <w:i w:val="1"/>
          <w:iCs w:val="1"/>
          <w:color w:val="auto"/>
        </w:rPr>
        <w:t>Our reputation and ability to do business may be negatively impacted by the improper conduct of our business partners, employees or agents.</w:t>
      </w:r>
    </w:p>
    <w:p>
      <w:pPr>
        <w:spacing w:after="0" w:line="202" w:lineRule="exact"/>
        <w:rPr>
          <w:sz w:val="20"/>
          <w:szCs w:val="20"/>
          <w:color w:val="auto"/>
        </w:rPr>
      </w:pPr>
    </w:p>
    <w:p>
      <w:pPr>
        <w:ind w:right="20" w:firstLine="324"/>
        <w:spacing w:after="0" w:line="282" w:lineRule="auto"/>
        <w:rPr>
          <w:sz w:val="20"/>
          <w:szCs w:val="20"/>
          <w:color w:val="auto"/>
        </w:rPr>
      </w:pPr>
      <w:r>
        <w:rPr>
          <w:rFonts w:ascii="Arial" w:cs="Arial" w:eastAsia="Arial" w:hAnsi="Arial"/>
          <w:sz w:val="19"/>
          <w:szCs w:val="19"/>
          <w:color w:val="auto"/>
        </w:rPr>
        <w:t>We cannot provide assurance that our internal controls and compliance systems will always protect us from acts committed by our employees, agents or business partners in violation of applicable laws and regulations in the jurisdictions in which we conduct operations, including those applicable to businesses in the cannabis industry. Any improper acts or allegations could damage our reputation and subject us to civil or criminal investigations and related shareholder lawsuits, could lead to substantial civil and criminal monetary and non-monetary penalties, and could cause us to incur significant legal and investigatory fees.</w:t>
      </w:r>
    </w:p>
    <w:p>
      <w:pPr>
        <w:spacing w:after="0" w:line="174" w:lineRule="exact"/>
        <w:rPr>
          <w:sz w:val="20"/>
          <w:szCs w:val="20"/>
          <w:color w:val="auto"/>
        </w:rPr>
      </w:pPr>
    </w:p>
    <w:p>
      <w:pPr>
        <w:ind w:left="180" w:right="920"/>
        <w:spacing w:after="0" w:line="250" w:lineRule="auto"/>
        <w:rPr>
          <w:sz w:val="20"/>
          <w:szCs w:val="20"/>
          <w:color w:val="auto"/>
        </w:rPr>
      </w:pPr>
      <w:r>
        <w:rPr>
          <w:rFonts w:ascii="Arial" w:cs="Arial" w:eastAsia="Arial" w:hAnsi="Arial"/>
          <w:sz w:val="22"/>
          <w:szCs w:val="22"/>
          <w:b w:val="1"/>
          <w:bCs w:val="1"/>
          <w:i w:val="1"/>
          <w:iCs w:val="1"/>
          <w:color w:val="auto"/>
        </w:rPr>
        <w:t>We may be subject to regulatory, legal or reputational risk associated with potential misuse of our products by our customers.</w:t>
      </w:r>
    </w:p>
    <w:p>
      <w:pPr>
        <w:spacing w:after="0" w:line="202" w:lineRule="exact"/>
        <w:rPr>
          <w:sz w:val="20"/>
          <w:szCs w:val="20"/>
          <w:color w:val="auto"/>
        </w:rPr>
      </w:pPr>
    </w:p>
    <w:p>
      <w:pPr>
        <w:ind w:right="100" w:firstLine="324"/>
        <w:spacing w:after="0"/>
        <w:rPr>
          <w:sz w:val="20"/>
          <w:szCs w:val="20"/>
          <w:color w:val="auto"/>
        </w:rPr>
      </w:pPr>
      <w:r>
        <w:rPr>
          <w:rFonts w:ascii="Arial" w:cs="Arial" w:eastAsia="Arial" w:hAnsi="Arial"/>
          <w:sz w:val="22"/>
          <w:szCs w:val="22"/>
          <w:color w:val="auto"/>
        </w:rPr>
        <w:t>We cannot provide assurance that our customers will always use our products in the manner in which we intend. Any misuse of our products by our customers could lead to substantial civil and criminal monetary and non-monetary penalties, and could cause us to incur significant legal and investigatory fees.</w:t>
      </w:r>
    </w:p>
    <w:p>
      <w:pPr>
        <w:sectPr>
          <w:pgSz w:w="11900" w:h="16838" w:orient="portrait"/>
          <w:cols w:equalWidth="0" w:num="1">
            <w:col w:w="11200"/>
          </w:cols>
          <w:pgMar w:left="320" w:top="122" w:right="37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59"/>
        <w:spacing w:after="0"/>
        <w:rPr>
          <w:sz w:val="20"/>
          <w:szCs w:val="20"/>
          <w:color w:val="auto"/>
        </w:rPr>
      </w:pPr>
      <w:r>
        <w:rPr>
          <w:rFonts w:ascii="Arial" w:cs="Arial" w:eastAsia="Arial" w:hAnsi="Arial"/>
          <w:sz w:val="12"/>
          <w:szCs w:val="1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type w:val="continuous"/>
        </w:sectPr>
      </w:pPr>
    </w:p>
    <w:bookmarkStart w:id="61" w:name="page62"/>
    <w:bookmarkEnd w:id="61"/>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ind w:left="180" w:right="120"/>
        <w:spacing w:after="0" w:line="250" w:lineRule="auto"/>
        <w:rPr>
          <w:sz w:val="20"/>
          <w:szCs w:val="20"/>
          <w:color w:val="auto"/>
        </w:rPr>
      </w:pPr>
      <w:r>
        <w:rPr>
          <w:rFonts w:ascii="Arial" w:cs="Arial" w:eastAsia="Arial" w:hAnsi="Arial"/>
          <w:sz w:val="22"/>
          <w:szCs w:val="22"/>
          <w:b w:val="1"/>
          <w:bCs w:val="1"/>
          <w:i w:val="1"/>
          <w:iCs w:val="1"/>
          <w:color w:val="auto"/>
        </w:rPr>
        <w:t>A potential target company may not succeed in promoting and sustaining its brands, which could have an adverse effect on its future growth and business.</w:t>
      </w:r>
    </w:p>
    <w:p>
      <w:pPr>
        <w:spacing w:after="0" w:line="202" w:lineRule="exact"/>
        <w:rPr>
          <w:sz w:val="20"/>
          <w:szCs w:val="20"/>
          <w:color w:val="auto"/>
        </w:rPr>
      </w:pPr>
    </w:p>
    <w:p>
      <w:pPr>
        <w:ind w:right="60" w:firstLine="324"/>
        <w:spacing w:after="0" w:line="274" w:lineRule="auto"/>
        <w:rPr>
          <w:sz w:val="20"/>
          <w:szCs w:val="20"/>
          <w:color w:val="auto"/>
        </w:rPr>
      </w:pPr>
      <w:r>
        <w:rPr>
          <w:rFonts w:ascii="Arial" w:cs="Arial" w:eastAsia="Arial" w:hAnsi="Arial"/>
          <w:sz w:val="19"/>
          <w:szCs w:val="19"/>
          <w:color w:val="auto"/>
        </w:rPr>
        <w:t>A critical component of a potential target company’s future growth is its ability to promote and sustain its brands, often achieved by providing a high-quality user experience. An important element of a target company’s brand promotion strategy is establishing a relationship of trust with its consumers. In order to provide a high-quality user experience, a potential target company may need to have invested and continue to invest substantial resources in the development of products, infrastructure, fulfilment and customer service operations. Campaigns designed to enhance a potential target company’s brand and attract consumers, subject to restrictions imposed by law, can be expensive and may not result in increased sales. If a potential target company is unable to attract new customers or its consumers are dissatisfied with the quality of the products sold to them or the customer service they receive and their overall customer experience, it could see a decrease in sales, which could have a material adverse effect on the potential target company’s business, financial condition and results of operations.</w:t>
      </w:r>
    </w:p>
    <w:p>
      <w:pPr>
        <w:spacing w:after="0" w:line="185" w:lineRule="exact"/>
        <w:rPr>
          <w:sz w:val="20"/>
          <w:szCs w:val="20"/>
          <w:color w:val="auto"/>
        </w:rPr>
      </w:pPr>
    </w:p>
    <w:p>
      <w:pPr>
        <w:ind w:left="180"/>
        <w:spacing w:after="0"/>
        <w:rPr>
          <w:sz w:val="20"/>
          <w:szCs w:val="20"/>
          <w:color w:val="auto"/>
        </w:rPr>
      </w:pPr>
      <w:r>
        <w:rPr>
          <w:rFonts w:ascii="Arial" w:cs="Arial" w:eastAsia="Arial" w:hAnsi="Arial"/>
          <w:sz w:val="22"/>
          <w:szCs w:val="22"/>
          <w:b w:val="1"/>
          <w:bCs w:val="1"/>
          <w:i w:val="1"/>
          <w:iCs w:val="1"/>
          <w:color w:val="auto"/>
        </w:rPr>
        <w:t>Certain events or developments in the cannabis industry more generally may impact our reputation.</w:t>
      </w:r>
    </w:p>
    <w:p>
      <w:pPr>
        <w:spacing w:after="0" w:line="233" w:lineRule="exact"/>
        <w:rPr>
          <w:sz w:val="20"/>
          <w:szCs w:val="20"/>
          <w:color w:val="auto"/>
        </w:rPr>
      </w:pPr>
    </w:p>
    <w:p>
      <w:pPr>
        <w:ind w:firstLine="324"/>
        <w:spacing w:after="0" w:line="275" w:lineRule="auto"/>
        <w:rPr>
          <w:sz w:val="20"/>
          <w:szCs w:val="20"/>
          <w:color w:val="auto"/>
        </w:rPr>
      </w:pPr>
      <w:r>
        <w:rPr>
          <w:rFonts w:ascii="Arial" w:cs="Arial" w:eastAsia="Arial" w:hAnsi="Arial"/>
          <w:sz w:val="19"/>
          <w:szCs w:val="19"/>
          <w:color w:val="auto"/>
        </w:rPr>
        <w:t>Damage to our reputation can result from the actual or perceived occurrence of any number of events, including any negative publicity, whether true or not. If we acquire a target business in the cannabis industry, because cannabis has been commonly associated with various other narcotics, violence and criminal activities, there is a risk that our business might attract negative publicity. There is also a risk that the actions of other companies, service providers and customers in the cannabis industry may negatively affect the reputation of the industry as a whole and thereby negatively impact our reputation. The increased usage of social media and other web-based tools used to generate, publish and discuss user-generated content and to connect with other users has made it increasingly easier for individuals and groups to communicate and share negative opinions and views in regards to our activities and the cannabis industry in general, whether true or not.</w:t>
      </w:r>
    </w:p>
    <w:p>
      <w:pPr>
        <w:spacing w:after="0" w:line="184" w:lineRule="exact"/>
        <w:rPr>
          <w:sz w:val="20"/>
          <w:szCs w:val="20"/>
          <w:color w:val="auto"/>
        </w:rPr>
      </w:pPr>
    </w:p>
    <w:p>
      <w:pPr>
        <w:ind w:right="380" w:firstLine="324"/>
        <w:spacing w:after="0" w:line="297" w:lineRule="auto"/>
        <w:rPr>
          <w:sz w:val="20"/>
          <w:szCs w:val="20"/>
          <w:color w:val="auto"/>
        </w:rPr>
      </w:pPr>
      <w:r>
        <w:rPr>
          <w:rFonts w:ascii="Arial" w:cs="Arial" w:eastAsia="Arial" w:hAnsi="Arial"/>
          <w:sz w:val="19"/>
          <w:szCs w:val="19"/>
          <w:color w:val="auto"/>
        </w:rPr>
        <w:t>We do not ultimately have direct control over how we or the cannabis industry is perceived by others. Reputational issues may result in decreased investor confidence, increased challenges in developing and maintaining community relations and present an impediment to our overall ability to advance our business strategy and realize on our growth prospects.</w:t>
      </w:r>
    </w:p>
    <w:p>
      <w:pPr>
        <w:spacing w:after="0" w:line="161"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The cannabis industry is subject to the risks inherent in an agricultural business, including the risk of crop failure.</w:t>
      </w:r>
    </w:p>
    <w:p>
      <w:pPr>
        <w:spacing w:after="0" w:line="268" w:lineRule="exact"/>
        <w:rPr>
          <w:sz w:val="20"/>
          <w:szCs w:val="20"/>
          <w:color w:val="auto"/>
        </w:rPr>
      </w:pPr>
    </w:p>
    <w:p>
      <w:pPr>
        <w:ind w:right="80" w:firstLine="324"/>
        <w:spacing w:after="0" w:line="248" w:lineRule="auto"/>
        <w:rPr>
          <w:sz w:val="20"/>
          <w:szCs w:val="20"/>
          <w:color w:val="auto"/>
        </w:rPr>
      </w:pPr>
      <w:r>
        <w:rPr>
          <w:rFonts w:ascii="Arial" w:cs="Arial" w:eastAsia="Arial" w:hAnsi="Arial"/>
          <w:sz w:val="21"/>
          <w:szCs w:val="21"/>
          <w:color w:val="auto"/>
        </w:rPr>
        <w:t>The growing of cannabis is an agricultural process. As such, a target business with operations in the cannabis industry is subject to the risks inherent in the agricultural business, including risks of crop failure presented by weather, insects, plant diseases and similar agricultural risks. Although some cannabis production is conducted indoors under climate controlled conditions, cannabis continues to be grown outdoors and there can be no assurance that artificial or natural elements, such as insects and plant diseases, will not entirely interrupt production activities or have an adverse effect on the production of cannabis and, accordingly, the operations of a potential target business.</w:t>
      </w:r>
    </w:p>
    <w:p>
      <w:pPr>
        <w:spacing w:after="0" w:line="204"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The cannabis industry is subject to transportation disruptions, including those related to an agricultural product.</w:t>
      </w:r>
    </w:p>
    <w:p>
      <w:pPr>
        <w:spacing w:after="0" w:line="268" w:lineRule="exact"/>
        <w:rPr>
          <w:sz w:val="20"/>
          <w:szCs w:val="20"/>
          <w:color w:val="auto"/>
        </w:rPr>
      </w:pPr>
    </w:p>
    <w:p>
      <w:pPr>
        <w:ind w:right="20" w:firstLine="324"/>
        <w:spacing w:after="0" w:line="238" w:lineRule="auto"/>
        <w:rPr>
          <w:sz w:val="20"/>
          <w:szCs w:val="20"/>
          <w:color w:val="auto"/>
        </w:rPr>
      </w:pPr>
      <w:r>
        <w:rPr>
          <w:rFonts w:ascii="Arial" w:cs="Arial" w:eastAsia="Arial" w:hAnsi="Arial"/>
          <w:sz w:val="22"/>
          <w:szCs w:val="22"/>
          <w:color w:val="auto"/>
        </w:rPr>
        <w:t>As a business revolving mainly around the growth of an agricultural product, the ability to obtain speedy, cost-effective and efficient transport services will be essential to the prolonged operations of a potential target cannabis company’s business. Should such transportation become unavailable for prolonged periods of time, it could have a material adverse effect on the potential target company’s business, financial condition and results of operations.</w:t>
      </w:r>
    </w:p>
    <w:p>
      <w:pPr>
        <w:spacing w:after="0" w:line="212" w:lineRule="exact"/>
        <w:rPr>
          <w:sz w:val="20"/>
          <w:szCs w:val="20"/>
          <w:color w:val="auto"/>
        </w:rPr>
      </w:pPr>
    </w:p>
    <w:p>
      <w:pPr>
        <w:ind w:right="60" w:firstLine="324"/>
        <w:spacing w:after="0" w:line="235" w:lineRule="auto"/>
        <w:rPr>
          <w:sz w:val="20"/>
          <w:szCs w:val="20"/>
          <w:color w:val="auto"/>
        </w:rPr>
      </w:pPr>
      <w:r>
        <w:rPr>
          <w:rFonts w:ascii="Arial" w:cs="Arial" w:eastAsia="Arial" w:hAnsi="Arial"/>
          <w:sz w:val="22"/>
          <w:szCs w:val="22"/>
          <w:color w:val="auto"/>
        </w:rPr>
        <w:t>Due to the nature of a potential target cannabis company’s products, security of the product during transportation to and from its facilities may be important. A breach of security during transport or delivery could have a material adverse effect on a potential target company’s business, financial condition and results of operations. Any breach of the security measures during transport or delivery, including any failure to comply with recommendations or requirements of regulatory authorities, could also have an impact on the potential target company’s ability to continue operating under its license or the prospect of renewing its licenses.</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62" w:name="page63"/>
    <w:bookmarkEnd w:id="62"/>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ind w:left="180"/>
        <w:spacing w:after="0"/>
        <w:rPr>
          <w:sz w:val="20"/>
          <w:szCs w:val="20"/>
          <w:color w:val="auto"/>
        </w:rPr>
      </w:pPr>
      <w:r>
        <w:rPr>
          <w:rFonts w:ascii="Arial" w:cs="Arial" w:eastAsia="Arial" w:hAnsi="Arial"/>
          <w:sz w:val="22"/>
          <w:szCs w:val="22"/>
          <w:b w:val="1"/>
          <w:bCs w:val="1"/>
          <w:i w:val="1"/>
          <w:iCs w:val="1"/>
          <w:color w:val="auto"/>
        </w:rPr>
        <w:t>Many cannabis businesses are subject to significant environmental regulations and risks.</w:t>
      </w:r>
    </w:p>
    <w:p>
      <w:pPr>
        <w:spacing w:after="0" w:line="233" w:lineRule="exact"/>
        <w:rPr>
          <w:sz w:val="20"/>
          <w:szCs w:val="20"/>
          <w:color w:val="auto"/>
        </w:rPr>
      </w:pPr>
    </w:p>
    <w:p>
      <w:pPr>
        <w:ind w:right="160" w:firstLine="324"/>
        <w:spacing w:after="0" w:line="277" w:lineRule="auto"/>
        <w:rPr>
          <w:sz w:val="20"/>
          <w:szCs w:val="20"/>
          <w:color w:val="auto"/>
        </w:rPr>
      </w:pPr>
      <w:r>
        <w:rPr>
          <w:rFonts w:ascii="Arial" w:cs="Arial" w:eastAsia="Arial" w:hAnsi="Arial"/>
          <w:sz w:val="19"/>
          <w:szCs w:val="19"/>
          <w:color w:val="auto"/>
        </w:rPr>
        <w:t>Participants in the cannabis industry are subject to various environmental regulations in the jurisdictions in which they operate. These regulations may mandate, among other things, the maintenance of air and water quality standards and land reclamation. These regulations may also set forth limitations on the generation, transportation, storage and disposal of solid and hazardous waste. Environmental legislation is evolving in a manner which will require stricter standards and enforcement, increased fines and penalties for non-compliance, more stringent environmental assessments of proposed projects and a heightened degree of responsibility for companies and their officers, directors and employees. There is no assurance that future changes in environmental regulation, if any, will not adversely affect a potential target business.</w:t>
      </w:r>
    </w:p>
    <w:p>
      <w:pPr>
        <w:spacing w:after="0" w:line="179"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Many cannabis businesses are dependent on key personnel with sufficient experience in the cannabis industry.</w:t>
      </w:r>
    </w:p>
    <w:p>
      <w:pPr>
        <w:spacing w:after="0" w:line="268" w:lineRule="exact"/>
        <w:rPr>
          <w:sz w:val="20"/>
          <w:szCs w:val="20"/>
          <w:color w:val="auto"/>
        </w:rPr>
      </w:pPr>
    </w:p>
    <w:p>
      <w:pPr>
        <w:ind w:firstLine="324"/>
        <w:spacing w:after="0" w:line="235" w:lineRule="auto"/>
        <w:rPr>
          <w:sz w:val="20"/>
          <w:szCs w:val="20"/>
          <w:color w:val="auto"/>
        </w:rPr>
      </w:pPr>
      <w:r>
        <w:rPr>
          <w:rFonts w:ascii="Arial" w:cs="Arial" w:eastAsia="Arial" w:hAnsi="Arial"/>
          <w:sz w:val="22"/>
          <w:szCs w:val="22"/>
          <w:color w:val="auto"/>
        </w:rPr>
        <w:t>The success of businesses in the cannabis industry is largely dependent on the performance of their respective management teams and key employees and their continuing ability to attract, develop, motivate and retain highly qualified and skilled employees. Qualified individuals are in high demand, and significant costs may be incurred to attract and retain them. The loss of the services of any key personnel, or an inability to attract other suitably qualified persons when needed, could prevent a business from executing on its business plan and strategy, and the business may be unable to find adequate replacements on a timely basis, or at all.</w:t>
      </w:r>
    </w:p>
    <w:p>
      <w:pPr>
        <w:spacing w:after="0" w:line="215"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There are a limited number of management teams in the cannabis industry that are familiar with U.S. securities laws.</w:t>
      </w:r>
    </w:p>
    <w:p>
      <w:pPr>
        <w:spacing w:after="0" w:line="268" w:lineRule="exact"/>
        <w:rPr>
          <w:sz w:val="20"/>
          <w:szCs w:val="20"/>
          <w:color w:val="auto"/>
        </w:rPr>
      </w:pPr>
    </w:p>
    <w:p>
      <w:pPr>
        <w:ind w:right="60" w:firstLine="324"/>
        <w:spacing w:after="0" w:line="249" w:lineRule="auto"/>
        <w:rPr>
          <w:sz w:val="20"/>
          <w:szCs w:val="20"/>
          <w:color w:val="auto"/>
        </w:rPr>
      </w:pPr>
      <w:r>
        <w:rPr>
          <w:rFonts w:ascii="Arial" w:cs="Arial" w:eastAsia="Arial" w:hAnsi="Arial"/>
          <w:sz w:val="21"/>
          <w:szCs w:val="21"/>
          <w:color w:val="auto"/>
        </w:rPr>
        <w:t>There are a limited number of management teams in the cannabis industry that have U.S. public company experience. As a result, management of a target cannabis business, including any key personnel that it hires in the future, may not be familiar with U.S. securities laws. If such management team is unfamiliar with U.S. securities laws, they may have to expend time and resources becoming familiar with such laws. This could be expensive and time-consuming and could lead to various regulatory issues which may adversely affect our operations.</w:t>
      </w:r>
    </w:p>
    <w:p>
      <w:pPr>
        <w:spacing w:after="0" w:line="205"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It may be difficult to continuously maintain and retain a competitive talent pool with public company standards.</w:t>
      </w:r>
    </w:p>
    <w:p>
      <w:pPr>
        <w:spacing w:after="0" w:line="268" w:lineRule="exact"/>
        <w:rPr>
          <w:sz w:val="20"/>
          <w:szCs w:val="20"/>
          <w:color w:val="auto"/>
        </w:rPr>
      </w:pPr>
    </w:p>
    <w:p>
      <w:pPr>
        <w:ind w:right="200" w:firstLine="324"/>
        <w:spacing w:after="0" w:line="238" w:lineRule="auto"/>
        <w:rPr>
          <w:sz w:val="20"/>
          <w:szCs w:val="20"/>
          <w:color w:val="auto"/>
        </w:rPr>
      </w:pPr>
      <w:r>
        <w:rPr>
          <w:rFonts w:ascii="Arial" w:cs="Arial" w:eastAsia="Arial" w:hAnsi="Arial"/>
          <w:sz w:val="22"/>
          <w:szCs w:val="22"/>
          <w:color w:val="auto"/>
        </w:rPr>
        <w:t>As a target company grows, it may need to hire additional human resources to continue to develop its businesses. However, experienced talent, including senior management, with public company background in the areas of cannabis research and development, growing cannabis and extraction are difficult to source, and there can be no assurance that the appropriate individuals will be available or affordable.</w:t>
      </w:r>
    </w:p>
    <w:p>
      <w:pPr>
        <w:spacing w:after="0" w:line="212" w:lineRule="exact"/>
        <w:rPr>
          <w:sz w:val="20"/>
          <w:szCs w:val="20"/>
          <w:color w:val="auto"/>
        </w:rPr>
      </w:pPr>
    </w:p>
    <w:p>
      <w:pPr>
        <w:ind w:right="240" w:firstLine="324"/>
        <w:spacing w:after="0" w:line="257" w:lineRule="auto"/>
        <w:rPr>
          <w:sz w:val="20"/>
          <w:szCs w:val="20"/>
          <w:color w:val="auto"/>
        </w:rPr>
      </w:pPr>
      <w:r>
        <w:rPr>
          <w:rFonts w:ascii="Arial" w:cs="Arial" w:eastAsia="Arial" w:hAnsi="Arial"/>
          <w:sz w:val="21"/>
          <w:szCs w:val="21"/>
          <w:color w:val="auto"/>
        </w:rPr>
        <w:t>Without adequate personnel and expertise, the growth of the business may suffer. There can be no assurance that a target company will be able to identify, attract, hire and retain qualified personnel and expertise in the future, and any failure to do so could have a material adverse effect on the business, financial condition or results of operations.</w:t>
      </w:r>
    </w:p>
    <w:p>
      <w:pPr>
        <w:spacing w:after="0" w:line="196" w:lineRule="exact"/>
        <w:rPr>
          <w:sz w:val="20"/>
          <w:szCs w:val="20"/>
          <w:color w:val="auto"/>
        </w:rPr>
      </w:pPr>
    </w:p>
    <w:p>
      <w:pPr>
        <w:ind w:left="180"/>
        <w:spacing w:after="0"/>
        <w:rPr>
          <w:sz w:val="20"/>
          <w:szCs w:val="20"/>
          <w:color w:val="auto"/>
        </w:rPr>
      </w:pPr>
      <w:r>
        <w:rPr>
          <w:rFonts w:ascii="Arial" w:cs="Arial" w:eastAsia="Arial" w:hAnsi="Arial"/>
          <w:sz w:val="22"/>
          <w:szCs w:val="22"/>
          <w:b w:val="1"/>
          <w:bCs w:val="1"/>
          <w:i w:val="1"/>
          <w:iCs w:val="1"/>
          <w:color w:val="auto"/>
        </w:rPr>
        <w:t>A potential target company may be dependent on skilled labor and suppliers.</w:t>
      </w:r>
    </w:p>
    <w:p>
      <w:pPr>
        <w:spacing w:after="0" w:line="233" w:lineRule="exact"/>
        <w:rPr>
          <w:sz w:val="20"/>
          <w:szCs w:val="20"/>
          <w:color w:val="auto"/>
        </w:rPr>
      </w:pPr>
    </w:p>
    <w:p>
      <w:pPr>
        <w:ind w:right="40" w:firstLine="324"/>
        <w:spacing w:after="0" w:line="274" w:lineRule="auto"/>
        <w:rPr>
          <w:sz w:val="20"/>
          <w:szCs w:val="20"/>
          <w:color w:val="auto"/>
        </w:rPr>
      </w:pPr>
      <w:r>
        <w:rPr>
          <w:rFonts w:ascii="Arial" w:cs="Arial" w:eastAsia="Arial" w:hAnsi="Arial"/>
          <w:sz w:val="19"/>
          <w:szCs w:val="19"/>
          <w:color w:val="auto"/>
        </w:rPr>
        <w:t>The ability of a potential target business to compete and grow will be dependent on it having access, at a reasonable cost and in a timely manner, to skilled labor, equipment, parts and components. No assurances can be given that the potential target business will be successful in maintaining its required supply of skilled labor, equipment, parts and components. Qualified individuals are in high demand, and the potential target business may incur significant costs to attract and retain them. It is also possible that the final costs of the major equipment and materials, including packaging materials, contemplated by the potential target’s capital expenditure program may be significantly greater than anticipated by the potential target’s management, and may be greater than funds available to the potential target business, in which circumstance the potential target business may curtail, or extend the timeframes for completing, its capital expenditure plans. This could have a material adverse effect on the potential target’s business, financial condition and results of operations.</w:t>
      </w:r>
    </w:p>
    <w:p>
      <w:pPr>
        <w:spacing w:after="0" w:line="37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63" w:name="page64"/>
    <w:bookmarkEnd w:id="63"/>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ind w:left="180" w:right="720"/>
        <w:spacing w:after="0" w:line="250" w:lineRule="auto"/>
        <w:rPr>
          <w:sz w:val="20"/>
          <w:szCs w:val="20"/>
          <w:color w:val="auto"/>
        </w:rPr>
      </w:pPr>
      <w:r>
        <w:rPr>
          <w:rFonts w:ascii="Arial" w:cs="Arial" w:eastAsia="Arial" w:hAnsi="Arial"/>
          <w:sz w:val="22"/>
          <w:szCs w:val="22"/>
          <w:b w:val="1"/>
          <w:bCs w:val="1"/>
          <w:i w:val="1"/>
          <w:iCs w:val="1"/>
          <w:color w:val="auto"/>
        </w:rPr>
        <w:t>Fraudulent or illegal activity by employees, contractors and consultants may adversely affect our business, financial condition or results of operations.</w:t>
      </w:r>
    </w:p>
    <w:p>
      <w:pPr>
        <w:spacing w:after="0" w:line="202" w:lineRule="exact"/>
        <w:rPr>
          <w:sz w:val="20"/>
          <w:szCs w:val="20"/>
          <w:color w:val="auto"/>
        </w:rPr>
      </w:pPr>
    </w:p>
    <w:p>
      <w:pPr>
        <w:ind w:firstLine="324"/>
        <w:spacing w:after="0" w:line="272" w:lineRule="auto"/>
        <w:rPr>
          <w:sz w:val="20"/>
          <w:szCs w:val="20"/>
          <w:color w:val="auto"/>
        </w:rPr>
      </w:pPr>
      <w:r>
        <w:rPr>
          <w:rFonts w:ascii="Arial" w:cs="Arial" w:eastAsia="Arial" w:hAnsi="Arial"/>
          <w:sz w:val="19"/>
          <w:szCs w:val="19"/>
          <w:color w:val="auto"/>
        </w:rPr>
        <w:t>A potential target business may be exposed to the risk that any of its employees, independent contractors or consultants may engage in fraudulent or other illegal activity. Misconduct by these parties could include intentional, reckless and/or negligent conduct or disclosure of unauthorized activities that violate (i) government regulations, (ii) manufacturing standards, (iii) federal, state and provincial healthcare fraud and abuse laws and regulations, or (iv) laws that require the true, complete and accurate reporting of financial information or data. It may not always be possible for the potential target business to identify and deter misconduct by its employees and other third parties, and the precautions taken by the potential target business to detect and prevent this activity may not be effective in controlling unknown or unmanaged risks or losses or in protecting the potential target business from governmental investigations or other actions or lawsuits stemming from a failure to be in compliance with such laws or regulations. If any such actions are instituted against the potential target business, and it is not successful in defending itself or asserting its rights, those actions could have a significant impact on the business of the potential target business, including the imposition of civil, criminal and administrative penalties, damages, monetary fines, contractual damages, reputational harm, diminished profits and future earnings, and curtailment of the operations of the potential target business, any of which could have a material adverse effect on the potential target’s business, financial condition and results of operations.</w:t>
      </w:r>
    </w:p>
    <w:p>
      <w:pPr>
        <w:spacing w:after="0" w:line="183" w:lineRule="exact"/>
        <w:rPr>
          <w:sz w:val="20"/>
          <w:szCs w:val="20"/>
          <w:color w:val="auto"/>
        </w:rPr>
      </w:pPr>
    </w:p>
    <w:p>
      <w:pPr>
        <w:ind w:left="180" w:right="120"/>
        <w:spacing w:after="0" w:line="359" w:lineRule="auto"/>
        <w:rPr>
          <w:sz w:val="20"/>
          <w:szCs w:val="20"/>
          <w:color w:val="auto"/>
        </w:rPr>
      </w:pPr>
      <w:r>
        <w:rPr>
          <w:rFonts w:ascii="Arial" w:cs="Arial" w:eastAsia="Arial" w:hAnsi="Arial"/>
          <w:sz w:val="18"/>
          <w:szCs w:val="18"/>
          <w:b w:val="1"/>
          <w:bCs w:val="1"/>
          <w:i w:val="1"/>
          <w:iCs w:val="1"/>
          <w:color w:val="auto"/>
        </w:rPr>
        <w:t>A potential target cannabis company may be reliant on key inputs and may not be able to realize its cannabis production or capacity targets. The price of production of cannabis will also vary based on a number of factors outside of our control.</w:t>
      </w:r>
    </w:p>
    <w:p>
      <w:pPr>
        <w:spacing w:after="0" w:line="110" w:lineRule="exact"/>
        <w:rPr>
          <w:sz w:val="20"/>
          <w:szCs w:val="20"/>
          <w:color w:val="auto"/>
        </w:rPr>
      </w:pPr>
    </w:p>
    <w:p>
      <w:pPr>
        <w:ind w:right="60" w:firstLine="324"/>
        <w:spacing w:after="0" w:line="244" w:lineRule="auto"/>
        <w:rPr>
          <w:sz w:val="20"/>
          <w:szCs w:val="20"/>
          <w:color w:val="auto"/>
        </w:rPr>
      </w:pPr>
      <w:r>
        <w:rPr>
          <w:rFonts w:ascii="Arial" w:cs="Arial" w:eastAsia="Arial" w:hAnsi="Arial"/>
          <w:sz w:val="21"/>
          <w:szCs w:val="21"/>
          <w:color w:val="auto"/>
        </w:rPr>
        <w:t>A potential target cannabis company’s ability to produce and process cannabis, and the price of production, may be affected by a number of factors, including available space, raw materials, plant design errors, non-performance by third party contractors, increases in materials or labor costs, construction performance falling below expected levels of output or efficiency, environmental pollution, contractor or operator errors, breakdowns, processing bottlenecks, aging or failure of equipment or processes, labor disputes, as well as factors specifically related to indoor agricultural practices, such as reliance on provision of energy and utilities to the facility, and potential impacts of major incidents or catastrophic events on the facility, such as fires, explosions, earthquakes or storms. Any significant interruption or negative change in the availability or economics of the supply chain for key inputs could materially impact the business, financial condition and operating results of a potential target company. Some of these inputs may only be available from a single supplier or a limited group of suppliers, including access to the electricity grid. If a sole source supplier was to go out of business, the target company might be unable to find a replacement for such source in a timely manner or at all. If a sole source supplier were to be acquired by a competitor, that competitor may elect not to sell to the potential target company in the future. Any inability to secure required supplies and services or to do so on appropriate terms could have a materially adverse impact on the business, financial condition, results of operations and prospects of such businesses.</w:t>
      </w:r>
    </w:p>
    <w:p>
      <w:pPr>
        <w:spacing w:after="0" w:line="208" w:lineRule="exact"/>
        <w:rPr>
          <w:sz w:val="20"/>
          <w:szCs w:val="20"/>
          <w:color w:val="auto"/>
        </w:rPr>
      </w:pPr>
    </w:p>
    <w:p>
      <w:pPr>
        <w:ind w:right="40" w:firstLine="324"/>
        <w:spacing w:after="0" w:line="236" w:lineRule="auto"/>
        <w:rPr>
          <w:sz w:val="20"/>
          <w:szCs w:val="20"/>
          <w:color w:val="auto"/>
        </w:rPr>
      </w:pPr>
      <w:r>
        <w:rPr>
          <w:rFonts w:ascii="Arial" w:cs="Arial" w:eastAsia="Arial" w:hAnsi="Arial"/>
          <w:sz w:val="22"/>
          <w:szCs w:val="22"/>
          <w:color w:val="auto"/>
        </w:rPr>
        <w:t>In addition, the price of production, sale and distribution of cannabis will fluctuate widely due to, among other factors, how young the cannabis industry is and the impact of numerous factors beyond the control of such businesses, including international, economic and political trends, expectations of inflation, currency exchange fluctuations, interest rates, global or regional consumptive patterns, speculative activities and increased production due to new production and distribution developments and improved production and distribution methods.</w:t>
      </w:r>
    </w:p>
    <w:p>
      <w:pPr>
        <w:spacing w:after="0" w:line="214" w:lineRule="exact"/>
        <w:rPr>
          <w:sz w:val="20"/>
          <w:szCs w:val="20"/>
          <w:color w:val="auto"/>
        </w:rPr>
      </w:pPr>
    </w:p>
    <w:p>
      <w:pPr>
        <w:ind w:left="180"/>
        <w:spacing w:after="0"/>
        <w:rPr>
          <w:sz w:val="20"/>
          <w:szCs w:val="20"/>
          <w:color w:val="auto"/>
        </w:rPr>
      </w:pPr>
      <w:r>
        <w:rPr>
          <w:rFonts w:ascii="Arial" w:cs="Arial" w:eastAsia="Arial" w:hAnsi="Arial"/>
          <w:sz w:val="22"/>
          <w:szCs w:val="22"/>
          <w:b w:val="1"/>
          <w:bCs w:val="1"/>
          <w:i w:val="1"/>
          <w:iCs w:val="1"/>
          <w:color w:val="auto"/>
        </w:rPr>
        <w:t>A potential target company may be vulnerable to rising energy costs.</w:t>
      </w:r>
    </w:p>
    <w:p>
      <w:pPr>
        <w:spacing w:after="0" w:line="233" w:lineRule="exact"/>
        <w:rPr>
          <w:sz w:val="20"/>
          <w:szCs w:val="20"/>
          <w:color w:val="auto"/>
        </w:rPr>
      </w:pPr>
    </w:p>
    <w:p>
      <w:pPr>
        <w:ind w:right="140" w:firstLine="324"/>
        <w:spacing w:after="0" w:line="238" w:lineRule="auto"/>
        <w:rPr>
          <w:sz w:val="20"/>
          <w:szCs w:val="20"/>
          <w:color w:val="auto"/>
        </w:rPr>
      </w:pPr>
      <w:r>
        <w:rPr>
          <w:rFonts w:ascii="Arial" w:cs="Arial" w:eastAsia="Arial" w:hAnsi="Arial"/>
          <w:sz w:val="22"/>
          <w:szCs w:val="22"/>
          <w:color w:val="auto"/>
        </w:rPr>
        <w:t>Cannabis growing operations consume considerable energy, which makes a potential target cannabis company vulnerable to rising energy costs and/or the availability of stable energy sources. Accordingly, rising or volatile energy costs or the inability to access stable energy sources may have a material adverse effect on the potential target company’s business, financial condition and results of operations.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64" w:name="page65"/>
    <w:bookmarkEnd w:id="64"/>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ind w:left="180"/>
        <w:spacing w:after="0"/>
        <w:rPr>
          <w:sz w:val="20"/>
          <w:szCs w:val="20"/>
          <w:color w:val="auto"/>
        </w:rPr>
      </w:pPr>
      <w:r>
        <w:rPr>
          <w:rFonts w:ascii="Arial" w:cs="Arial" w:eastAsia="Arial" w:hAnsi="Arial"/>
          <w:sz w:val="19"/>
          <w:szCs w:val="19"/>
          <w:b w:val="1"/>
          <w:bCs w:val="1"/>
          <w:i w:val="1"/>
          <w:iCs w:val="1"/>
          <w:color w:val="auto"/>
        </w:rPr>
        <w:t>To the extent we acquire cannabis businesses or assets, there may be a lack of access to U.S. bankruptcy protections.</w:t>
      </w:r>
    </w:p>
    <w:p>
      <w:pPr>
        <w:spacing w:after="0" w:line="268" w:lineRule="exact"/>
        <w:rPr>
          <w:sz w:val="20"/>
          <w:szCs w:val="20"/>
          <w:color w:val="auto"/>
        </w:rPr>
      </w:pPr>
    </w:p>
    <w:p>
      <w:pPr>
        <w:ind w:firstLine="324"/>
        <w:spacing w:after="0" w:line="249" w:lineRule="auto"/>
        <w:rPr>
          <w:sz w:val="20"/>
          <w:szCs w:val="20"/>
          <w:color w:val="auto"/>
        </w:rPr>
      </w:pPr>
      <w:r>
        <w:rPr>
          <w:rFonts w:ascii="Arial" w:cs="Arial" w:eastAsia="Arial" w:hAnsi="Arial"/>
          <w:sz w:val="21"/>
          <w:szCs w:val="21"/>
          <w:color w:val="auto"/>
        </w:rPr>
        <w:t>Because cannabis is illegal under U.S. federal law, many courts have denied cannabis businesses bankruptcy protections, thus making it very difficult for lenders to recoup their investments in the cannabis industry in the event of a bankruptcy. If a company we acquire as part of a qualifying transaction were to experience a bankruptcy, there is no guarantee that U.S. federal bankruptcy protections would be available, which could have a material adverse effect on the financial condition and prospects of such business and on the rights of its lenders and security holders.</w:t>
      </w:r>
    </w:p>
    <w:p>
      <w:pPr>
        <w:spacing w:after="0" w:line="208"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Unresolved Staff Comments</w:t>
      </w:r>
    </w:p>
    <w:p>
      <w:pPr>
        <w:spacing w:after="0" w:line="249" w:lineRule="exact"/>
        <w:rPr>
          <w:sz w:val="20"/>
          <w:szCs w:val="20"/>
          <w:color w:val="auto"/>
        </w:rPr>
      </w:pPr>
    </w:p>
    <w:p>
      <w:pPr>
        <w:ind w:left="340"/>
        <w:spacing w:after="0"/>
        <w:rPr>
          <w:sz w:val="20"/>
          <w:szCs w:val="20"/>
          <w:color w:val="auto"/>
        </w:rPr>
      </w:pPr>
      <w:r>
        <w:rPr>
          <w:rFonts w:ascii="Arial" w:cs="Arial" w:eastAsia="Arial" w:hAnsi="Arial"/>
          <w:sz w:val="22"/>
          <w:szCs w:val="22"/>
          <w:color w:val="auto"/>
        </w:rPr>
        <w:t>None.</w:t>
      </w:r>
    </w:p>
    <w:p>
      <w:pPr>
        <w:spacing w:after="0" w:line="236"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Property</w:t>
      </w:r>
    </w:p>
    <w:p>
      <w:pPr>
        <w:spacing w:after="0" w:line="243" w:lineRule="exact"/>
        <w:rPr>
          <w:sz w:val="20"/>
          <w:szCs w:val="20"/>
          <w:color w:val="auto"/>
        </w:rPr>
      </w:pPr>
    </w:p>
    <w:p>
      <w:pPr>
        <w:jc w:val="both"/>
        <w:ind w:right="140" w:firstLine="324"/>
        <w:spacing w:after="0" w:line="202" w:lineRule="auto"/>
        <w:rPr>
          <w:sz w:val="20"/>
          <w:szCs w:val="20"/>
          <w:color w:val="auto"/>
        </w:rPr>
      </w:pPr>
      <w:r>
        <w:rPr>
          <w:rFonts w:ascii="Arial" w:cs="Arial" w:eastAsia="Arial" w:hAnsi="Arial"/>
          <w:sz w:val="22"/>
          <w:szCs w:val="22"/>
          <w:color w:val="auto"/>
        </w:rPr>
        <w:t>We currently maintain our executive offices at 600 Madison Ave, 17</w:t>
      </w:r>
      <w:r>
        <w:rPr>
          <w:rFonts w:ascii="Arial" w:cs="Arial" w:eastAsia="Arial" w:hAnsi="Arial"/>
          <w:sz w:val="35"/>
          <w:szCs w:val="35"/>
          <w:color w:val="auto"/>
          <w:vertAlign w:val="superscript"/>
        </w:rPr>
        <w:t>th</w:t>
      </w:r>
      <w:r>
        <w:rPr>
          <w:rFonts w:ascii="Arial" w:cs="Arial" w:eastAsia="Arial" w:hAnsi="Arial"/>
          <w:sz w:val="22"/>
          <w:szCs w:val="22"/>
          <w:color w:val="auto"/>
        </w:rPr>
        <w:t xml:space="preserve"> Floor, New York, New York, 10022. The cost for the space is included in the up to $20,000 monthly fee that we pay our sponsor for office space, administrative and support services. We consider our current office space adequate for our current operations.</w:t>
      </w:r>
    </w:p>
    <w:p>
      <w:pPr>
        <w:spacing w:after="0" w:line="21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Legal Proceedings</w:t>
      </w:r>
    </w:p>
    <w:p>
      <w:pPr>
        <w:spacing w:after="0" w:line="249" w:lineRule="exact"/>
        <w:rPr>
          <w:sz w:val="20"/>
          <w:szCs w:val="20"/>
          <w:color w:val="auto"/>
        </w:rPr>
      </w:pPr>
    </w:p>
    <w:p>
      <w:pPr>
        <w:ind w:right="680" w:firstLine="324"/>
        <w:spacing w:after="0" w:line="274" w:lineRule="auto"/>
        <w:rPr>
          <w:sz w:val="20"/>
          <w:szCs w:val="20"/>
          <w:color w:val="auto"/>
        </w:rPr>
      </w:pPr>
      <w:r>
        <w:rPr>
          <w:rFonts w:ascii="Arial" w:cs="Arial" w:eastAsia="Arial" w:hAnsi="Arial"/>
          <w:sz w:val="21"/>
          <w:szCs w:val="21"/>
          <w:color w:val="auto"/>
        </w:rPr>
        <w:t>To the knowledge of our management, there is no material litigation, arbitration or governmental proceeding currently pending against us or any members of our management team in their capacity as such.</w:t>
      </w:r>
    </w:p>
    <w:p>
      <w:pPr>
        <w:spacing w:after="0" w:line="18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249" w:lineRule="exact"/>
        <w:rPr>
          <w:sz w:val="20"/>
          <w:szCs w:val="20"/>
          <w:color w:val="auto"/>
        </w:rPr>
      </w:pPr>
    </w:p>
    <w:p>
      <w:pPr>
        <w:ind w:left="340"/>
        <w:spacing w:after="0"/>
        <w:rPr>
          <w:sz w:val="20"/>
          <w:szCs w:val="20"/>
          <w:color w:val="auto"/>
        </w:rPr>
      </w:pPr>
      <w:r>
        <w:rPr>
          <w:rFonts w:ascii="Arial" w:cs="Arial" w:eastAsia="Arial" w:hAnsi="Arial"/>
          <w:sz w:val="22"/>
          <w:szCs w:val="22"/>
          <w:color w:val="auto"/>
        </w:rPr>
        <w:t>Not applicable.</w:t>
      </w:r>
    </w:p>
    <w:p>
      <w:pPr>
        <w:spacing w:after="0" w:line="200" w:lineRule="exact"/>
        <w:rPr>
          <w:sz w:val="20"/>
          <w:szCs w:val="20"/>
          <w:color w:val="auto"/>
        </w:rPr>
      </w:pP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65" w:name="page66"/>
    <w:bookmarkEnd w:id="65"/>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PART II</w:t>
      </w:r>
    </w:p>
    <w:p>
      <w:pPr>
        <w:spacing w:after="0" w:line="242"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Market for Registrant’s Common Equity, Related Stockholder Matters and Issuer Purchases of Equity Securities</w:t>
      </w:r>
    </w:p>
    <w:p>
      <w:pPr>
        <w:spacing w:after="0" w:line="243"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(a) Market Information</w:t>
      </w:r>
    </w:p>
    <w:p>
      <w:pPr>
        <w:spacing w:after="0" w:line="239" w:lineRule="exact"/>
        <w:rPr>
          <w:sz w:val="20"/>
          <w:szCs w:val="20"/>
          <w:color w:val="auto"/>
        </w:rPr>
      </w:pPr>
    </w:p>
    <w:p>
      <w:pPr>
        <w:ind w:right="340" w:firstLine="324"/>
        <w:spacing w:after="0"/>
        <w:rPr>
          <w:sz w:val="20"/>
          <w:szCs w:val="20"/>
          <w:color w:val="auto"/>
        </w:rPr>
      </w:pPr>
      <w:r>
        <w:rPr>
          <w:rFonts w:ascii="Arial" w:cs="Arial" w:eastAsia="Arial" w:hAnsi="Arial"/>
          <w:sz w:val="22"/>
          <w:szCs w:val="22"/>
          <w:color w:val="auto"/>
        </w:rPr>
        <w:t>Our units, Class A ordinary shares and warrants are each traded on the Nasdaq under the symbols “SSPKU,” “SSPK” and “SSPKW,” respectively. Our units commenced public trading on August 8, 2019. Our Class A ordinary shares and warrants began separate trading on January 14, 2020.</w:t>
      </w:r>
    </w:p>
    <w:p>
      <w:pPr>
        <w:spacing w:after="0" w:line="207"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(b) Holders</w:t>
      </w:r>
    </w:p>
    <w:p>
      <w:pPr>
        <w:spacing w:after="0" w:line="239" w:lineRule="exact"/>
        <w:rPr>
          <w:sz w:val="20"/>
          <w:szCs w:val="20"/>
          <w:color w:val="auto"/>
        </w:rPr>
      </w:pPr>
    </w:p>
    <w:p>
      <w:pPr>
        <w:ind w:right="320" w:firstLine="324"/>
        <w:spacing w:after="0" w:line="250" w:lineRule="auto"/>
        <w:rPr>
          <w:sz w:val="20"/>
          <w:szCs w:val="20"/>
          <w:color w:val="auto"/>
        </w:rPr>
      </w:pPr>
      <w:r>
        <w:rPr>
          <w:rFonts w:ascii="Arial" w:cs="Arial" w:eastAsia="Arial" w:hAnsi="Arial"/>
          <w:sz w:val="22"/>
          <w:szCs w:val="22"/>
          <w:color w:val="auto"/>
        </w:rPr>
        <w:t>On March 24, 2020, there were one holder of record of our units, one holder of record of our Class A ordinary shares, one holder of our Class B ordinary shares and two holders of record of our warrants.</w:t>
      </w:r>
    </w:p>
    <w:p>
      <w:pPr>
        <w:spacing w:after="0" w:line="196"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(c) Dividends</w:t>
      </w:r>
    </w:p>
    <w:p>
      <w:pPr>
        <w:spacing w:after="0" w:line="239" w:lineRule="exact"/>
        <w:rPr>
          <w:sz w:val="20"/>
          <w:szCs w:val="20"/>
          <w:color w:val="auto"/>
        </w:rPr>
      </w:pPr>
    </w:p>
    <w:p>
      <w:pPr>
        <w:ind w:right="20" w:firstLine="324"/>
        <w:spacing w:after="0" w:line="277" w:lineRule="auto"/>
        <w:rPr>
          <w:sz w:val="20"/>
          <w:szCs w:val="20"/>
          <w:color w:val="auto"/>
        </w:rPr>
      </w:pPr>
      <w:r>
        <w:rPr>
          <w:rFonts w:ascii="Arial" w:cs="Arial" w:eastAsia="Arial" w:hAnsi="Arial"/>
          <w:sz w:val="19"/>
          <w:szCs w:val="19"/>
          <w:color w:val="auto"/>
        </w:rPr>
        <w:t>We have not paid any cash dividends on our ordinary shares to date and do not intend to pay cash dividends prior to the completion of our initial business combination. The payment of cash dividends in the future will be dependent upon our revenues and earnings, if any, capital requirements and general financial condition subsequent to completion of our initial business combination. The payment of any cash dividends subsequent to our initial business combination will be within the discretion of our board of directors at such time. In addition, our board of directors is not currently contemplating and does not anticipate declaring any share dividends in the foreseeable future. Further, if we incur any indebtedness in connection with a business combination, our ability to declare dividends may be limited by restrictive covenants we may agree to in connection therewith.</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(d) Securities Authorized for Issuance Under Equity Compensation Plans</w:t>
      </w:r>
    </w:p>
    <w:p>
      <w:pPr>
        <w:spacing w:after="0" w:line="239" w:lineRule="exact"/>
        <w:rPr>
          <w:sz w:val="20"/>
          <w:szCs w:val="20"/>
          <w:color w:val="auto"/>
        </w:rPr>
      </w:pPr>
    </w:p>
    <w:p>
      <w:pPr>
        <w:ind w:left="340"/>
        <w:spacing w:after="0"/>
        <w:rPr>
          <w:sz w:val="20"/>
          <w:szCs w:val="20"/>
          <w:color w:val="auto"/>
        </w:rPr>
      </w:pPr>
      <w:r>
        <w:rPr>
          <w:rFonts w:ascii="Arial" w:cs="Arial" w:eastAsia="Arial" w:hAnsi="Arial"/>
          <w:sz w:val="22"/>
          <w:szCs w:val="22"/>
          <w:color w:val="auto"/>
        </w:rPr>
        <w:t>None.</w:t>
      </w:r>
    </w:p>
    <w:p>
      <w:pPr>
        <w:spacing w:after="0" w:line="227"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(e) Performance Graph</w:t>
      </w:r>
    </w:p>
    <w:p>
      <w:pPr>
        <w:spacing w:after="0" w:line="239" w:lineRule="exact"/>
        <w:rPr>
          <w:sz w:val="20"/>
          <w:szCs w:val="20"/>
          <w:color w:val="auto"/>
        </w:rPr>
      </w:pPr>
    </w:p>
    <w:p>
      <w:pPr>
        <w:ind w:left="340"/>
        <w:spacing w:after="0"/>
        <w:rPr>
          <w:sz w:val="20"/>
          <w:szCs w:val="20"/>
          <w:color w:val="auto"/>
        </w:rPr>
      </w:pPr>
      <w:r>
        <w:rPr>
          <w:rFonts w:ascii="Arial" w:cs="Arial" w:eastAsia="Arial" w:hAnsi="Arial"/>
          <w:sz w:val="22"/>
          <w:szCs w:val="22"/>
          <w:color w:val="auto"/>
        </w:rPr>
        <w:t>Not applicable.</w:t>
      </w:r>
    </w:p>
    <w:p>
      <w:pPr>
        <w:spacing w:after="0" w:line="227"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(f) Recent Sales of Unregistered Securities; Use of Proceeds from Registered Offerings</w:t>
      </w:r>
    </w:p>
    <w:p>
      <w:pPr>
        <w:spacing w:after="0" w:line="239" w:lineRule="exact"/>
        <w:rPr>
          <w:sz w:val="20"/>
          <w:szCs w:val="20"/>
          <w:color w:val="auto"/>
        </w:rPr>
      </w:pPr>
    </w:p>
    <w:p>
      <w:pPr>
        <w:ind w:left="340"/>
        <w:spacing w:after="0"/>
        <w:rPr>
          <w:sz w:val="20"/>
          <w:szCs w:val="20"/>
          <w:color w:val="auto"/>
        </w:rPr>
      </w:pPr>
      <w:r>
        <w:rPr>
          <w:rFonts w:ascii="Arial" w:cs="Arial" w:eastAsia="Arial" w:hAnsi="Arial"/>
          <w:sz w:val="22"/>
          <w:szCs w:val="22"/>
          <w:color w:val="auto"/>
        </w:rPr>
        <w:t>Unregistered Sales</w:t>
      </w:r>
    </w:p>
    <w:p>
      <w:pPr>
        <w:spacing w:after="0" w:line="233" w:lineRule="exact"/>
        <w:rPr>
          <w:sz w:val="20"/>
          <w:szCs w:val="20"/>
          <w:color w:val="auto"/>
        </w:rPr>
      </w:pPr>
    </w:p>
    <w:p>
      <w:pPr>
        <w:ind w:right="100" w:firstLine="324"/>
        <w:spacing w:after="0" w:line="297" w:lineRule="auto"/>
        <w:rPr>
          <w:sz w:val="20"/>
          <w:szCs w:val="20"/>
          <w:color w:val="auto"/>
        </w:rPr>
      </w:pPr>
      <w:r>
        <w:rPr>
          <w:rFonts w:ascii="Arial" w:cs="Arial" w:eastAsia="Arial" w:hAnsi="Arial"/>
          <w:sz w:val="19"/>
          <w:szCs w:val="19"/>
          <w:color w:val="auto"/>
        </w:rPr>
        <w:t>In June 2019, we issued an aggregate of 7,187,500 Class B ordinary shares to our sponsor for an aggregate purchase price of $25,000 (the founder shares). On September 23, 2019, in connection with the expiration of the underwriter’s over-allotment option, our sponsor surrendered 937,500 founder shares. As a result, our sponsor now owns 6,250,000 founder shares.</w:t>
      </w:r>
    </w:p>
    <w:p>
      <w:pPr>
        <w:spacing w:after="0" w:line="161" w:lineRule="exact"/>
        <w:rPr>
          <w:sz w:val="20"/>
          <w:szCs w:val="20"/>
          <w:color w:val="auto"/>
        </w:rPr>
      </w:pPr>
    </w:p>
    <w:p>
      <w:pPr>
        <w:ind w:firstLine="324"/>
        <w:spacing w:after="0" w:line="244" w:lineRule="auto"/>
        <w:rPr>
          <w:sz w:val="20"/>
          <w:szCs w:val="20"/>
          <w:color w:val="auto"/>
        </w:rPr>
      </w:pPr>
      <w:r>
        <w:rPr>
          <w:rFonts w:ascii="Arial" w:cs="Arial" w:eastAsia="Arial" w:hAnsi="Arial"/>
          <w:sz w:val="21"/>
          <w:szCs w:val="21"/>
          <w:color w:val="auto"/>
        </w:rPr>
        <w:t>The founder shares will automatically convert into Class A ordinary shares on the first business day following the completion of our initial business combination on a one-for-one basis, subject to certain adjustments. In the case that additional Class A ordinary shares, or equity-linked securities convertible or exercisable for Class A ordinary shares, are issued or deemed issued in excess of the amounts issued in our initial public offering and related to the closing of our initial business combination, the ratio at which founder shares will convert into Class A ordinary shares will be adjusted (subject to waiver by holders of a majority of the Class B ordinary shares then in issue) so that the number of Class A ordinary shares issuable upon conversion of all Class B ordinary shares will equal, in the aggregate, on an as-converted basis, 20% of the sum of our ordinary shares issued and outstanding upon the completion of our initial public offering plus the number of Class A ordinary shares and equity-linked securities issued or deemed issued in connection with our initial business combination (net of redemptions), excluding the representative shares and any Class A ordinary shares or equity-linked securities issued, or to be issued, to any seller in our initial business combination and any private placement warrants issued to our sponsor, an affiliate of our sponsor or any of our officers or directors.</w:t>
      </w:r>
    </w:p>
    <w:p>
      <w:pPr>
        <w:sectPr>
          <w:pgSz w:w="11900" w:h="16838" w:orient="portrait"/>
          <w:cols w:equalWidth="0" w:num="1">
            <w:col w:w="11200"/>
          </w:cols>
          <w:pgMar w:left="320" w:top="122" w:right="37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59"/>
        <w:spacing w:after="0"/>
        <w:rPr>
          <w:sz w:val="20"/>
          <w:szCs w:val="20"/>
          <w:color w:val="auto"/>
        </w:rPr>
      </w:pPr>
      <w:r>
        <w:rPr>
          <w:rFonts w:ascii="Arial" w:cs="Arial" w:eastAsia="Arial" w:hAnsi="Arial"/>
          <w:sz w:val="12"/>
          <w:szCs w:val="12"/>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type w:val="continuous"/>
        </w:sectPr>
      </w:pPr>
    </w:p>
    <w:bookmarkStart w:id="66" w:name="page67"/>
    <w:bookmarkEnd w:id="66"/>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ind w:right="40" w:firstLine="324"/>
        <w:spacing w:after="0" w:line="245" w:lineRule="auto"/>
        <w:rPr>
          <w:sz w:val="20"/>
          <w:szCs w:val="20"/>
          <w:color w:val="auto"/>
        </w:rPr>
      </w:pPr>
      <w:r>
        <w:rPr>
          <w:rFonts w:ascii="Arial" w:cs="Arial" w:eastAsia="Arial" w:hAnsi="Arial"/>
          <w:sz w:val="21"/>
          <w:szCs w:val="21"/>
          <w:color w:val="auto"/>
        </w:rPr>
        <w:t>With certain limited exceptions, the founder shares are not transferable, assignable or salable (except to our officers and directors and other persons or entities affiliated with our sponsor, each of whom are subject to the same transfer restrictions) until the earlier of (A) one year after the completion of our initial business combination or (B) subsequent to our initial business combination, (x) if the last reported sale price of the ordinary shares equals or exceeds $12.00 per share (as adjusted for share splits, share dividends, rights issuances, subdivisions, reorganizations, recapitalizations and the like) for any 20 trading days within any 30-trading day period commencing at least 150 days after our initial business combination, or (y) the date following the completion of our initial business combination on which we complete a liquidation, merger, amalgamation, share exchange, reorganization or other similar transaction that results in all of our public shareholders having the right to exchange their Class A ordinary shares for cash, securities or other property.</w:t>
      </w:r>
    </w:p>
    <w:p>
      <w:pPr>
        <w:spacing w:after="0" w:line="211" w:lineRule="exact"/>
        <w:rPr>
          <w:sz w:val="20"/>
          <w:szCs w:val="20"/>
          <w:color w:val="auto"/>
        </w:rPr>
      </w:pPr>
    </w:p>
    <w:p>
      <w:pPr>
        <w:ind w:right="80" w:firstLine="324"/>
        <w:spacing w:after="0" w:line="275" w:lineRule="auto"/>
        <w:rPr>
          <w:sz w:val="20"/>
          <w:szCs w:val="20"/>
          <w:color w:val="auto"/>
        </w:rPr>
      </w:pPr>
      <w:r>
        <w:rPr>
          <w:rFonts w:ascii="Arial" w:cs="Arial" w:eastAsia="Arial" w:hAnsi="Arial"/>
          <w:sz w:val="19"/>
          <w:szCs w:val="19"/>
          <w:color w:val="auto"/>
        </w:rPr>
        <w:t>Our sponsor purchased 7,000,000 private placement warrants at a price of $1.00 per warrant in a private placement that occurred concurrently with the closing of our initial public offering and generated gross proceeds of $7,000,000. Each private placement warrant is exercisable for one Class A ordinary share at a price of $11.50 per share. The proceeds from the sale of the private placement warrants were added to the net proceeds from the initial public offering held in the trust account. If we do not complete a business combination within 18 months from the closing of our initial public offering, the private placement warrants will expire worthless. The private placement warrants are non-redeemable and exercisable on a cashless basis so long as they are held by our sponsor or its permitted transferees. The sale of the private placement warrants was made pursuant to the exemption from registration contained in Section 4(a)(2) of the Securities Act.</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22"/>
          <w:szCs w:val="22"/>
          <w:i w:val="1"/>
          <w:iCs w:val="1"/>
          <w:color w:val="auto"/>
        </w:rPr>
        <w:t>Use of Proceeds</w:t>
      </w:r>
    </w:p>
    <w:p>
      <w:pPr>
        <w:spacing w:after="0" w:line="233" w:lineRule="exact"/>
        <w:rPr>
          <w:sz w:val="20"/>
          <w:szCs w:val="20"/>
          <w:color w:val="auto"/>
        </w:rPr>
      </w:pPr>
    </w:p>
    <w:p>
      <w:pPr>
        <w:ind w:right="20" w:firstLine="324"/>
        <w:spacing w:after="0" w:line="297" w:lineRule="auto"/>
        <w:rPr>
          <w:sz w:val="20"/>
          <w:szCs w:val="20"/>
          <w:color w:val="auto"/>
        </w:rPr>
      </w:pPr>
      <w:r>
        <w:rPr>
          <w:rFonts w:ascii="Arial" w:cs="Arial" w:eastAsia="Arial" w:hAnsi="Arial"/>
          <w:sz w:val="19"/>
          <w:szCs w:val="19"/>
          <w:color w:val="auto"/>
        </w:rPr>
        <w:t>Of the $257,000,000 in proceeds we received from our initial public offering and the sale of the private placement warrants, a total of $250,000,000, including $8,750,000 payable to the underwriter for deferred underwriting commissions, was placed in a U.S.-based trust account maintained by Continental Stock Transfer &amp; Trust Company, acting as trustee.</w:t>
      </w:r>
    </w:p>
    <w:p>
      <w:pPr>
        <w:spacing w:after="0" w:line="161" w:lineRule="exact"/>
        <w:rPr>
          <w:sz w:val="20"/>
          <w:szCs w:val="20"/>
          <w:color w:val="auto"/>
        </w:rPr>
      </w:pPr>
    </w:p>
    <w:p>
      <w:pPr>
        <w:ind w:right="800" w:firstLine="324"/>
        <w:spacing w:after="0" w:line="328" w:lineRule="auto"/>
        <w:rPr>
          <w:sz w:val="20"/>
          <w:szCs w:val="20"/>
          <w:color w:val="auto"/>
        </w:rPr>
      </w:pPr>
      <w:r>
        <w:rPr>
          <w:rFonts w:ascii="Arial" w:cs="Arial" w:eastAsia="Arial" w:hAnsi="Arial"/>
          <w:sz w:val="19"/>
          <w:szCs w:val="19"/>
          <w:color w:val="auto"/>
        </w:rPr>
        <w:t>There has been no material change in the planned use of proceeds from such use as described in the Company’s final prospectus (File No. 333-232734), dated August 7, 2019, which was declared effective by the SEC on August 7, 2019.</w:t>
      </w:r>
    </w:p>
    <w:p>
      <w:pPr>
        <w:spacing w:after="0" w:line="132" w:lineRule="exact"/>
        <w:rPr>
          <w:sz w:val="20"/>
          <w:szCs w:val="20"/>
          <w:color w:val="auto"/>
        </w:rPr>
      </w:pPr>
    </w:p>
    <w:p>
      <w:pPr>
        <w:ind w:left="340" w:right="4540" w:hanging="8"/>
        <w:spacing w:after="0" w:line="462" w:lineRule="auto"/>
        <w:tabs>
          <w:tab w:leader="none" w:pos="646" w:val="left"/>
        </w:tabs>
        <w:numPr>
          <w:ilvl w:val="0"/>
          <w:numId w:val="24"/>
        </w:numPr>
        <w:rPr>
          <w:rFonts w:ascii="Arial" w:cs="Arial" w:eastAsia="Arial" w:hAnsi="Arial"/>
          <w:sz w:val="22"/>
          <w:szCs w:val="22"/>
          <w:color w:val="auto"/>
        </w:rPr>
      </w:pPr>
      <w:r>
        <w:rPr>
          <w:rFonts w:ascii="Arial" w:cs="Arial" w:eastAsia="Arial" w:hAnsi="Arial"/>
          <w:sz w:val="22"/>
          <w:szCs w:val="22"/>
          <w:color w:val="auto"/>
        </w:rPr>
        <w:t>Purchases of Equity Securities by the Issuer and Affiliated Purchasers None.</w:t>
      </w:r>
    </w:p>
    <w:p>
      <w:pPr>
        <w:spacing w:after="0" w:line="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Selected Financial Data</w:t>
      </w:r>
    </w:p>
    <w:p>
      <w:pPr>
        <w:spacing w:after="0" w:line="249" w:lineRule="exact"/>
        <w:rPr>
          <w:sz w:val="20"/>
          <w:szCs w:val="20"/>
          <w:color w:val="auto"/>
        </w:rPr>
      </w:pPr>
    </w:p>
    <w:p>
      <w:pPr>
        <w:ind w:left="340"/>
        <w:spacing w:after="0"/>
        <w:rPr>
          <w:sz w:val="20"/>
          <w:szCs w:val="20"/>
          <w:color w:val="auto"/>
        </w:rPr>
      </w:pPr>
      <w:r>
        <w:rPr>
          <w:rFonts w:ascii="Arial" w:cs="Arial" w:eastAsia="Arial" w:hAnsi="Arial"/>
          <w:sz w:val="22"/>
          <w:szCs w:val="22"/>
          <w:color w:val="auto"/>
        </w:rPr>
        <w:t>Not applicable.</w:t>
      </w:r>
    </w:p>
    <w:p>
      <w:pPr>
        <w:spacing w:after="0" w:line="236"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4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Forward-Looking Statements</w:t>
      </w:r>
    </w:p>
    <w:p>
      <w:pPr>
        <w:spacing w:after="0" w:line="239" w:lineRule="exact"/>
        <w:rPr>
          <w:sz w:val="20"/>
          <w:szCs w:val="20"/>
          <w:color w:val="auto"/>
        </w:rPr>
      </w:pPr>
    </w:p>
    <w:p>
      <w:pPr>
        <w:ind w:firstLine="324"/>
        <w:spacing w:after="0" w:line="271" w:lineRule="auto"/>
        <w:rPr>
          <w:sz w:val="20"/>
          <w:szCs w:val="20"/>
          <w:color w:val="auto"/>
        </w:rPr>
      </w:pPr>
      <w:r>
        <w:rPr>
          <w:rFonts w:ascii="Arial" w:cs="Arial" w:eastAsia="Arial" w:hAnsi="Arial"/>
          <w:sz w:val="19"/>
          <w:szCs w:val="19"/>
          <w:color w:val="auto"/>
        </w:rPr>
        <w:t>All statements other than statements of historical fact included in this annual report including, without limitation, statements under this “Item 7. Management’s Discussion and Analysis of Financial Condition and Results of Operations” regarding our financial position, business strategy and the plans and objectives of management for future operations, are forward looking statements. When used in this annual report, words such “may,” “should,” “could,” “would,” “expect,” “plan,” “anticipate,” “believe,” “estimate,” “continue,” or the negative of such terms or other similar expressions, as they relate to us or our management, identify forward looking statements. Factors that might cause or contribute to such a discrepancy include, but are not limited to, those described in our other SEC filings. Such forward looking statements are based on the beliefs of management, as well as assumptions made by, and information currently available to, our management. No assurance can be given that results in any forward-looking statement will be achieved and actual results could be affected by one or more factors, which could cause them to differ materially. The cautionary statements made in this annual report should be read as being applicable to all forward-looking statements whenever they appear in this annual report. For these statements, we claim the protection of the safe harbor for forward-looking statements contained in the Private Securities Litigation Reform Act. Actual results could differ materially from those contemplated by the forward looking statements as a result of certain factors detailed in our filings with the SEC. All subsequent written or oral forward looking statements attributable to us or persons acting on our behalf are qualified in their entirety by this paragraph.</w:t>
      </w:r>
    </w:p>
    <w:p>
      <w:pPr>
        <w:sectPr>
          <w:pgSz w:w="11900" w:h="16838" w:orient="portrait"/>
          <w:cols w:equalWidth="0" w:num="1">
            <w:col w:w="11220"/>
          </w:cols>
          <w:pgMar w:left="320" w:top="122"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type w:val="continuous"/>
        </w:sectPr>
      </w:pPr>
    </w:p>
    <w:bookmarkStart w:id="67" w:name="page68"/>
    <w:bookmarkEnd w:id="67"/>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Overview</w:t>
      </w:r>
    </w:p>
    <w:p>
      <w:pPr>
        <w:spacing w:after="0" w:line="239" w:lineRule="exact"/>
        <w:rPr>
          <w:sz w:val="20"/>
          <w:szCs w:val="20"/>
          <w:color w:val="auto"/>
        </w:rPr>
      </w:pPr>
    </w:p>
    <w:p>
      <w:pPr>
        <w:ind w:right="240" w:firstLine="324"/>
        <w:spacing w:after="0" w:line="252" w:lineRule="auto"/>
        <w:rPr>
          <w:sz w:val="20"/>
          <w:szCs w:val="20"/>
          <w:color w:val="auto"/>
        </w:rPr>
      </w:pPr>
      <w:r>
        <w:rPr>
          <w:rFonts w:ascii="Arial" w:cs="Arial" w:eastAsia="Arial" w:hAnsi="Arial"/>
          <w:sz w:val="21"/>
          <w:szCs w:val="21"/>
          <w:color w:val="auto"/>
        </w:rPr>
        <w:t>We are a blank check company incorporated in the Cayman Islands on June 7, 2019 formed for the purpose of effecting a merger, amalgamation, share exchange, asset acquisition, share purchase, reorganization or similar Business Combination with one or more businesses. We intend to effectuate our Business Combination using cash derived from the proceeds of the Initial Public Offering, our shares, debt or a combination of cash, shares and debt.</w:t>
      </w:r>
    </w:p>
    <w:p>
      <w:pPr>
        <w:spacing w:after="0" w:line="201" w:lineRule="exact"/>
        <w:rPr>
          <w:sz w:val="20"/>
          <w:szCs w:val="20"/>
          <w:color w:val="auto"/>
        </w:rPr>
      </w:pPr>
    </w:p>
    <w:p>
      <w:pPr>
        <w:ind w:left="340"/>
        <w:spacing w:after="0"/>
        <w:rPr>
          <w:sz w:val="20"/>
          <w:szCs w:val="20"/>
          <w:color w:val="auto"/>
        </w:rPr>
      </w:pPr>
      <w:r>
        <w:rPr>
          <w:rFonts w:ascii="Arial" w:cs="Arial" w:eastAsia="Arial" w:hAnsi="Arial"/>
          <w:sz w:val="22"/>
          <w:szCs w:val="22"/>
          <w:color w:val="auto"/>
        </w:rPr>
        <w:t>The issuance of additional ordinary shares in a Business Combination:</w:t>
      </w:r>
    </w:p>
    <w:p>
      <w:pPr>
        <w:spacing w:after="0" w:line="240" w:lineRule="exact"/>
        <w:rPr>
          <w:sz w:val="20"/>
          <w:szCs w:val="20"/>
          <w:color w:val="auto"/>
        </w:rPr>
      </w:pPr>
    </w:p>
    <w:p>
      <w:pPr>
        <w:ind w:left="660" w:hanging="328"/>
        <w:spacing w:after="0" w:line="342" w:lineRule="auto"/>
        <w:tabs>
          <w:tab w:leader="none" w:pos="6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may significantly dilute the equity interest of investors, which dilution would increase if the anti-dilution provisions of the Class B ordinary shares resulted in the issuance of Class A ordinary shares on a greater than one-to-one basis upon conversion of the Class B ordinary shares;</w:t>
      </w:r>
    </w:p>
    <w:p>
      <w:pPr>
        <w:spacing w:after="0" w:line="150" w:lineRule="exact"/>
        <w:rPr>
          <w:rFonts w:ascii="Arial" w:cs="Arial" w:eastAsia="Arial" w:hAnsi="Arial"/>
          <w:sz w:val="16"/>
          <w:szCs w:val="16"/>
          <w:color w:val="auto"/>
        </w:rPr>
      </w:pPr>
    </w:p>
    <w:p>
      <w:pPr>
        <w:ind w:left="660" w:right="340" w:hanging="328"/>
        <w:spacing w:after="0" w:line="277"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may subordinate the rights of holders of Class A ordinary shares if preferred shares are issued with rights senior to those afforded our Class A ordinary shares;</w:t>
      </w:r>
    </w:p>
    <w:p>
      <w:pPr>
        <w:spacing w:after="0" w:line="197" w:lineRule="exact"/>
        <w:rPr>
          <w:rFonts w:ascii="Arial" w:cs="Arial" w:eastAsia="Arial" w:hAnsi="Arial"/>
          <w:sz w:val="18"/>
          <w:szCs w:val="18"/>
          <w:color w:val="auto"/>
        </w:rPr>
      </w:pPr>
    </w:p>
    <w:p>
      <w:pPr>
        <w:ind w:left="660" w:right="80" w:hanging="328"/>
        <w:spacing w:after="0" w:line="308" w:lineRule="auto"/>
        <w:tabs>
          <w:tab w:leader="none" w:pos="6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could cause a change of control if a substantial number of our ordinary shares are issued, which may affect, among other things, our ability to use our net operating loss carry forwards, if any, and could result in the resignation or removal of our present officers and directors;</w:t>
      </w:r>
    </w:p>
    <w:p>
      <w:pPr>
        <w:spacing w:after="0" w:line="173" w:lineRule="exact"/>
        <w:rPr>
          <w:rFonts w:ascii="Arial" w:cs="Arial" w:eastAsia="Arial" w:hAnsi="Arial"/>
          <w:sz w:val="17"/>
          <w:szCs w:val="17"/>
          <w:color w:val="auto"/>
        </w:rPr>
      </w:pPr>
    </w:p>
    <w:p>
      <w:pPr>
        <w:ind w:left="660" w:right="340" w:hanging="328"/>
        <w:spacing w:after="0" w:line="277"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may have the effect of delaying or preventing a change of control of us by diluting the share ownership or voting rights of a person seeking to obtain control of us; and</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may adversely affect prevailing market prices for our Class A ordinary shares and/or warrants.</w:t>
      </w:r>
    </w:p>
    <w:p>
      <w:pPr>
        <w:spacing w:after="0" w:line="245" w:lineRule="exact"/>
        <w:rPr>
          <w:sz w:val="20"/>
          <w:szCs w:val="20"/>
          <w:color w:val="auto"/>
        </w:rPr>
      </w:pPr>
    </w:p>
    <w:p>
      <w:pPr>
        <w:ind w:left="340"/>
        <w:spacing w:after="0"/>
        <w:rPr>
          <w:sz w:val="20"/>
          <w:szCs w:val="20"/>
          <w:color w:val="auto"/>
        </w:rPr>
      </w:pPr>
      <w:r>
        <w:rPr>
          <w:rFonts w:ascii="Arial" w:cs="Arial" w:eastAsia="Arial" w:hAnsi="Arial"/>
          <w:sz w:val="22"/>
          <w:szCs w:val="22"/>
          <w:color w:val="auto"/>
        </w:rPr>
        <w:t>Similarly, if we issue debt securities, it could result in:</w:t>
      </w:r>
    </w:p>
    <w:p>
      <w:pPr>
        <w:spacing w:after="0" w:line="240"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default and foreclosure on our assets if our operating revenues after an initial business combination are insufficient to repay our debt obligations;</w:t>
      </w:r>
    </w:p>
    <w:p>
      <w:pPr>
        <w:spacing w:after="0" w:line="275" w:lineRule="exact"/>
        <w:rPr>
          <w:rFonts w:ascii="Arial" w:cs="Arial" w:eastAsia="Arial" w:hAnsi="Arial"/>
          <w:sz w:val="16"/>
          <w:szCs w:val="16"/>
          <w:color w:val="auto"/>
        </w:rPr>
      </w:pPr>
    </w:p>
    <w:p>
      <w:pPr>
        <w:ind w:left="660" w:right="520" w:hanging="328"/>
        <w:spacing w:after="0" w:line="342" w:lineRule="auto"/>
        <w:tabs>
          <w:tab w:leader="none" w:pos="6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acceleration of our obligations to repay the indebtedness even if we make all principal and interest payments when due if we breach certain covenants that require the maintenance of certain financial ratios or reserves without a waiver or renegotiation of that covenant;</w:t>
      </w:r>
    </w:p>
    <w:p>
      <w:pPr>
        <w:spacing w:after="0" w:line="150" w:lineRule="exact"/>
        <w:rPr>
          <w:rFonts w:ascii="Arial" w:cs="Arial" w:eastAsia="Arial" w:hAnsi="Arial"/>
          <w:sz w:val="16"/>
          <w:szCs w:val="16"/>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immediate payment of all principal and accrued interest, if any, if the debt is payable on demand;</w:t>
      </w:r>
    </w:p>
    <w:p>
      <w:pPr>
        <w:spacing w:after="0" w:line="25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inability to obtain necessary additional financing if the debt contains covenants restricting our ability to obtain such financing while the debt is outstanding;</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inability to pay dividends on our Class A ordinary shares;</w:t>
      </w:r>
    </w:p>
    <w:p>
      <w:pPr>
        <w:spacing w:after="0" w:line="252" w:lineRule="exact"/>
        <w:rPr>
          <w:rFonts w:ascii="Arial" w:cs="Arial" w:eastAsia="Arial" w:hAnsi="Arial"/>
          <w:sz w:val="18"/>
          <w:szCs w:val="18"/>
          <w:color w:val="auto"/>
        </w:rPr>
      </w:pPr>
    </w:p>
    <w:p>
      <w:pPr>
        <w:ind w:left="660" w:right="220" w:hanging="328"/>
        <w:spacing w:after="0" w:line="308" w:lineRule="auto"/>
        <w:tabs>
          <w:tab w:leader="none" w:pos="6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using a substantial portion of our cash flow to pay principal and interest on our debt, which will reduce the funds available for dividends on our Class A ordinary shares if declared, expenses, capital expenditures, acquisitions and other general corporate purposes;</w:t>
      </w:r>
    </w:p>
    <w:p>
      <w:pPr>
        <w:spacing w:after="0" w:line="173" w:lineRule="exact"/>
        <w:rPr>
          <w:rFonts w:ascii="Arial" w:cs="Arial" w:eastAsia="Arial" w:hAnsi="Arial"/>
          <w:sz w:val="17"/>
          <w:szCs w:val="17"/>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limitations on our flexibility in planning for and reacting to changes in our business and in the industry in which we operate;</w:t>
      </w:r>
    </w:p>
    <w:p>
      <w:pPr>
        <w:spacing w:after="0" w:line="252" w:lineRule="exact"/>
        <w:rPr>
          <w:rFonts w:ascii="Arial" w:cs="Arial" w:eastAsia="Arial" w:hAnsi="Arial"/>
          <w:sz w:val="18"/>
          <w:szCs w:val="18"/>
          <w:color w:val="auto"/>
        </w:rPr>
      </w:pPr>
    </w:p>
    <w:p>
      <w:pPr>
        <w:ind w:left="660" w:right="700" w:hanging="328"/>
        <w:spacing w:after="0" w:line="277"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increased vulnerability to adverse changes in general economic, industry and competitive conditions and adverse changes in government regulation; and</w:t>
      </w:r>
    </w:p>
    <w:p>
      <w:pPr>
        <w:spacing w:after="0" w:line="197" w:lineRule="exact"/>
        <w:rPr>
          <w:rFonts w:ascii="Arial" w:cs="Arial" w:eastAsia="Arial" w:hAnsi="Arial"/>
          <w:sz w:val="18"/>
          <w:szCs w:val="18"/>
          <w:color w:val="auto"/>
        </w:rPr>
      </w:pPr>
    </w:p>
    <w:p>
      <w:pPr>
        <w:ind w:left="660" w:right="240" w:hanging="328"/>
        <w:spacing w:after="0" w:line="277"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limitations on our ability to borrow additional amounts for expenses, capital expenditures, acquisitions, debt service requirements, execution of our strategy and other purposes and other disadvantages compared to our competitors who have less debt.</w:t>
      </w: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68" w:name="page69"/>
    <w:bookmarkEnd w:id="68"/>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ind w:right="100" w:firstLine="324"/>
        <w:spacing w:after="0" w:line="250" w:lineRule="auto"/>
        <w:rPr>
          <w:sz w:val="20"/>
          <w:szCs w:val="20"/>
          <w:color w:val="auto"/>
        </w:rPr>
      </w:pPr>
      <w:r>
        <w:rPr>
          <w:rFonts w:ascii="Arial" w:cs="Arial" w:eastAsia="Arial" w:hAnsi="Arial"/>
          <w:sz w:val="22"/>
          <w:szCs w:val="22"/>
          <w:color w:val="auto"/>
        </w:rPr>
        <w:t>We expect to continue to incur significant costs in the pursuit of our acquisition plans. We cannot assure you that our plans to complete a Business Combination will be successful.</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Results of Operations</w:t>
      </w:r>
    </w:p>
    <w:p>
      <w:pPr>
        <w:spacing w:after="0" w:line="239" w:lineRule="exact"/>
        <w:rPr>
          <w:sz w:val="20"/>
          <w:szCs w:val="20"/>
          <w:color w:val="auto"/>
        </w:rPr>
      </w:pPr>
    </w:p>
    <w:p>
      <w:pPr>
        <w:ind w:right="60" w:firstLine="324"/>
        <w:spacing w:after="0" w:line="246" w:lineRule="auto"/>
        <w:rPr>
          <w:sz w:val="20"/>
          <w:szCs w:val="20"/>
          <w:color w:val="auto"/>
        </w:rPr>
      </w:pPr>
      <w:r>
        <w:rPr>
          <w:rFonts w:ascii="Arial" w:cs="Arial" w:eastAsia="Arial" w:hAnsi="Arial"/>
          <w:sz w:val="21"/>
          <w:szCs w:val="21"/>
          <w:color w:val="auto"/>
        </w:rPr>
        <w:t>We have neither engaged in any operations nor generated any revenues to date. Our only activities from inception through December 31, 2019 were organizational activities, those necessary to prepare for the Initial Public Offering, described below, and, after the Initial Public Offering, identifying a target company for a Business Combination. We do not expect to generate any operating revenues until after the completion of our initial Business Combination. We generate non-operating income in the form of interest income on marketable securities. We are incurring expenses as a result of being a public company (for legal, financial reporting, accounting and auditing compliance), as well as for due diligence expenses in connection with completing a Business Combination.</w:t>
      </w:r>
    </w:p>
    <w:p>
      <w:pPr>
        <w:spacing w:after="0" w:line="211" w:lineRule="exact"/>
        <w:rPr>
          <w:sz w:val="20"/>
          <w:szCs w:val="20"/>
          <w:color w:val="auto"/>
        </w:rPr>
      </w:pPr>
    </w:p>
    <w:p>
      <w:pPr>
        <w:ind w:right="220" w:firstLine="324"/>
        <w:spacing w:after="0" w:line="257" w:lineRule="auto"/>
        <w:rPr>
          <w:sz w:val="20"/>
          <w:szCs w:val="20"/>
          <w:color w:val="auto"/>
        </w:rPr>
      </w:pPr>
      <w:r>
        <w:rPr>
          <w:rFonts w:ascii="Arial" w:cs="Arial" w:eastAsia="Arial" w:hAnsi="Arial"/>
          <w:sz w:val="21"/>
          <w:szCs w:val="21"/>
          <w:color w:val="auto"/>
        </w:rPr>
        <w:t>For the period from June 7, 2019 (inception) through December 31, 2019, we had net income of $1,618,159, which consists of interest income on marketable securities held in the Trust Account of $1,812,577 and an unrealized gain on marketable securities held in the Trust Account of $112,416, offset by operating and formation costs of $306,834.</w:t>
      </w:r>
    </w:p>
    <w:p>
      <w:pPr>
        <w:spacing w:after="0" w:line="19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Liquidity and Capital Resources</w:t>
      </w:r>
    </w:p>
    <w:p>
      <w:pPr>
        <w:spacing w:after="0" w:line="239" w:lineRule="exact"/>
        <w:rPr>
          <w:sz w:val="20"/>
          <w:szCs w:val="20"/>
          <w:color w:val="auto"/>
        </w:rPr>
      </w:pPr>
    </w:p>
    <w:p>
      <w:pPr>
        <w:ind w:right="180" w:firstLine="324"/>
        <w:spacing w:after="0" w:line="238" w:lineRule="auto"/>
        <w:rPr>
          <w:sz w:val="20"/>
          <w:szCs w:val="20"/>
          <w:color w:val="auto"/>
        </w:rPr>
      </w:pPr>
      <w:r>
        <w:rPr>
          <w:rFonts w:ascii="Arial" w:cs="Arial" w:eastAsia="Arial" w:hAnsi="Arial"/>
          <w:sz w:val="22"/>
          <w:szCs w:val="22"/>
          <w:color w:val="auto"/>
        </w:rPr>
        <w:t>On August 12, 2019, we consummated the Initial Public Offering of 25,000,000 Units, at a price of $10.00 per Unit, generating gross proceeds of $250,000,000. Simultaneously with the closing of the Initial Public Offering, we consummated the sale of 7,000,000 Private Placement Warrants to our sponsor at a price of $1.00 per warrant, generating gross proceeds of $7,000,000.</w:t>
      </w:r>
    </w:p>
    <w:p>
      <w:pPr>
        <w:spacing w:after="0" w:line="212" w:lineRule="exact"/>
        <w:rPr>
          <w:sz w:val="20"/>
          <w:szCs w:val="20"/>
          <w:color w:val="auto"/>
        </w:rPr>
      </w:pPr>
    </w:p>
    <w:p>
      <w:pPr>
        <w:ind w:right="320" w:firstLine="324"/>
        <w:spacing w:after="0"/>
        <w:rPr>
          <w:sz w:val="20"/>
          <w:szCs w:val="20"/>
          <w:color w:val="auto"/>
        </w:rPr>
      </w:pPr>
      <w:r>
        <w:rPr>
          <w:rFonts w:ascii="Arial" w:cs="Arial" w:eastAsia="Arial" w:hAnsi="Arial"/>
          <w:sz w:val="22"/>
          <w:szCs w:val="22"/>
          <w:color w:val="auto"/>
        </w:rPr>
        <w:t>Following the Initial Public Offering and the sale of the Private Placement Warrants, a total of $250,000,000 was placed in the Trust Account. We incurred $14,413,362 in transaction costs, including $5,000,000 of underwriting fees, $8,750,000 of deferred underwriting fees and $663,362 of other offering costs.</w:t>
      </w:r>
    </w:p>
    <w:p>
      <w:pPr>
        <w:spacing w:after="0" w:line="213" w:lineRule="exact"/>
        <w:rPr>
          <w:sz w:val="20"/>
          <w:szCs w:val="20"/>
          <w:color w:val="auto"/>
        </w:rPr>
      </w:pPr>
    </w:p>
    <w:p>
      <w:pPr>
        <w:ind w:right="40" w:firstLine="324"/>
        <w:spacing w:after="0" w:line="238" w:lineRule="auto"/>
        <w:rPr>
          <w:sz w:val="20"/>
          <w:szCs w:val="20"/>
          <w:color w:val="auto"/>
        </w:rPr>
      </w:pPr>
      <w:r>
        <w:rPr>
          <w:rFonts w:ascii="Arial" w:cs="Arial" w:eastAsia="Arial" w:hAnsi="Arial"/>
          <w:sz w:val="22"/>
          <w:szCs w:val="22"/>
          <w:color w:val="auto"/>
        </w:rPr>
        <w:t>For the period from June 7, 2019 (inception) through December 31, 2019, cash used in operating activities was $467,049. Net income of $1,618,159 was offset by interest earned on marketable securities held in the Trust Account of $1,812,577, an unrealized gain on marketable securities of $112,416 and changes in operating assets and liabilities, which used of $160,215 of cash from operating activities.</w:t>
      </w:r>
    </w:p>
    <w:p>
      <w:pPr>
        <w:spacing w:after="0" w:line="212" w:lineRule="exact"/>
        <w:rPr>
          <w:sz w:val="20"/>
          <w:szCs w:val="20"/>
          <w:color w:val="auto"/>
        </w:rPr>
      </w:pPr>
    </w:p>
    <w:p>
      <w:pPr>
        <w:ind w:right="260" w:firstLine="324"/>
        <w:spacing w:after="0" w:line="279" w:lineRule="auto"/>
        <w:rPr>
          <w:sz w:val="20"/>
          <w:szCs w:val="20"/>
          <w:color w:val="auto"/>
        </w:rPr>
      </w:pPr>
      <w:r>
        <w:rPr>
          <w:rFonts w:ascii="Arial" w:cs="Arial" w:eastAsia="Arial" w:hAnsi="Arial"/>
          <w:sz w:val="19"/>
          <w:szCs w:val="19"/>
          <w:color w:val="auto"/>
        </w:rPr>
        <w:t>As of December 31, 2019, we had cash and marketable securities held in the Trust Account of $251,924,993. We intend to use substantially all of the funds held in the Trust Account, including any amounts representing interest earned on the Trust Account (which interest shall be net of taxes payable and excluding deferred underwriting commissions) to complete our Business Combination. To the extent that our share capital is used, in whole or in part, as consideration to complete a Business Combination, the remaining proceeds held in the Trust Account will be used as working capital to finance the operations of the target business or businesses, make other acquisitions and pursue our growth strategies.</w:t>
      </w:r>
    </w:p>
    <w:p>
      <w:pPr>
        <w:spacing w:after="0" w:line="177" w:lineRule="exact"/>
        <w:rPr>
          <w:sz w:val="20"/>
          <w:szCs w:val="20"/>
          <w:color w:val="auto"/>
        </w:rPr>
      </w:pPr>
    </w:p>
    <w:p>
      <w:pPr>
        <w:ind w:right="120" w:firstLine="324"/>
        <w:spacing w:after="0" w:line="236" w:lineRule="auto"/>
        <w:rPr>
          <w:sz w:val="20"/>
          <w:szCs w:val="20"/>
          <w:color w:val="auto"/>
        </w:rPr>
      </w:pPr>
      <w:r>
        <w:rPr>
          <w:rFonts w:ascii="Arial" w:cs="Arial" w:eastAsia="Arial" w:hAnsi="Arial"/>
          <w:sz w:val="22"/>
          <w:szCs w:val="22"/>
          <w:color w:val="auto"/>
        </w:rPr>
        <w:t>As of December 31, 2019, we had cash of $894,589 held outside the Trust Account. We intend to use the funds held outside the Trust Account primarily to identify and evaluate target businesses, perform business due diligence on prospective target businesses, travel to and from the offices, plants or similar locations of prospective target businesses or their representatives or owners, review corporate documents and material agreements of prospective target businesses, structure, negotiate and complete a Business Combination.</w:t>
      </w:r>
    </w:p>
    <w:p>
      <w:pPr>
        <w:spacing w:after="0" w:line="214" w:lineRule="exact"/>
        <w:rPr>
          <w:sz w:val="20"/>
          <w:szCs w:val="20"/>
          <w:color w:val="auto"/>
        </w:rPr>
      </w:pPr>
    </w:p>
    <w:p>
      <w:pPr>
        <w:ind w:firstLine="324"/>
        <w:spacing w:after="0" w:line="246" w:lineRule="auto"/>
        <w:rPr>
          <w:sz w:val="20"/>
          <w:szCs w:val="20"/>
          <w:color w:val="auto"/>
        </w:rPr>
      </w:pPr>
      <w:r>
        <w:rPr>
          <w:rFonts w:ascii="Arial" w:cs="Arial" w:eastAsia="Arial" w:hAnsi="Arial"/>
          <w:sz w:val="21"/>
          <w:szCs w:val="21"/>
          <w:color w:val="auto"/>
        </w:rPr>
        <w:t>In order to fund working capital deficiencies or finance transaction costs in connection with a Business Combination, our sponsor or an affiliate of our sponsor or certain of our officers and directors may, but are not obligated to, loan us funds as may be required. If we complete a Business Combination, we would repay such loaned amounts. In the event that a Business Combination does not close, we may use a portion of the working capital held outside the Trust Account to repay such loaned amounts, but no proceeds from our Trust Account would be used for such repayment. Up to $1,500,000 of such loans may be convertible into warrants, at a price of $1.00 per warrant unit at the option of the lender. The warrants would be identical to the Private Placement Warrants.</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69" w:name="page70"/>
    <w:bookmarkEnd w:id="69"/>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ind w:right="20" w:firstLine="324"/>
        <w:spacing w:after="0" w:line="234" w:lineRule="auto"/>
        <w:rPr>
          <w:sz w:val="20"/>
          <w:szCs w:val="20"/>
          <w:color w:val="auto"/>
        </w:rPr>
      </w:pPr>
      <w:r>
        <w:rPr>
          <w:rFonts w:ascii="Arial" w:cs="Arial" w:eastAsia="Arial" w:hAnsi="Arial"/>
          <w:sz w:val="22"/>
          <w:szCs w:val="22"/>
          <w:color w:val="auto"/>
        </w:rPr>
        <w:t>We do not believe we will need to raise additional funds in order to meet the expenditures required for operating our business. However, if our estimate of the costs of identifying a target business, undertaking in-depth due diligence and negotiating a Business Combination are less than the actual amount necessary to do so, we may have insufficient funds available to operate our business prior to our initial Business Combination. Moreover, we may need to obtain additional financing either to complete our Business Combination or because we become obligated to redeem a significant number of our public shares upon completion of our Business Combination, in which case we may issue additional securities or incur debt in connection with such Business Combination.</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Off-balance sheet financing arrangements</w:t>
      </w:r>
    </w:p>
    <w:p>
      <w:pPr>
        <w:spacing w:after="0" w:line="239" w:lineRule="exact"/>
        <w:rPr>
          <w:sz w:val="20"/>
          <w:szCs w:val="20"/>
          <w:color w:val="auto"/>
        </w:rPr>
      </w:pPr>
    </w:p>
    <w:p>
      <w:pPr>
        <w:ind w:right="220" w:firstLine="324"/>
        <w:spacing w:after="0" w:line="282" w:lineRule="auto"/>
        <w:rPr>
          <w:sz w:val="20"/>
          <w:szCs w:val="20"/>
          <w:color w:val="auto"/>
        </w:rPr>
      </w:pPr>
      <w:r>
        <w:rPr>
          <w:rFonts w:ascii="Arial" w:cs="Arial" w:eastAsia="Arial" w:hAnsi="Arial"/>
          <w:sz w:val="19"/>
          <w:szCs w:val="19"/>
          <w:color w:val="auto"/>
        </w:rPr>
        <w:t>We have no obligations, assets or liabilities, which would be considered off-balance sheet arrangements as of December 31, 2019. We do not participate in transactions that create relationships with unconsolidated entities or financial partnerships, often referred to as variable interest entities, which would have been established for the purpose of facilitating off-balance sheet arrangements. We have not entered into any off-balance sheet financing arrangements, established any special purpose entities, guaranteed any debt or commitments of other entities, or purchased any non-financial assets.</w:t>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Contractual obligations</w:t>
      </w:r>
    </w:p>
    <w:p>
      <w:pPr>
        <w:spacing w:after="0" w:line="239" w:lineRule="exact"/>
        <w:rPr>
          <w:sz w:val="20"/>
          <w:szCs w:val="20"/>
          <w:color w:val="auto"/>
        </w:rPr>
      </w:pPr>
    </w:p>
    <w:p>
      <w:pPr>
        <w:ind w:right="20" w:firstLine="324"/>
        <w:spacing w:after="0" w:line="252" w:lineRule="auto"/>
        <w:rPr>
          <w:sz w:val="20"/>
          <w:szCs w:val="20"/>
          <w:color w:val="auto"/>
        </w:rPr>
      </w:pPr>
      <w:r>
        <w:rPr>
          <w:rFonts w:ascii="Arial" w:cs="Arial" w:eastAsia="Arial" w:hAnsi="Arial"/>
          <w:sz w:val="21"/>
          <w:szCs w:val="21"/>
          <w:color w:val="auto"/>
        </w:rPr>
        <w:t>We do not have any long-term debt, capital lease obligations, operating lease obligations or long-term liabilities, other than an agreement to pay our sponsor a monthly fee of $20,000 for office space, and administrative and support services, provided to the Company. We began incurring these fees on August 7, 2019 and will continue to incur these fees monthly until the earlier of the completion of a Business Combination and the Company’s liquidation.</w:t>
      </w:r>
    </w:p>
    <w:p>
      <w:pPr>
        <w:spacing w:after="0" w:line="201" w:lineRule="exact"/>
        <w:rPr>
          <w:sz w:val="20"/>
          <w:szCs w:val="20"/>
          <w:color w:val="auto"/>
        </w:rPr>
      </w:pPr>
    </w:p>
    <w:p>
      <w:pPr>
        <w:ind w:right="180" w:firstLine="324"/>
        <w:spacing w:after="0"/>
        <w:rPr>
          <w:sz w:val="20"/>
          <w:szCs w:val="20"/>
          <w:color w:val="auto"/>
        </w:rPr>
      </w:pPr>
      <w:r>
        <w:rPr>
          <w:rFonts w:ascii="Arial" w:cs="Arial" w:eastAsia="Arial" w:hAnsi="Arial"/>
          <w:sz w:val="22"/>
          <w:szCs w:val="22"/>
          <w:color w:val="auto"/>
        </w:rPr>
        <w:t>The underwriters are entitled to a deferred fee of $0.35 per Unit, or $8,750,000 in the aggregate, which will become payable to the underwriters from the amounts held in the Trust Account solely in the event that we complete a Business Combination, subject to the terms of the underwriting agreement.</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Critical Accounting Policies</w:t>
      </w:r>
    </w:p>
    <w:p>
      <w:pPr>
        <w:spacing w:after="0" w:line="239" w:lineRule="exact"/>
        <w:rPr>
          <w:sz w:val="20"/>
          <w:szCs w:val="20"/>
          <w:color w:val="auto"/>
        </w:rPr>
      </w:pPr>
    </w:p>
    <w:p>
      <w:pPr>
        <w:ind w:right="40" w:firstLine="324"/>
        <w:spacing w:after="0" w:line="236" w:lineRule="auto"/>
        <w:rPr>
          <w:sz w:val="20"/>
          <w:szCs w:val="20"/>
          <w:color w:val="auto"/>
        </w:rPr>
      </w:pPr>
      <w:r>
        <w:rPr>
          <w:rFonts w:ascii="Arial" w:cs="Arial" w:eastAsia="Arial" w:hAnsi="Arial"/>
          <w:sz w:val="22"/>
          <w:szCs w:val="22"/>
          <w:color w:val="auto"/>
        </w:rPr>
        <w:t>The preparation of financial statements and related disclosures in conformity with accounting principles generally accepted in the United States of America requires management to make estimates and assumptions that affect the reported amounts of assets and liabilities, disclosure of contingent assets and liabilities at the date of the financial statements, and income and expenses during the periods reported. Actual results could materially differ from those estimates. We have identified the following critical accounting policies:</w:t>
      </w:r>
    </w:p>
    <w:p>
      <w:pPr>
        <w:spacing w:after="0" w:line="214" w:lineRule="exact"/>
        <w:rPr>
          <w:sz w:val="20"/>
          <w:szCs w:val="20"/>
          <w:color w:val="auto"/>
        </w:rPr>
      </w:pPr>
    </w:p>
    <w:p>
      <w:pPr>
        <w:ind w:left="340"/>
        <w:spacing w:after="0"/>
        <w:rPr>
          <w:sz w:val="20"/>
          <w:szCs w:val="20"/>
          <w:color w:val="auto"/>
        </w:rPr>
      </w:pPr>
      <w:r>
        <w:rPr>
          <w:rFonts w:ascii="Arial" w:cs="Arial" w:eastAsia="Arial" w:hAnsi="Arial"/>
          <w:sz w:val="22"/>
          <w:szCs w:val="22"/>
          <w:i w:val="1"/>
          <w:iCs w:val="1"/>
          <w:color w:val="auto"/>
        </w:rPr>
        <w:t>Ordinary shares subject to redemption</w:t>
      </w:r>
    </w:p>
    <w:p>
      <w:pPr>
        <w:spacing w:after="0" w:line="233"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We account for our ordinary shares subject to possible conversion in accordance with the guidance in Accounting Standards Codification (“ASC”) Topic 480 “Distinguishing Liabilities from Equity.” Ordinary shares subject to mandatory redemption are classified as a liability instrument and are measured at fair value. Conditionally redeemable ordinary shares (including ordinary shares that feature redemption rights that are either within the control of the holder or subject to redemption upon the occurrence of uncertain events not solely within our control) are classified as temporary equity. At all other times, ordinary shares are classified as shareholders’ equity. Our ordinary shares feature certain redemption rights that are considered to be outside of our control and subject to occurrence of uncertain future events. Accordingly, ordinary shares subject to possible redemption are presented at redemption value as temporary equity, outside of the shareholders’ equity section of our balance sheets.</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22"/>
          <w:szCs w:val="22"/>
          <w:i w:val="1"/>
          <w:iCs w:val="1"/>
          <w:color w:val="auto"/>
        </w:rPr>
        <w:t>Net loss per ordinary share</w:t>
      </w:r>
    </w:p>
    <w:p>
      <w:pPr>
        <w:spacing w:after="0" w:line="233" w:lineRule="exact"/>
        <w:rPr>
          <w:sz w:val="20"/>
          <w:szCs w:val="20"/>
          <w:color w:val="auto"/>
        </w:rPr>
      </w:pPr>
    </w:p>
    <w:p>
      <w:pPr>
        <w:ind w:right="280" w:firstLine="324"/>
        <w:spacing w:after="0" w:line="249" w:lineRule="auto"/>
        <w:rPr>
          <w:sz w:val="20"/>
          <w:szCs w:val="20"/>
          <w:color w:val="auto"/>
        </w:rPr>
      </w:pPr>
      <w:r>
        <w:rPr>
          <w:rFonts w:ascii="Arial" w:cs="Arial" w:eastAsia="Arial" w:hAnsi="Arial"/>
          <w:sz w:val="21"/>
          <w:szCs w:val="21"/>
          <w:color w:val="auto"/>
        </w:rPr>
        <w:t>We apply the two-class method in calculating earnings per share. Ordinary shares subject to possible redemption which are not currently redeemable and are not redeemable at fair value, have been excluded from the calculation of basic net loss per ordinary share since such shares, if redeemed, only participate in their pro rata share of the Trust Account earnings. Our net income is adjusted for the portion of income that is attributable to ordinary shares subject to redemption, as these shares only participate in the earnings of the Trust Account and not our income or losses.</w:t>
      </w:r>
    </w:p>
    <w:p>
      <w:pPr>
        <w:sectPr>
          <w:pgSz w:w="11900" w:h="16838" w:orient="portrait"/>
          <w:cols w:equalWidth="0" w:num="1">
            <w:col w:w="11240"/>
          </w:cols>
          <w:pgMar w:left="320" w:top="122" w:right="339" w:bottom="1440" w:gutter="0" w:footer="0" w:header="0"/>
        </w:sect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70" w:name="page71"/>
    <w:bookmarkEnd w:id="70"/>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ind w:left="340"/>
        <w:spacing w:after="0"/>
        <w:rPr>
          <w:sz w:val="20"/>
          <w:szCs w:val="20"/>
          <w:color w:val="auto"/>
        </w:rPr>
      </w:pPr>
      <w:r>
        <w:rPr>
          <w:rFonts w:ascii="Arial" w:cs="Arial" w:eastAsia="Arial" w:hAnsi="Arial"/>
          <w:sz w:val="22"/>
          <w:szCs w:val="22"/>
          <w:i w:val="1"/>
          <w:iCs w:val="1"/>
          <w:color w:val="auto"/>
        </w:rPr>
        <w:t>Recent accounting pronouncements</w:t>
      </w:r>
    </w:p>
    <w:p>
      <w:pPr>
        <w:spacing w:after="0" w:line="233" w:lineRule="exact"/>
        <w:rPr>
          <w:sz w:val="20"/>
          <w:szCs w:val="20"/>
          <w:color w:val="auto"/>
        </w:rPr>
      </w:pPr>
    </w:p>
    <w:p>
      <w:pPr>
        <w:ind w:right="40" w:firstLine="324"/>
        <w:spacing w:after="0" w:line="250" w:lineRule="auto"/>
        <w:rPr>
          <w:sz w:val="20"/>
          <w:szCs w:val="20"/>
          <w:color w:val="auto"/>
        </w:rPr>
      </w:pPr>
      <w:r>
        <w:rPr>
          <w:rFonts w:ascii="Arial" w:cs="Arial" w:eastAsia="Arial" w:hAnsi="Arial"/>
          <w:sz w:val="22"/>
          <w:szCs w:val="22"/>
          <w:color w:val="auto"/>
        </w:rPr>
        <w:t>Management does not believe that any other recently issued, but not yet effective, accounting standards, if currently adopted, would have a material effect on our financial statements.</w:t>
      </w:r>
    </w:p>
    <w:p>
      <w:pPr>
        <w:spacing w:after="0" w:line="20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49" w:lineRule="exact"/>
        <w:rPr>
          <w:sz w:val="20"/>
          <w:szCs w:val="20"/>
          <w:color w:val="auto"/>
        </w:rPr>
      </w:pPr>
    </w:p>
    <w:p>
      <w:pPr>
        <w:ind w:firstLine="324"/>
        <w:spacing w:after="0" w:line="252" w:lineRule="auto"/>
        <w:rPr>
          <w:sz w:val="20"/>
          <w:szCs w:val="20"/>
          <w:color w:val="auto"/>
        </w:rPr>
      </w:pPr>
      <w:r>
        <w:rPr>
          <w:rFonts w:ascii="Arial" w:cs="Arial" w:eastAsia="Arial" w:hAnsi="Arial"/>
          <w:sz w:val="21"/>
          <w:szCs w:val="21"/>
          <w:color w:val="auto"/>
        </w:rPr>
        <w:t>Following the consummation of our Initial Public Offering, the net proceeds of our Initial Public Offering, including amounts in the Trust Account, have been invested in U.S. government treasury bills, notes or bonds with a maturity of 180 days or less or in certain money market funds that invest solely in US treasuries. Due to the short-term nature of these investments, we believe there will be no associated material exposure to interest rate risk.</w:t>
      </w:r>
    </w:p>
    <w:p>
      <w:pPr>
        <w:spacing w:after="0" w:line="204"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Financial Statements and Supplementary Data</w:t>
      </w:r>
    </w:p>
    <w:p>
      <w:pPr>
        <w:spacing w:after="0" w:line="249" w:lineRule="exact"/>
        <w:rPr>
          <w:sz w:val="20"/>
          <w:szCs w:val="20"/>
          <w:color w:val="auto"/>
        </w:rPr>
      </w:pPr>
    </w:p>
    <w:p>
      <w:pPr>
        <w:ind w:left="340"/>
        <w:spacing w:after="0"/>
        <w:rPr>
          <w:sz w:val="20"/>
          <w:szCs w:val="20"/>
          <w:color w:val="auto"/>
        </w:rPr>
      </w:pPr>
      <w:r>
        <w:rPr>
          <w:rFonts w:ascii="Arial" w:cs="Arial" w:eastAsia="Arial" w:hAnsi="Arial"/>
          <w:sz w:val="22"/>
          <w:szCs w:val="22"/>
          <w:color w:val="auto"/>
        </w:rPr>
        <w:t>This information appears following Item 15 of this Report and is included herein by reference.</w:t>
      </w:r>
    </w:p>
    <w:p>
      <w:pPr>
        <w:spacing w:after="0" w:line="236"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color w:val="auto"/>
        </w:rPr>
        <w:t>Changes in and Disagreements with Accountants on Accounting and Financial Disclosure</w:t>
      </w:r>
    </w:p>
    <w:p>
      <w:pPr>
        <w:spacing w:after="0" w:line="249" w:lineRule="exact"/>
        <w:rPr>
          <w:sz w:val="20"/>
          <w:szCs w:val="20"/>
          <w:color w:val="auto"/>
        </w:rPr>
      </w:pPr>
    </w:p>
    <w:p>
      <w:pPr>
        <w:ind w:left="340"/>
        <w:spacing w:after="0"/>
        <w:rPr>
          <w:sz w:val="20"/>
          <w:szCs w:val="20"/>
          <w:color w:val="auto"/>
        </w:rPr>
      </w:pPr>
      <w:r>
        <w:rPr>
          <w:rFonts w:ascii="Arial" w:cs="Arial" w:eastAsia="Arial" w:hAnsi="Arial"/>
          <w:sz w:val="22"/>
          <w:szCs w:val="22"/>
          <w:color w:val="auto"/>
        </w:rPr>
        <w:t>None.</w:t>
      </w:r>
    </w:p>
    <w:p>
      <w:pPr>
        <w:spacing w:after="0" w:line="236"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6"/>
          <w:szCs w:val="16"/>
          <w:b w:val="1"/>
          <w:bCs w:val="1"/>
          <w:color w:val="auto"/>
        </w:rPr>
        <w:t>Controls and Procedures.</w:t>
      </w:r>
    </w:p>
    <w:p>
      <w:pPr>
        <w:spacing w:after="0" w:line="24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Evaluation of Disclosure Controls and Procedures</w:t>
      </w:r>
    </w:p>
    <w:p>
      <w:pPr>
        <w:spacing w:after="0" w:line="239" w:lineRule="exact"/>
        <w:rPr>
          <w:sz w:val="20"/>
          <w:szCs w:val="20"/>
          <w:color w:val="auto"/>
        </w:rPr>
      </w:pPr>
    </w:p>
    <w:p>
      <w:pPr>
        <w:ind w:right="40" w:firstLine="324"/>
        <w:spacing w:after="0" w:line="245" w:lineRule="auto"/>
        <w:rPr>
          <w:sz w:val="20"/>
          <w:szCs w:val="20"/>
          <w:color w:val="auto"/>
        </w:rPr>
      </w:pPr>
      <w:r>
        <w:rPr>
          <w:rFonts w:ascii="Arial" w:cs="Arial" w:eastAsia="Arial" w:hAnsi="Arial"/>
          <w:sz w:val="21"/>
          <w:szCs w:val="21"/>
          <w:color w:val="auto"/>
        </w:rPr>
        <w:t>Disclosure controls are procedures that are designed with the objective of ensuring that information required to be disclosed in our reports filed under the Exchange Act, such as this Report, is recorded, processed, summarized, and reported within the time period specified in the SEC’s rules and forms. Disclosure controls are also designed with the objective of ensuring that such information is accumulated and communicated to our management, including the chief executive officer and chief financial officer, as appropriate to allow timely decisions regarding required disclosure. Our management evaluated, with the participation of our current chief executive officer and chief financial officer (our “Certifying Officers”), the effectiveness of our disclosure controls and procedures as of December 31, 2019, pursuant to Rule 13a-15(b) under the Exchange Act. Based upon that evaluation, our Certifying Officers concluded that, as of December 31, 2019, our disclosure controls and procedures were effective.</w:t>
      </w:r>
    </w:p>
    <w:p>
      <w:pPr>
        <w:spacing w:after="0" w:line="211" w:lineRule="exact"/>
        <w:rPr>
          <w:sz w:val="20"/>
          <w:szCs w:val="20"/>
          <w:color w:val="auto"/>
        </w:rPr>
      </w:pPr>
    </w:p>
    <w:p>
      <w:pPr>
        <w:ind w:right="200" w:firstLine="324"/>
        <w:spacing w:after="0" w:line="275" w:lineRule="auto"/>
        <w:rPr>
          <w:sz w:val="20"/>
          <w:szCs w:val="20"/>
          <w:color w:val="auto"/>
        </w:rPr>
      </w:pPr>
      <w:r>
        <w:rPr>
          <w:rFonts w:ascii="Arial" w:cs="Arial" w:eastAsia="Arial" w:hAnsi="Arial"/>
          <w:sz w:val="19"/>
          <w:szCs w:val="19"/>
          <w:color w:val="auto"/>
        </w:rPr>
        <w:t>We do not expect that our disclosure controls and procedures will prevent all errors and all instances of fraud. Disclosure controls and procedures, no matter how well conceived and operated, can provide only reasonable, not absolute, assurance that the objectives of the disclosure controls and procedures are met. Further, the design of disclosure controls and procedures must reflect the fact that there are resource constraints, and the benefits must be considered relative to their costs. Because of the inherent limitations in all disclosure controls and procedures, no evaluation of disclosure controls and procedures can provide absolute assurance that we have detected all our control deficiencies and instances of fraud, if any. The design of disclosure controls and procedures also is based partly on certain assumptions about the likelihood of future events, and there can be no assurance that any design will succeed in achieving its stated goals under all potential future conditions.</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Management’s Report on Internal Controls Over Financial Reporting</w:t>
      </w:r>
    </w:p>
    <w:p>
      <w:pPr>
        <w:spacing w:after="0" w:line="239" w:lineRule="exact"/>
        <w:rPr>
          <w:sz w:val="20"/>
          <w:szCs w:val="20"/>
          <w:color w:val="auto"/>
        </w:rPr>
      </w:pPr>
    </w:p>
    <w:p>
      <w:pPr>
        <w:ind w:right="400" w:firstLine="324"/>
        <w:spacing w:after="0"/>
        <w:rPr>
          <w:sz w:val="20"/>
          <w:szCs w:val="20"/>
          <w:color w:val="auto"/>
        </w:rPr>
      </w:pPr>
      <w:r>
        <w:rPr>
          <w:rFonts w:ascii="Arial" w:cs="Arial" w:eastAsia="Arial" w:hAnsi="Arial"/>
          <w:sz w:val="22"/>
          <w:szCs w:val="22"/>
          <w:color w:val="auto"/>
        </w:rPr>
        <w:t>This Annual Report on Form 10-K does not include a report of management’s assessment regarding internal control over financial reporting or an attestation report of our independent registered public accounting firm due to a transition period established by rules of the SEC for newly public companies.</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Changes in Internal Control over Financial Reporting</w:t>
      </w:r>
    </w:p>
    <w:p>
      <w:pPr>
        <w:spacing w:after="0" w:line="239" w:lineRule="exact"/>
        <w:rPr>
          <w:sz w:val="20"/>
          <w:szCs w:val="20"/>
          <w:color w:val="auto"/>
        </w:rPr>
      </w:pPr>
    </w:p>
    <w:p>
      <w:pPr>
        <w:ind w:right="260" w:firstLine="324"/>
        <w:spacing w:after="0"/>
        <w:rPr>
          <w:sz w:val="20"/>
          <w:szCs w:val="20"/>
          <w:color w:val="auto"/>
        </w:rPr>
      </w:pPr>
      <w:r>
        <w:rPr>
          <w:rFonts w:ascii="Arial" w:cs="Arial" w:eastAsia="Arial" w:hAnsi="Arial"/>
          <w:sz w:val="22"/>
          <w:szCs w:val="22"/>
          <w:color w:val="auto"/>
        </w:rPr>
        <w:t>There were no changes in our internal control over financial reporting (as such term is defined in Rules 13a-15(f) and 15d-15(f) of the Exchange Act) during the most recent fiscal quarter that have materially affected, or are reasonably likely to materially affect, our internal control over financial reporting.</w:t>
      </w:r>
    </w:p>
    <w:p>
      <w:pPr>
        <w:sectPr>
          <w:pgSz w:w="11900" w:h="16838" w:orient="portrait"/>
          <w:cols w:equalWidth="0" w:num="1">
            <w:col w:w="11180"/>
          </w:cols>
          <w:pgMar w:left="320" w:top="122" w:right="39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79"/>
        <w:spacing w:after="0"/>
        <w:rPr>
          <w:sz w:val="20"/>
          <w:szCs w:val="20"/>
          <w:color w:val="auto"/>
        </w:rPr>
      </w:pPr>
      <w:r>
        <w:rPr>
          <w:rFonts w:ascii="Arial" w:cs="Arial" w:eastAsia="Arial" w:hAnsi="Arial"/>
          <w:sz w:val="12"/>
          <w:szCs w:val="12"/>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2" w:right="399" w:bottom="1440" w:gutter="0" w:footer="0" w:header="0"/>
          <w:type w:val="continuous"/>
        </w:sectPr>
      </w:pPr>
    </w:p>
    <w:bookmarkStart w:id="71" w:name="page72"/>
    <w:bookmarkEnd w:id="71"/>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6"/>
          <w:szCs w:val="16"/>
          <w:b w:val="1"/>
          <w:bCs w:val="1"/>
          <w:color w:val="auto"/>
        </w:rPr>
        <w:t>Other Information.</w:t>
      </w:r>
    </w:p>
    <w:p>
      <w:pPr>
        <w:spacing w:after="0" w:line="249" w:lineRule="exact"/>
        <w:rPr>
          <w:sz w:val="20"/>
          <w:szCs w:val="20"/>
          <w:color w:val="auto"/>
        </w:rPr>
      </w:pPr>
    </w:p>
    <w:p>
      <w:pPr>
        <w:ind w:left="340"/>
        <w:spacing w:after="0"/>
        <w:rPr>
          <w:sz w:val="20"/>
          <w:szCs w:val="20"/>
          <w:color w:val="auto"/>
        </w:rPr>
      </w:pPr>
      <w:r>
        <w:rPr>
          <w:rFonts w:ascii="Arial" w:cs="Arial" w:eastAsia="Arial" w:hAnsi="Arial"/>
          <w:sz w:val="22"/>
          <w:szCs w:val="22"/>
          <w:color w:val="auto"/>
        </w:rPr>
        <w:t>None.</w:t>
      </w:r>
    </w:p>
    <w:p>
      <w:pPr>
        <w:spacing w:after="0" w:line="227" w:lineRule="exact"/>
        <w:rPr>
          <w:sz w:val="20"/>
          <w:szCs w:val="20"/>
          <w:color w:val="auto"/>
        </w:rPr>
      </w:pPr>
    </w:p>
    <w:p>
      <w:pPr>
        <w:ind w:left="5180"/>
        <w:spacing w:after="0"/>
        <w:rPr>
          <w:sz w:val="20"/>
          <w:szCs w:val="20"/>
          <w:color w:val="auto"/>
        </w:rPr>
      </w:pPr>
      <w:r>
        <w:rPr>
          <w:rFonts w:ascii="Arial" w:cs="Arial" w:eastAsia="Arial" w:hAnsi="Arial"/>
          <w:sz w:val="22"/>
          <w:szCs w:val="22"/>
          <w:b w:val="1"/>
          <w:bCs w:val="1"/>
          <w:color w:val="auto"/>
        </w:rPr>
        <w:t>PART III</w:t>
      </w:r>
    </w:p>
    <w:p>
      <w:pPr>
        <w:spacing w:after="0" w:line="242"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Directors, Executive Officers and Corporate Governance</w:t>
      </w:r>
    </w:p>
    <w:p>
      <w:pPr>
        <w:spacing w:after="0" w:line="24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Directors and Executive Officers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3860" w:type="dxa"/>
            <w:vAlign w:val="bottom"/>
            <w:gridSpan w:val="2"/>
          </w:tcPr>
          <w:p>
            <w:pPr>
              <w:ind w:left="1660"/>
              <w:spacing w:after="0"/>
              <w:rPr>
                <w:sz w:val="20"/>
                <w:szCs w:val="20"/>
                <w:color w:val="auto"/>
              </w:rPr>
            </w:pPr>
            <w:r>
              <w:rPr>
                <w:rFonts w:ascii="Arial" w:cs="Arial" w:eastAsia="Arial" w:hAnsi="Arial"/>
                <w:sz w:val="18"/>
                <w:szCs w:val="18"/>
                <w:b w:val="1"/>
                <w:bCs w:val="1"/>
                <w:color w:val="auto"/>
              </w:rPr>
              <w:t>Name</w:t>
            </w: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88"/>
              </w:rPr>
              <w:t>Age</w:t>
            </w:r>
          </w:p>
        </w:tc>
        <w:tc>
          <w:tcPr>
            <w:tcW w:w="100" w:type="dxa"/>
            <w:vAlign w:val="bottom"/>
          </w:tcPr>
          <w:p>
            <w:pPr>
              <w:spacing w:after="0"/>
              <w:rPr>
                <w:sz w:val="22"/>
                <w:szCs w:val="22"/>
                <w:color w:val="auto"/>
              </w:rPr>
            </w:pPr>
          </w:p>
        </w:tc>
        <w:tc>
          <w:tcPr>
            <w:tcW w:w="6040" w:type="dxa"/>
            <w:vAlign w:val="bottom"/>
          </w:tcPr>
          <w:p>
            <w:pPr>
              <w:ind w:left="2840"/>
              <w:spacing w:after="0"/>
              <w:rPr>
                <w:sz w:val="20"/>
                <w:szCs w:val="20"/>
                <w:color w:val="auto"/>
              </w:rPr>
            </w:pPr>
            <w:r>
              <w:rPr>
                <w:rFonts w:ascii="Arial" w:cs="Arial" w:eastAsia="Arial" w:hAnsi="Arial"/>
                <w:sz w:val="18"/>
                <w:szCs w:val="18"/>
                <w:b w:val="1"/>
                <w:bCs w:val="1"/>
                <w:color w:val="auto"/>
              </w:rPr>
              <w:t>Title</w:t>
            </w:r>
          </w:p>
        </w:tc>
      </w:tr>
      <w:tr>
        <w:trPr>
          <w:trHeight w:val="216"/>
        </w:trPr>
        <w:tc>
          <w:tcPr>
            <w:tcW w:w="37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040" w:type="dxa"/>
            <w:vAlign w:val="bottom"/>
            <w:tcBorders>
              <w:top w:val="single" w:sz="8" w:color="auto"/>
            </w:tcBorders>
          </w:tcPr>
          <w:p>
            <w:pPr>
              <w:spacing w:after="0"/>
              <w:rPr>
                <w:sz w:val="18"/>
                <w:szCs w:val="18"/>
                <w:color w:val="auto"/>
              </w:rPr>
            </w:pPr>
          </w:p>
        </w:tc>
      </w:tr>
      <w:tr>
        <w:trPr>
          <w:trHeight w:val="216"/>
        </w:trPr>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Scott Gordon</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58</w:t>
            </w:r>
          </w:p>
        </w:tc>
        <w:tc>
          <w:tcPr>
            <w:tcW w:w="61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Chief Executive Officer and Chairman</w:t>
            </w:r>
          </w:p>
        </w:tc>
      </w:tr>
      <w:tr>
        <w:trPr>
          <w:trHeight w:val="216"/>
        </w:trPr>
        <w:tc>
          <w:tcPr>
            <w:tcW w:w="3860" w:type="dxa"/>
            <w:vAlign w:val="bottom"/>
            <w:gridSpan w:val="2"/>
          </w:tcPr>
          <w:p>
            <w:pPr>
              <w:spacing w:after="0"/>
              <w:rPr>
                <w:sz w:val="20"/>
                <w:szCs w:val="20"/>
                <w:color w:val="auto"/>
              </w:rPr>
            </w:pPr>
            <w:r>
              <w:rPr>
                <w:rFonts w:ascii="Arial" w:cs="Arial" w:eastAsia="Arial" w:hAnsi="Arial"/>
                <w:sz w:val="18"/>
                <w:szCs w:val="18"/>
                <w:color w:val="auto"/>
              </w:rPr>
              <w:t>William Healy</w:t>
            </w: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57</w:t>
            </w:r>
          </w:p>
        </w:tc>
        <w:tc>
          <w:tcPr>
            <w:tcW w:w="6140" w:type="dxa"/>
            <w:vAlign w:val="bottom"/>
            <w:gridSpan w:val="2"/>
          </w:tcPr>
          <w:p>
            <w:pPr>
              <w:ind w:left="100"/>
              <w:spacing w:after="0"/>
              <w:rPr>
                <w:sz w:val="20"/>
                <w:szCs w:val="20"/>
                <w:color w:val="auto"/>
              </w:rPr>
            </w:pPr>
            <w:r>
              <w:rPr>
                <w:rFonts w:ascii="Arial" w:cs="Arial" w:eastAsia="Arial" w:hAnsi="Arial"/>
                <w:sz w:val="18"/>
                <w:szCs w:val="18"/>
                <w:color w:val="auto"/>
              </w:rPr>
              <w:t>President and Director</w:t>
            </w:r>
          </w:p>
        </w:tc>
      </w:tr>
      <w:tr>
        <w:trPr>
          <w:trHeight w:val="216"/>
        </w:trPr>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Gregory M. Gentile</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43</w:t>
            </w:r>
          </w:p>
        </w:tc>
        <w:tc>
          <w:tcPr>
            <w:tcW w:w="61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Chief Financial Officer</w:t>
            </w:r>
          </w:p>
        </w:tc>
      </w:tr>
      <w:tr>
        <w:trPr>
          <w:trHeight w:val="216"/>
        </w:trPr>
        <w:tc>
          <w:tcPr>
            <w:tcW w:w="3860" w:type="dxa"/>
            <w:vAlign w:val="bottom"/>
            <w:gridSpan w:val="2"/>
          </w:tcPr>
          <w:p>
            <w:pPr>
              <w:spacing w:after="0"/>
              <w:rPr>
                <w:sz w:val="20"/>
                <w:szCs w:val="20"/>
                <w:color w:val="auto"/>
              </w:rPr>
            </w:pPr>
            <w:r>
              <w:rPr>
                <w:rFonts w:ascii="Arial" w:cs="Arial" w:eastAsia="Arial" w:hAnsi="Arial"/>
                <w:sz w:val="18"/>
                <w:szCs w:val="18"/>
                <w:color w:val="auto"/>
              </w:rPr>
              <w:t>Orrin Devinsky</w:t>
            </w: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63</w:t>
            </w:r>
          </w:p>
        </w:tc>
        <w:tc>
          <w:tcPr>
            <w:tcW w:w="6140" w:type="dxa"/>
            <w:vAlign w:val="bottom"/>
            <w:gridSpan w:val="2"/>
          </w:tcPr>
          <w:p>
            <w:pPr>
              <w:ind w:left="100"/>
              <w:spacing w:after="0"/>
              <w:rPr>
                <w:sz w:val="20"/>
                <w:szCs w:val="20"/>
                <w:color w:val="auto"/>
              </w:rPr>
            </w:pPr>
            <w:r>
              <w:rPr>
                <w:rFonts w:ascii="Arial" w:cs="Arial" w:eastAsia="Arial" w:hAnsi="Arial"/>
                <w:sz w:val="18"/>
                <w:szCs w:val="18"/>
                <w:color w:val="auto"/>
              </w:rPr>
              <w:t>Director</w:t>
            </w:r>
          </w:p>
        </w:tc>
      </w:tr>
      <w:tr>
        <w:trPr>
          <w:trHeight w:val="216"/>
        </w:trPr>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Richard M. Goldman</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59</w:t>
            </w:r>
          </w:p>
        </w:tc>
        <w:tc>
          <w:tcPr>
            <w:tcW w:w="61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Director</w:t>
            </w:r>
          </w:p>
        </w:tc>
      </w:tr>
      <w:tr>
        <w:trPr>
          <w:trHeight w:val="230"/>
        </w:trPr>
        <w:tc>
          <w:tcPr>
            <w:tcW w:w="3860" w:type="dxa"/>
            <w:vAlign w:val="bottom"/>
            <w:gridSpan w:val="2"/>
          </w:tcPr>
          <w:p>
            <w:pPr>
              <w:spacing w:after="0"/>
              <w:rPr>
                <w:sz w:val="20"/>
                <w:szCs w:val="20"/>
                <w:color w:val="auto"/>
              </w:rPr>
            </w:pPr>
            <w:r>
              <w:rPr>
                <w:rFonts w:ascii="Arial" w:cs="Arial" w:eastAsia="Arial" w:hAnsi="Arial"/>
                <w:sz w:val="18"/>
                <w:szCs w:val="18"/>
                <w:color w:val="auto"/>
              </w:rPr>
              <w:t>Kenneth H. Landis</w:t>
            </w: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69</w:t>
            </w:r>
          </w:p>
        </w:tc>
        <w:tc>
          <w:tcPr>
            <w:tcW w:w="6140" w:type="dxa"/>
            <w:vAlign w:val="bottom"/>
            <w:gridSpan w:val="2"/>
          </w:tcPr>
          <w:p>
            <w:pPr>
              <w:ind w:left="100"/>
              <w:spacing w:after="0"/>
              <w:rPr>
                <w:sz w:val="20"/>
                <w:szCs w:val="20"/>
                <w:color w:val="auto"/>
              </w:rPr>
            </w:pPr>
            <w:r>
              <w:rPr>
                <w:rFonts w:ascii="Arial" w:cs="Arial" w:eastAsia="Arial" w:hAnsi="Arial"/>
                <w:sz w:val="18"/>
                <w:szCs w:val="18"/>
                <w:color w:val="auto"/>
              </w:rPr>
              <w:t>Director</w:t>
            </w:r>
          </w:p>
        </w:tc>
      </w:tr>
    </w:tbl>
    <w:p>
      <w:pPr>
        <w:spacing w:after="0" w:line="207" w:lineRule="exact"/>
        <w:rPr>
          <w:sz w:val="20"/>
          <w:szCs w:val="20"/>
          <w:color w:val="auto"/>
        </w:rPr>
      </w:pPr>
    </w:p>
    <w:p>
      <w:pPr>
        <w:ind w:left="340"/>
        <w:spacing w:after="0"/>
        <w:rPr>
          <w:sz w:val="20"/>
          <w:szCs w:val="20"/>
          <w:color w:val="auto"/>
        </w:rPr>
      </w:pPr>
      <w:r>
        <w:rPr>
          <w:rFonts w:ascii="Arial" w:cs="Arial" w:eastAsia="Arial" w:hAnsi="Arial"/>
          <w:sz w:val="22"/>
          <w:szCs w:val="22"/>
          <w:color w:val="auto"/>
        </w:rPr>
        <w:t>Our directors and executive officers are as follows:</w:t>
      </w:r>
    </w:p>
    <w:p>
      <w:pPr>
        <w:spacing w:after="0" w:line="233" w:lineRule="exact"/>
        <w:rPr>
          <w:sz w:val="20"/>
          <w:szCs w:val="20"/>
          <w:color w:val="auto"/>
        </w:rPr>
      </w:pPr>
    </w:p>
    <w:p>
      <w:pPr>
        <w:ind w:firstLine="324"/>
        <w:spacing w:after="0" w:line="272" w:lineRule="auto"/>
        <w:rPr>
          <w:sz w:val="20"/>
          <w:szCs w:val="20"/>
          <w:color w:val="auto"/>
        </w:rPr>
      </w:pPr>
      <w:r>
        <w:rPr>
          <w:rFonts w:ascii="Arial" w:cs="Arial" w:eastAsia="Arial" w:hAnsi="Arial"/>
          <w:sz w:val="19"/>
          <w:szCs w:val="19"/>
          <w:b w:val="1"/>
          <w:bCs w:val="1"/>
          <w:i w:val="1"/>
          <w:iCs w:val="1"/>
          <w:color w:val="auto"/>
        </w:rPr>
        <w:t xml:space="preserve">Scott Gordon </w:t>
      </w:r>
      <w:r>
        <w:rPr>
          <w:rFonts w:ascii="Arial" w:cs="Arial" w:eastAsia="Arial" w:hAnsi="Arial"/>
          <w:sz w:val="19"/>
          <w:szCs w:val="19"/>
          <w:color w:val="auto"/>
        </w:rPr>
        <w:t>has been the Chairman of our board of directors and has served as our Chief Executive Officer since our</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inception. Since 2016, Mr. Gordon has been the co-founder and Chairman of Egg Rock Holdings, parent company of the Papa &amp; Barkley family of cannabis products with related subsidiary assets in manufacturing, processing, and logistics. Egg Rock Holdings also is the parent company of Papa &amp; Barkley Essentials, a hemp-derived CBD business based in Colorado. From 2016 to 2018, Mr. Gordon was also President of Fintech Advisory Inc., investment manager for a multibillion dollar family office fund focused on long-term and opportunistic investments in emerging markets. From late 2013 to 2016, Mr. Gordon served as a Portfolio Manager at Taconic Capital Advisors, a multi-strategy investment firm. Prior to joining Taconic, Mr. Gordon was a Partner and Portfolio Manager at Caxton Associates from 2009 to 2012. He was also a Senior Managing Director and Head of Emerging Markets at Marathon Asset Management from 2007 to 2009. Earlier in his career, Mr. Gordon held leadership positions at Bank of America and ING Capital. Mr. Gordon was a founding member of the Emerging Markets business at JP Morgan where he worked upon graduating from Bowdoin College in 1983. We believe Mr. Gordon’s experience in emerging markets and in the cannabis sector make him well qualified to serve as a member of our board of directors.</w:t>
      </w:r>
    </w:p>
    <w:p>
      <w:pPr>
        <w:spacing w:after="0" w:line="188" w:lineRule="exact"/>
        <w:rPr>
          <w:sz w:val="20"/>
          <w:szCs w:val="20"/>
          <w:color w:val="auto"/>
        </w:rPr>
      </w:pPr>
    </w:p>
    <w:p>
      <w:pPr>
        <w:ind w:right="60" w:firstLine="324"/>
        <w:spacing w:after="0" w:line="272" w:lineRule="auto"/>
        <w:rPr>
          <w:sz w:val="20"/>
          <w:szCs w:val="20"/>
          <w:color w:val="auto"/>
        </w:rPr>
      </w:pPr>
      <w:r>
        <w:rPr>
          <w:rFonts w:ascii="Arial" w:cs="Arial" w:eastAsia="Arial" w:hAnsi="Arial"/>
          <w:sz w:val="19"/>
          <w:szCs w:val="19"/>
          <w:b w:val="1"/>
          <w:bCs w:val="1"/>
          <w:i w:val="1"/>
          <w:iCs w:val="1"/>
          <w:color w:val="auto"/>
        </w:rPr>
        <w:t xml:space="preserve">William Healy </w:t>
      </w:r>
      <w:r>
        <w:rPr>
          <w:rFonts w:ascii="Arial" w:cs="Arial" w:eastAsia="Arial" w:hAnsi="Arial"/>
          <w:sz w:val="19"/>
          <w:szCs w:val="19"/>
          <w:color w:val="auto"/>
        </w:rPr>
        <w:t>has been a member of our board of directors and has served as our President since our inception. Since 1986,</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Mr. Healy has advised and covered institutional clients in a variety of roles spanning corporate finance, investment management, and investment banking in London, Brazil, and New York. From 2018 to May 2019, he was President of Pantera Capital Management, an investment management company. From 1998 to 2016, Mr. Healy managed several hedge fund and private equity dedicated institutional sales teams at Deutsche Bank and the firm’s wealth and asset management division. He began his career with The Chase Manhattan Bank based in London, Brazil, and New York where he advised multinational corporations on cross-border funding of their Latin America-domiciled operations. From 1993 to 1998, he formed and managed the ING Barings emerging markets institutional debt sales team where he covered clients and often traveled to Latin America, Europe, and Asia to structure, price, and pre-market many of the firm’s capital markets transactions. Mr. Healy received a BA, International Business from The George Washington University, Washington DC. He is multi-lingual (English, Spanish, and Portuguese) and a Chartered Alternative Investment Analyst Association (CAIA) member. We believe Mr. Healy’s experience as an investment professional make him well qualified to serve as a member of our board of directors.</w:t>
      </w:r>
    </w:p>
    <w:p>
      <w:pPr>
        <w:spacing w:after="0" w:line="188" w:lineRule="exact"/>
        <w:rPr>
          <w:sz w:val="20"/>
          <w:szCs w:val="20"/>
          <w:color w:val="auto"/>
        </w:rPr>
      </w:pPr>
    </w:p>
    <w:p>
      <w:pPr>
        <w:ind w:right="80" w:firstLine="324"/>
        <w:spacing w:after="0" w:line="282" w:lineRule="auto"/>
        <w:rPr>
          <w:sz w:val="20"/>
          <w:szCs w:val="20"/>
          <w:color w:val="auto"/>
        </w:rPr>
      </w:pPr>
      <w:r>
        <w:rPr>
          <w:rFonts w:ascii="Arial" w:cs="Arial" w:eastAsia="Arial" w:hAnsi="Arial"/>
          <w:sz w:val="19"/>
          <w:szCs w:val="19"/>
          <w:b w:val="1"/>
          <w:bCs w:val="1"/>
          <w:i w:val="1"/>
          <w:iCs w:val="1"/>
          <w:color w:val="auto"/>
        </w:rPr>
        <w:t xml:space="preserve">Gregory M. Gentile </w:t>
      </w:r>
      <w:r>
        <w:rPr>
          <w:rFonts w:ascii="Arial" w:cs="Arial" w:eastAsia="Arial" w:hAnsi="Arial"/>
          <w:sz w:val="19"/>
          <w:szCs w:val="19"/>
          <w:color w:val="auto"/>
        </w:rPr>
        <w:t>has served as our Chief Financial Officer since our inception. From 2010 to 2018, Mr. Gentile was Chief</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Executive Officer of GMG Investment Advisors, LLC, an investment management company. From 2008 to 2009, Mr. Gentile served as Managing Director of Barclays Capital, an investment bank. Prior to joining Barclays Capital, Mr. Gentile was a Managing Director at Lehman Brothers, where he was employed from 1997 until 2008. Mr. Gentile received a bachelor’s degree in management from the Massachusetts Institute of Technology, where he graduated in 1997.</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2" w:name="page73"/>
    <w:bookmarkEnd w:id="72"/>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ind w:firstLine="324"/>
        <w:spacing w:after="0" w:line="272" w:lineRule="auto"/>
        <w:rPr>
          <w:sz w:val="20"/>
          <w:szCs w:val="20"/>
          <w:color w:val="auto"/>
        </w:rPr>
      </w:pPr>
      <w:r>
        <w:rPr>
          <w:rFonts w:ascii="Arial" w:cs="Arial" w:eastAsia="Arial" w:hAnsi="Arial"/>
          <w:sz w:val="19"/>
          <w:szCs w:val="19"/>
          <w:b w:val="1"/>
          <w:bCs w:val="1"/>
          <w:i w:val="1"/>
          <w:iCs w:val="1"/>
          <w:color w:val="auto"/>
        </w:rPr>
        <w:t xml:space="preserve">Orrin Devinsky </w:t>
      </w:r>
      <w:r>
        <w:rPr>
          <w:rFonts w:ascii="Arial" w:cs="Arial" w:eastAsia="Arial" w:hAnsi="Arial"/>
          <w:sz w:val="19"/>
          <w:szCs w:val="19"/>
          <w:color w:val="auto"/>
        </w:rPr>
        <w:t>has served as a member of our board of directors since our initial public offering. Since 1989, Dr. Devinsky</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has directed the NYU Langone Comprehensive Epilepsy Center and is a Professor of Neurology, Neuroscience, Psychiatry and Neurosurgery at the NYU School of Medicine. From 2013 to 2018, Dr. Devinsky served as a lead investigator for the GW Pharma trials of EPIDIOLEX in childhood-onset severe epilepsies; since 2016, Dr. Devinsky has served as the Chair of the Medical Advisory Board for Tilray, a pharmaceutical and cannabis company, and on the Scientific Advisory Board for Papa &amp; Barkley, a cannabis products company with related subsidiary assets in manufacturing, processing and logistics; since 2017, Dr. Devinsky has served on the Business and Scientific Advisory Boards of Tevard, a company developing gene therapy platforms to target rare diseases with high unmet need, and on the Business and Scientific Advisory Boards of Engage Therapeutics, a biopharmaceutical company developing a new rescue therapy for people who experience uncontrolled epileptic seizures; since 2018, Dr. Devinsky has served as the Chief Medical Officer for Receptor Life Sciences, a cannabinoid medicine drug development company. Dr. Devinsky received an MS from Yale University in 1977, a BS from Yale College in 1978 and a MD from Harvard Medical School in 1982. We believe Dr. Devinsky’s experience in medicine, cannabinoid science and companies, therapeutics and drug development make him well qualified to serve as a director.</w:t>
      </w:r>
    </w:p>
    <w:p>
      <w:pPr>
        <w:spacing w:after="0" w:line="183" w:lineRule="exact"/>
        <w:rPr>
          <w:sz w:val="20"/>
          <w:szCs w:val="20"/>
          <w:color w:val="auto"/>
        </w:rPr>
      </w:pPr>
    </w:p>
    <w:p>
      <w:pPr>
        <w:ind w:right="80" w:firstLine="324"/>
        <w:spacing w:after="0" w:line="273" w:lineRule="auto"/>
        <w:rPr>
          <w:sz w:val="20"/>
          <w:szCs w:val="20"/>
          <w:color w:val="auto"/>
        </w:rPr>
      </w:pPr>
      <w:r>
        <w:rPr>
          <w:rFonts w:ascii="Arial" w:cs="Arial" w:eastAsia="Arial" w:hAnsi="Arial"/>
          <w:sz w:val="19"/>
          <w:szCs w:val="19"/>
          <w:b w:val="1"/>
          <w:bCs w:val="1"/>
          <w:i w:val="1"/>
          <w:iCs w:val="1"/>
          <w:color w:val="auto"/>
        </w:rPr>
        <w:t xml:space="preserve">Richard M. Goldman </w:t>
      </w:r>
      <w:r>
        <w:rPr>
          <w:rFonts w:ascii="Arial" w:cs="Arial" w:eastAsia="Arial" w:hAnsi="Arial"/>
          <w:sz w:val="19"/>
          <w:szCs w:val="19"/>
          <w:color w:val="auto"/>
        </w:rPr>
        <w:t>has served as a member of our board of directors since our initial public offering. Since 2012, Mr.</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Goldman has been the Managing Member of Becket Capital, LLC, an advisory services firm for investment management companies; from 2011 to 2012, Mr. Goldman served as Chief Operating Officer of Guggenheim Investments, the global asset management and investment advisory division of Guggenheim Partners; prior to joining Guggenheim Investments, from 2007 to 2012, Mr. Goldman was the Chief Executive Officer of Rydex Investments, the investment advisor to Rydex Funds. Since 2016, Mr. Goldman has served as Independent Director for the O’Shares Investments ETF Trust; since 2017, Mr. Goldman has served as the Independent Chairman of the Board of the Harvest Volatility Edge Trust, the entity responsible for the Harvest Edge mutual funds, and on the Board of Directors of Trinitas Capital Management, a credit-focused investment management firm; since 2018, Mr. Goldman has served as Lead Independent Director for the Axonic Alternative Income Interval Fund. Mr. Goldman received a bachelor’s degree from Bowdoin College in 1983. We believe Mr. Goldman’s experience in the investment management business make him well qualified to serve as a director.</w:t>
      </w:r>
    </w:p>
    <w:p>
      <w:pPr>
        <w:spacing w:after="0" w:line="182" w:lineRule="exact"/>
        <w:rPr>
          <w:sz w:val="20"/>
          <w:szCs w:val="20"/>
          <w:color w:val="auto"/>
        </w:rPr>
      </w:pPr>
    </w:p>
    <w:p>
      <w:pPr>
        <w:ind w:firstLine="324"/>
        <w:spacing w:after="0" w:line="273" w:lineRule="auto"/>
        <w:rPr>
          <w:sz w:val="20"/>
          <w:szCs w:val="20"/>
          <w:color w:val="auto"/>
        </w:rPr>
      </w:pPr>
      <w:r>
        <w:rPr>
          <w:rFonts w:ascii="Arial" w:cs="Arial" w:eastAsia="Arial" w:hAnsi="Arial"/>
          <w:sz w:val="19"/>
          <w:szCs w:val="19"/>
          <w:b w:val="1"/>
          <w:bCs w:val="1"/>
          <w:i w:val="1"/>
          <w:iCs w:val="1"/>
          <w:color w:val="auto"/>
        </w:rPr>
        <w:t xml:space="preserve">Kenneth H. Landis </w:t>
      </w:r>
      <w:r>
        <w:rPr>
          <w:rFonts w:ascii="Arial" w:cs="Arial" w:eastAsia="Arial" w:hAnsi="Arial"/>
          <w:sz w:val="19"/>
          <w:szCs w:val="19"/>
          <w:color w:val="auto"/>
        </w:rPr>
        <w:t>has served as a member of our board of directors since our initial public offering. Since 2000, Mr. Landis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has been the CEO of Landis Capital, LLC, a provider of capital for seed, early stage and later stage venture investments in consumer products, ecommerce and enterprise companies. Previously, he served as Cofounder and a member of the Board of Directors of Bobbi Brown Cosmetics, CEO of Benetton Cosmetics Corp, Senior Vice President of Alfin, Inc., a manufacturer and distributer of cosmetics products, and Treasurer of IMS Health, Inc., a provider of information, services and technology for the healthcare industry. Mr. Landis began his career at Arthur Andersen and Co. and was formerly a Certified Public Accountant. He currently serves on the Board of Directors of several early stage private companies and as a Trustee of Suffield Academy. Mr. Landis obtained a BS in Economics degree from the University of Pennsylvania in 1972 and an MBA from New York University in 1973. We believe that Mr. Landis’ extensive managerial, financial and accounting experience makes him well qualified to serve as a member of our board of directors.</w:t>
      </w:r>
    </w:p>
    <w:p>
      <w:pPr>
        <w:spacing w:after="0" w:line="188" w:lineRule="exact"/>
        <w:rPr>
          <w:sz w:val="20"/>
          <w:szCs w:val="20"/>
          <w:color w:val="auto"/>
        </w:rPr>
      </w:pPr>
    </w:p>
    <w:p>
      <w:pPr>
        <w:ind w:right="860" w:firstLine="324"/>
        <w:spacing w:after="0" w:line="250" w:lineRule="auto"/>
        <w:rPr>
          <w:sz w:val="20"/>
          <w:szCs w:val="20"/>
          <w:color w:val="auto"/>
        </w:rPr>
      </w:pPr>
      <w:r>
        <w:rPr>
          <w:rFonts w:ascii="Arial" w:cs="Arial" w:eastAsia="Arial" w:hAnsi="Arial"/>
          <w:sz w:val="22"/>
          <w:szCs w:val="22"/>
          <w:color w:val="auto"/>
        </w:rPr>
        <w:t>In addition to our directors and executive officers, the following individual advises us in making our initial business combination:</w:t>
      </w:r>
    </w:p>
    <w:p>
      <w:pPr>
        <w:spacing w:after="0" w:line="202" w:lineRule="exact"/>
        <w:rPr>
          <w:sz w:val="20"/>
          <w:szCs w:val="20"/>
          <w:color w:val="auto"/>
        </w:rPr>
      </w:pPr>
    </w:p>
    <w:p>
      <w:pPr>
        <w:ind w:right="60" w:firstLine="324"/>
        <w:spacing w:after="0" w:line="287" w:lineRule="auto"/>
        <w:rPr>
          <w:sz w:val="20"/>
          <w:szCs w:val="20"/>
          <w:color w:val="auto"/>
        </w:rPr>
      </w:pPr>
      <w:r>
        <w:rPr>
          <w:rFonts w:ascii="Arial" w:cs="Arial" w:eastAsia="Arial" w:hAnsi="Arial"/>
          <w:sz w:val="19"/>
          <w:szCs w:val="19"/>
          <w:b w:val="1"/>
          <w:bCs w:val="1"/>
          <w:i w:val="1"/>
          <w:iCs w:val="1"/>
          <w:color w:val="auto"/>
        </w:rPr>
        <w:t xml:space="preserve">Rob Josephson </w:t>
      </w:r>
      <w:r>
        <w:rPr>
          <w:rFonts w:ascii="Arial" w:cs="Arial" w:eastAsia="Arial" w:hAnsi="Arial"/>
          <w:sz w:val="19"/>
          <w:szCs w:val="19"/>
          <w:color w:val="auto"/>
        </w:rPr>
        <w:t>has served as an investment partner since our inception. From October 2017 to present Mr. Josephson has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acted as CEO of Seed Capital, a merchant bank. From January 2014 to October 2017 Mr. Josephson acted as financial consultant to various companies in the Cannabis industry including, Cronos Group, WeedMd, Lord Jones, Lune Rouge, and DNA Genetics. Mr. Josephson holds a Bachelor of Arts degree from the University of Western Ontario, where he graduated in 1985.</w:t>
      </w:r>
    </w:p>
    <w:p>
      <w:pPr>
        <w:spacing w:after="0" w:line="36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73" w:name="page74"/>
    <w:bookmarkEnd w:id="73"/>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Number, Terms of Office and Election of Officers and Directors</w:t>
      </w:r>
    </w:p>
    <w:p>
      <w:pPr>
        <w:spacing w:after="0" w:line="239" w:lineRule="exact"/>
        <w:rPr>
          <w:sz w:val="20"/>
          <w:szCs w:val="20"/>
          <w:color w:val="auto"/>
        </w:rPr>
      </w:pPr>
    </w:p>
    <w:p>
      <w:pPr>
        <w:ind w:right="60" w:firstLine="324"/>
        <w:spacing w:after="0" w:line="275" w:lineRule="auto"/>
        <w:rPr>
          <w:sz w:val="20"/>
          <w:szCs w:val="20"/>
          <w:color w:val="auto"/>
        </w:rPr>
      </w:pPr>
      <w:r>
        <w:rPr>
          <w:rFonts w:ascii="Arial" w:cs="Arial" w:eastAsia="Arial" w:hAnsi="Arial"/>
          <w:sz w:val="19"/>
          <w:szCs w:val="19"/>
          <w:color w:val="auto"/>
        </w:rPr>
        <w:t>Our board of directors consists of five members and is divided into two classes with only one class of directors being elected in each year and each (except for those directors appointed prior to our first annual meeting of shareholders) serving a two-year term. The term of office of the first class of directors will expire at our first annual meeting of shareholders and the term of office of the second class of directors will expire at our second annual meeting of shareholders. We may not hold an annual meeting of shareholders until after we consummate our initial business combination (unless required by Nasdaq). Subject to any other special rights applicable to the shareholders, any vacancies on our board of directors may be filled by the affirmative vote of a majority of the directors present and voting at the meeting of our board or by a majority of the holders of our ordinary shares (or, prior to our initial business combination, holders of our founder shares).</w:t>
      </w:r>
    </w:p>
    <w:p>
      <w:pPr>
        <w:spacing w:after="0" w:line="184" w:lineRule="exact"/>
        <w:rPr>
          <w:sz w:val="20"/>
          <w:szCs w:val="20"/>
          <w:color w:val="auto"/>
        </w:rPr>
      </w:pPr>
    </w:p>
    <w:p>
      <w:pPr>
        <w:ind w:firstLine="324"/>
        <w:spacing w:after="0" w:line="235" w:lineRule="auto"/>
        <w:rPr>
          <w:sz w:val="20"/>
          <w:szCs w:val="20"/>
          <w:color w:val="auto"/>
        </w:rPr>
      </w:pPr>
      <w:r>
        <w:rPr>
          <w:rFonts w:ascii="Arial" w:cs="Arial" w:eastAsia="Arial" w:hAnsi="Arial"/>
          <w:sz w:val="22"/>
          <w:szCs w:val="22"/>
          <w:color w:val="auto"/>
        </w:rPr>
        <w:t>Our officers are elected by the board of directors and serve at the discretion of the board of directors, rather than for specific terms of office. Our board of directors is authorized to appoint persons to the offices set forth in our amended and restated memorandum and articles of association as it deems appropriate. Our amended and restated memorandum and articles of association provides that our officers may consist of a Chairman, a Chief Executive Officer, a President, a Chief Operating Officer, a Chief Financial Officer, Vice Presidents, a Secretary, Assistant Secretaries, a Treasurer and such other offices as may be determined by the board of directors.</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Director Independence</w:t>
      </w:r>
    </w:p>
    <w:p>
      <w:pPr>
        <w:spacing w:after="0" w:line="239" w:lineRule="exact"/>
        <w:rPr>
          <w:sz w:val="20"/>
          <w:szCs w:val="20"/>
          <w:color w:val="auto"/>
        </w:rPr>
      </w:pPr>
    </w:p>
    <w:p>
      <w:pPr>
        <w:ind w:right="160" w:firstLine="324"/>
        <w:spacing w:after="0" w:line="246" w:lineRule="auto"/>
        <w:rPr>
          <w:sz w:val="20"/>
          <w:szCs w:val="20"/>
          <w:color w:val="auto"/>
        </w:rPr>
      </w:pPr>
      <w:r>
        <w:rPr>
          <w:rFonts w:ascii="Arial" w:cs="Arial" w:eastAsia="Arial" w:hAnsi="Arial"/>
          <w:sz w:val="21"/>
          <w:szCs w:val="21"/>
          <w:color w:val="auto"/>
        </w:rPr>
        <w:t>Nasdaq listing standards require that a majority of our board of directors be independent within one year of our initial public offering. An “independent director” is defined generally as a person other than an officer or employee of the company or its subsidiaries or any other individual having a relationship which in the opinion of the company’s board of directors, would interfere with the director’s exercise of independent judgment in carrying out the responsibilities of a director. Our board of directors has determined that Orrin Devinsky, Richard Goldman and Kenneth Landis are “independent directors” as defined in the Nasdaq listing standards and applicable SEC rules. Our independent directors will have regularly scheduled meetings at which only independent directors are present.</w:t>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Committees of the Board of Directors</w:t>
      </w:r>
    </w:p>
    <w:p>
      <w:pPr>
        <w:spacing w:after="0" w:line="239" w:lineRule="exact"/>
        <w:rPr>
          <w:sz w:val="20"/>
          <w:szCs w:val="20"/>
          <w:color w:val="auto"/>
        </w:rPr>
      </w:pPr>
    </w:p>
    <w:p>
      <w:pPr>
        <w:ind w:left="340"/>
        <w:spacing w:after="0"/>
        <w:rPr>
          <w:sz w:val="20"/>
          <w:szCs w:val="20"/>
          <w:color w:val="auto"/>
        </w:rPr>
      </w:pPr>
      <w:r>
        <w:rPr>
          <w:rFonts w:ascii="Arial" w:cs="Arial" w:eastAsia="Arial" w:hAnsi="Arial"/>
          <w:sz w:val="19"/>
          <w:szCs w:val="19"/>
          <w:color w:val="auto"/>
        </w:rPr>
        <w:t>Pursuant to Nasdaq listing rules we will establish three standing committees - an audit committee in compliance with Section</w:t>
      </w:r>
    </w:p>
    <w:p>
      <w:pPr>
        <w:spacing w:after="0" w:line="43" w:lineRule="exact"/>
        <w:rPr>
          <w:sz w:val="20"/>
          <w:szCs w:val="20"/>
          <w:color w:val="auto"/>
        </w:rPr>
      </w:pPr>
    </w:p>
    <w:p>
      <w:pPr>
        <w:ind w:right="380"/>
        <w:spacing w:after="0" w:line="233" w:lineRule="auto"/>
        <w:rPr>
          <w:sz w:val="20"/>
          <w:szCs w:val="20"/>
          <w:color w:val="auto"/>
        </w:rPr>
      </w:pPr>
      <w:r>
        <w:rPr>
          <w:rFonts w:ascii="Arial" w:cs="Arial" w:eastAsia="Arial" w:hAnsi="Arial"/>
          <w:sz w:val="22"/>
          <w:szCs w:val="22"/>
          <w:color w:val="auto"/>
        </w:rPr>
        <w:t>3(a)(58)(A) of the Exchange Act, a compensation committee and a nominating committee, each comprised of independent directors. Under Nasdaq listing rule 5615(b)(1), a company listing in connection with its initial public offering is permitted to phase in its compliance with the independent committee requirements. We do not intend to rely on the phase-in schedules set forth in Nasdaq listing rule 5615(b)(1).</w:t>
      </w:r>
    </w:p>
    <w:p>
      <w:pPr>
        <w:spacing w:after="0" w:line="215" w:lineRule="exact"/>
        <w:rPr>
          <w:sz w:val="20"/>
          <w:szCs w:val="20"/>
          <w:color w:val="auto"/>
        </w:rPr>
      </w:pPr>
    </w:p>
    <w:p>
      <w:pPr>
        <w:ind w:left="180"/>
        <w:spacing w:after="0"/>
        <w:rPr>
          <w:sz w:val="20"/>
          <w:szCs w:val="20"/>
          <w:color w:val="auto"/>
        </w:rPr>
      </w:pPr>
      <w:r>
        <w:rPr>
          <w:rFonts w:ascii="Arial" w:cs="Arial" w:eastAsia="Arial" w:hAnsi="Arial"/>
          <w:sz w:val="22"/>
          <w:szCs w:val="22"/>
          <w:b w:val="1"/>
          <w:bCs w:val="1"/>
          <w:i w:val="1"/>
          <w:iCs w:val="1"/>
          <w:color w:val="auto"/>
        </w:rPr>
        <w:t>Audit Committee</w:t>
      </w:r>
    </w:p>
    <w:p>
      <w:pPr>
        <w:spacing w:after="0" w:line="233" w:lineRule="exact"/>
        <w:rPr>
          <w:sz w:val="20"/>
          <w:szCs w:val="20"/>
          <w:color w:val="auto"/>
        </w:rPr>
      </w:pPr>
    </w:p>
    <w:p>
      <w:pPr>
        <w:ind w:right="220" w:firstLine="324"/>
        <w:spacing w:after="0" w:line="274" w:lineRule="auto"/>
        <w:rPr>
          <w:sz w:val="20"/>
          <w:szCs w:val="20"/>
          <w:color w:val="auto"/>
        </w:rPr>
      </w:pPr>
      <w:r>
        <w:rPr>
          <w:rFonts w:ascii="Arial" w:cs="Arial" w:eastAsia="Arial" w:hAnsi="Arial"/>
          <w:sz w:val="21"/>
          <w:szCs w:val="21"/>
          <w:color w:val="auto"/>
        </w:rPr>
        <w:t>We have established an audit committee of the board of directors. The members of our audit committee are Orrin Devinsky, Richard Goldman and Kenneth Landis. Kenneth Landis serves as chairman of the audit committee.</w:t>
      </w:r>
    </w:p>
    <w:p>
      <w:pPr>
        <w:spacing w:after="0" w:line="178" w:lineRule="exact"/>
        <w:rPr>
          <w:sz w:val="20"/>
          <w:szCs w:val="20"/>
          <w:color w:val="auto"/>
        </w:rPr>
      </w:pPr>
    </w:p>
    <w:p>
      <w:pPr>
        <w:ind w:right="400" w:firstLine="324"/>
        <w:spacing w:after="0"/>
        <w:rPr>
          <w:sz w:val="20"/>
          <w:szCs w:val="20"/>
          <w:color w:val="auto"/>
        </w:rPr>
      </w:pPr>
      <w:r>
        <w:rPr>
          <w:rFonts w:ascii="Arial" w:cs="Arial" w:eastAsia="Arial" w:hAnsi="Arial"/>
          <w:sz w:val="22"/>
          <w:szCs w:val="22"/>
          <w:color w:val="auto"/>
        </w:rPr>
        <w:t>Each member of the audit committee is financially literate and our board of directors has determined that Kenneth Landis qualifies as an “audit committee financial expert” as defined in applicable SEC rules and has accounting or related financial management expertise.</w:t>
      </w:r>
    </w:p>
    <w:p>
      <w:pPr>
        <w:spacing w:after="0" w:line="213" w:lineRule="exact"/>
        <w:rPr>
          <w:sz w:val="20"/>
          <w:szCs w:val="20"/>
          <w:color w:val="auto"/>
        </w:rPr>
      </w:pPr>
    </w:p>
    <w:p>
      <w:pPr>
        <w:ind w:right="660" w:firstLine="324"/>
        <w:spacing w:after="0" w:line="250" w:lineRule="auto"/>
        <w:rPr>
          <w:sz w:val="20"/>
          <w:szCs w:val="20"/>
          <w:color w:val="auto"/>
        </w:rPr>
      </w:pPr>
      <w:r>
        <w:rPr>
          <w:rFonts w:ascii="Arial" w:cs="Arial" w:eastAsia="Arial" w:hAnsi="Arial"/>
          <w:sz w:val="22"/>
          <w:szCs w:val="22"/>
          <w:color w:val="auto"/>
        </w:rPr>
        <w:t>We have adopted an audit committee charter, which details the purpose and principal functions of the audit committee, including:</w:t>
      </w:r>
    </w:p>
    <w:p>
      <w:pPr>
        <w:spacing w:after="0" w:line="209" w:lineRule="exact"/>
        <w:rPr>
          <w:sz w:val="20"/>
          <w:szCs w:val="20"/>
          <w:color w:val="auto"/>
        </w:rPr>
      </w:pPr>
    </w:p>
    <w:p>
      <w:pPr>
        <w:ind w:left="660" w:right="600" w:hanging="328"/>
        <w:spacing w:after="0" w:line="342" w:lineRule="auto"/>
        <w:tabs>
          <w:tab w:leader="none" w:pos="6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assisting board oversight of (1) the integrity of our financial statements, (2) our compliance with legal and regulatory requirements, (3) our independent auditor’s qualifications and independence and (4) the performance of our internal audit function and independent auditors;</w:t>
      </w:r>
    </w:p>
    <w:p>
      <w:pPr>
        <w:spacing w:after="0" w:line="150" w:lineRule="exact"/>
        <w:rPr>
          <w:rFonts w:ascii="Arial" w:cs="Arial" w:eastAsia="Arial" w:hAnsi="Arial"/>
          <w:sz w:val="16"/>
          <w:szCs w:val="16"/>
          <w:color w:val="auto"/>
        </w:rPr>
      </w:pPr>
    </w:p>
    <w:p>
      <w:pPr>
        <w:ind w:left="660" w:right="20" w:hanging="328"/>
        <w:spacing w:after="0" w:line="27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appointment, compensation, retention, replacement and oversight of the work of the independent auditors and any other independent registered public accounting firm engaged by us;</w:t>
      </w:r>
    </w:p>
    <w:p>
      <w:pPr>
        <w:spacing w:after="0" w:line="197" w:lineRule="exact"/>
        <w:rPr>
          <w:rFonts w:ascii="Arial" w:cs="Arial" w:eastAsia="Arial" w:hAnsi="Arial"/>
          <w:sz w:val="18"/>
          <w:szCs w:val="18"/>
          <w:color w:val="auto"/>
        </w:rPr>
      </w:pPr>
    </w:p>
    <w:p>
      <w:pPr>
        <w:ind w:left="660" w:right="160" w:hanging="328"/>
        <w:spacing w:after="0" w:line="27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pre-approving all audit and non-audit services to be provided by the independent auditors or any other registered public accounting firm engaged by us and establishing pre-approval policies and procedures;</w:t>
      </w:r>
    </w:p>
    <w:p>
      <w:pPr>
        <w:spacing w:after="0" w:line="197" w:lineRule="exact"/>
        <w:rPr>
          <w:rFonts w:ascii="Arial" w:cs="Arial" w:eastAsia="Arial" w:hAnsi="Arial"/>
          <w:sz w:val="18"/>
          <w:szCs w:val="18"/>
          <w:color w:val="auto"/>
        </w:rPr>
      </w:pPr>
    </w:p>
    <w:p>
      <w:pPr>
        <w:ind w:left="660" w:right="980" w:hanging="328"/>
        <w:spacing w:after="0" w:line="27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reviewing and discussing with the independent auditors all relationships the auditors have with us in order to evaluate their continued independence;</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setting clear hiring policies for employees or former employees of the independent auditors;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setting clear policies for audit partner rotation in compliance with applicable laws and regulations;</w:t>
      </w:r>
    </w:p>
    <w:p>
      <w:pPr>
        <w:sectPr>
          <w:pgSz w:w="11900" w:h="16838" w:orient="portrait"/>
          <w:cols w:equalWidth="0" w:num="1">
            <w:col w:w="11240"/>
          </w:cols>
          <w:pgMar w:left="320" w:top="122" w:right="339" w:bottom="220" w:gutter="0" w:footer="0" w:header="0"/>
        </w:sect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220" w:gutter="0" w:footer="0" w:header="0"/>
          <w:type w:val="continuous"/>
        </w:sectPr>
      </w:pPr>
    </w:p>
    <w:bookmarkStart w:id="74" w:name="page75"/>
    <w:bookmarkEnd w:id="74"/>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660" w:hanging="328"/>
        <w:spacing w:after="0" w:line="259"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obtaining and reviewing a report, at least annually, from the independent auditors describing (1) the independent auditor’s internal quality-control procedures and (2) any material issues raised by the most recent internal quality-control review, or peer review, of the audit firm, or by any inquiry or investigation by governmental or professional authorities, within the preceding five years respecting one or more independent audits carried out by the firm and any steps taken to deal with such issues;</w:t>
      </w:r>
    </w:p>
    <w:p>
      <w:pPr>
        <w:spacing w:after="0" w:line="213" w:lineRule="exact"/>
        <w:rPr>
          <w:rFonts w:ascii="Arial" w:cs="Arial" w:eastAsia="Arial" w:hAnsi="Arial"/>
          <w:sz w:val="18"/>
          <w:szCs w:val="18"/>
          <w:color w:val="auto"/>
        </w:rPr>
      </w:pPr>
    </w:p>
    <w:p>
      <w:pPr>
        <w:ind w:left="660" w:right="220" w:hanging="328"/>
        <w:spacing w:after="0" w:line="263"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meeting to review and discuss our annual audited financial statements and quarterly financial statements with management and the independent auditor, including reviewing our specific disclosures under “Management’s Discussion and Analysis of Financial Condition and Results of Operations”;</w:t>
      </w:r>
    </w:p>
    <w:p>
      <w:pPr>
        <w:spacing w:after="0" w:line="210" w:lineRule="exact"/>
        <w:rPr>
          <w:rFonts w:ascii="Arial" w:cs="Arial" w:eastAsia="Arial" w:hAnsi="Arial"/>
          <w:sz w:val="18"/>
          <w:szCs w:val="18"/>
          <w:color w:val="auto"/>
        </w:rPr>
      </w:pPr>
    </w:p>
    <w:p>
      <w:pPr>
        <w:ind w:left="660" w:right="180" w:hanging="328"/>
        <w:spacing w:after="0" w:line="277"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reviewing and approving any related party transaction required to be disclosed pursuant to Item 404 of Regulation S-K promulgated by the SEC prior to us entering into such transaction; and</w:t>
      </w:r>
    </w:p>
    <w:p>
      <w:pPr>
        <w:spacing w:after="0" w:line="197" w:lineRule="exact"/>
        <w:rPr>
          <w:rFonts w:ascii="Arial" w:cs="Arial" w:eastAsia="Arial" w:hAnsi="Arial"/>
          <w:sz w:val="18"/>
          <w:szCs w:val="18"/>
          <w:color w:val="auto"/>
        </w:rPr>
      </w:pPr>
    </w:p>
    <w:p>
      <w:pPr>
        <w:ind w:left="660" w:right="20" w:hanging="328"/>
        <w:spacing w:after="0" w:line="259"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reviewing with management, the independent auditors, and our legal advisors, as appropriate, any legal, regulatory or compliance matters, including any correspondence with regulators or government agencies and any employee complaints or published reports that raise material issues regarding our financial statements or accounting policies and any significant changes in accounting standards or rules promulgated by the Financial Accounting Standards Board, the SEC or other regulatory authorities.</w:t>
      </w:r>
    </w:p>
    <w:p>
      <w:pPr>
        <w:spacing w:after="0" w:line="206" w:lineRule="exact"/>
        <w:rPr>
          <w:sz w:val="20"/>
          <w:szCs w:val="20"/>
          <w:color w:val="auto"/>
        </w:rPr>
      </w:pPr>
    </w:p>
    <w:p>
      <w:pPr>
        <w:ind w:left="180"/>
        <w:spacing w:after="0"/>
        <w:rPr>
          <w:sz w:val="20"/>
          <w:szCs w:val="20"/>
          <w:color w:val="auto"/>
        </w:rPr>
      </w:pPr>
      <w:r>
        <w:rPr>
          <w:rFonts w:ascii="Arial" w:cs="Arial" w:eastAsia="Arial" w:hAnsi="Arial"/>
          <w:sz w:val="22"/>
          <w:szCs w:val="22"/>
          <w:b w:val="1"/>
          <w:bCs w:val="1"/>
          <w:i w:val="1"/>
          <w:iCs w:val="1"/>
          <w:color w:val="auto"/>
        </w:rPr>
        <w:t>Compensation Committee</w:t>
      </w:r>
    </w:p>
    <w:p>
      <w:pPr>
        <w:spacing w:after="0" w:line="233" w:lineRule="exact"/>
        <w:rPr>
          <w:sz w:val="20"/>
          <w:szCs w:val="20"/>
          <w:color w:val="auto"/>
        </w:rPr>
      </w:pPr>
    </w:p>
    <w:p>
      <w:pPr>
        <w:jc w:val="both"/>
        <w:ind w:right="200" w:firstLine="324"/>
        <w:spacing w:after="0" w:line="328" w:lineRule="auto"/>
        <w:rPr>
          <w:sz w:val="20"/>
          <w:szCs w:val="20"/>
          <w:color w:val="auto"/>
        </w:rPr>
      </w:pPr>
      <w:r>
        <w:rPr>
          <w:rFonts w:ascii="Arial" w:cs="Arial" w:eastAsia="Arial" w:hAnsi="Arial"/>
          <w:sz w:val="19"/>
          <w:szCs w:val="19"/>
          <w:color w:val="auto"/>
        </w:rPr>
        <w:t>We have established a compensation committee of the board of directors. The members of our compensation committee are Orrin Devinsky, Richard Goldman and Kenneth Landis. Richard Goldman serves as chairman of the compensation committee.</w:t>
      </w:r>
    </w:p>
    <w:p>
      <w:pPr>
        <w:spacing w:after="0" w:line="132" w:lineRule="exact"/>
        <w:rPr>
          <w:sz w:val="20"/>
          <w:szCs w:val="20"/>
          <w:color w:val="auto"/>
        </w:rPr>
      </w:pPr>
    </w:p>
    <w:p>
      <w:pPr>
        <w:ind w:right="660" w:firstLine="324"/>
        <w:spacing w:after="0" w:line="250" w:lineRule="auto"/>
        <w:rPr>
          <w:sz w:val="20"/>
          <w:szCs w:val="20"/>
          <w:color w:val="auto"/>
        </w:rPr>
      </w:pPr>
      <w:r>
        <w:rPr>
          <w:rFonts w:ascii="Arial" w:cs="Arial" w:eastAsia="Arial" w:hAnsi="Arial"/>
          <w:sz w:val="22"/>
          <w:szCs w:val="22"/>
          <w:color w:val="auto"/>
        </w:rPr>
        <w:t>We have adopted a compensation committee charter, which details the purpose and responsibility of the compensation committee, including:</w:t>
      </w:r>
    </w:p>
    <w:p>
      <w:pPr>
        <w:spacing w:after="0" w:line="209" w:lineRule="exact"/>
        <w:rPr>
          <w:sz w:val="20"/>
          <w:szCs w:val="20"/>
          <w:color w:val="auto"/>
        </w:rPr>
      </w:pPr>
    </w:p>
    <w:p>
      <w:pPr>
        <w:ind w:left="660" w:hanging="328"/>
        <w:spacing w:after="0" w:line="263"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reviewing and approving on an annual basis the corporate goals and objectives relevant to our Chief Executive Officer’s compensation, evaluating our Chief Executive Officer’s performance in light of such goals and objectives and determining and approving the remuneration (if any) of our Chief Executive Officer based on such evaluation;</w:t>
      </w:r>
    </w:p>
    <w:p>
      <w:pPr>
        <w:spacing w:after="0" w:line="210" w:lineRule="exact"/>
        <w:rPr>
          <w:rFonts w:ascii="Arial" w:cs="Arial" w:eastAsia="Arial" w:hAnsi="Arial"/>
          <w:sz w:val="18"/>
          <w:szCs w:val="18"/>
          <w:color w:val="auto"/>
        </w:rPr>
      </w:pPr>
    </w:p>
    <w:p>
      <w:pPr>
        <w:ind w:left="660" w:right="180" w:hanging="328"/>
        <w:spacing w:after="0" w:line="277"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reviewing and making recommendations to our board of directors with respect to the compensation and any incentive-compensation and equity-based plans that are subject to board approval of all of our other officers;</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reviewing our executive compensation policies and plans;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implementing and administering our incentive compensation equity-based remuneration plans;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assisting management in complying with our proxy statement and annual report disclosure requirements;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approving all special perquisites, special cash payments and other special compensation and benefit arrangements for our officers and employees;</w:t>
      </w:r>
    </w:p>
    <w:p>
      <w:pPr>
        <w:spacing w:after="0" w:line="275" w:lineRule="exact"/>
        <w:rPr>
          <w:rFonts w:ascii="Arial" w:cs="Arial" w:eastAsia="Arial" w:hAnsi="Arial"/>
          <w:sz w:val="16"/>
          <w:szCs w:val="16"/>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producing a report on executive compensation to be included in our annual proxy statement;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reviewing, evaluating and recommending changes, if appropriate, to the remuneration for directors.</w:t>
      </w:r>
    </w:p>
    <w:p>
      <w:pPr>
        <w:spacing w:after="0" w:line="245" w:lineRule="exact"/>
        <w:rPr>
          <w:sz w:val="20"/>
          <w:szCs w:val="20"/>
          <w:color w:val="auto"/>
        </w:rPr>
      </w:pPr>
    </w:p>
    <w:p>
      <w:pPr>
        <w:ind w:right="20" w:firstLine="324"/>
        <w:spacing w:after="0" w:line="236" w:lineRule="auto"/>
        <w:rPr>
          <w:sz w:val="20"/>
          <w:szCs w:val="20"/>
          <w:color w:val="auto"/>
        </w:rPr>
      </w:pPr>
      <w:r>
        <w:rPr>
          <w:rFonts w:ascii="Arial" w:cs="Arial" w:eastAsia="Arial" w:hAnsi="Arial"/>
          <w:sz w:val="22"/>
          <w:szCs w:val="22"/>
          <w:color w:val="auto"/>
        </w:rPr>
        <w:t>The charter also provides that the compensation committee may, in its sole discretion, retain or obtain the advice of a compensation consultant, independent legal counsel or other adviser and is directly responsible for the appointment, compensation and oversight of the work of any such adviser. However, before engaging or receiving advice from a compensation consultant, external legal counsel or any other adviser, the compensation committee will consider the independence of each such adviser, including the factors required by Nasdaq and the SEC.</w:t>
      </w: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75" w:name="page76"/>
    <w:bookmarkEnd w:id="75"/>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ind w:left="180"/>
        <w:spacing w:after="0"/>
        <w:rPr>
          <w:sz w:val="20"/>
          <w:szCs w:val="20"/>
          <w:color w:val="auto"/>
        </w:rPr>
      </w:pPr>
      <w:r>
        <w:rPr>
          <w:rFonts w:ascii="Arial" w:cs="Arial" w:eastAsia="Arial" w:hAnsi="Arial"/>
          <w:sz w:val="22"/>
          <w:szCs w:val="22"/>
          <w:b w:val="1"/>
          <w:bCs w:val="1"/>
          <w:i w:val="1"/>
          <w:iCs w:val="1"/>
          <w:color w:val="auto"/>
        </w:rPr>
        <w:t>Nominating Committee</w:t>
      </w:r>
    </w:p>
    <w:p>
      <w:pPr>
        <w:spacing w:after="0" w:line="233" w:lineRule="exact"/>
        <w:rPr>
          <w:sz w:val="20"/>
          <w:szCs w:val="20"/>
          <w:color w:val="auto"/>
        </w:rPr>
      </w:pPr>
    </w:p>
    <w:p>
      <w:pPr>
        <w:ind w:right="80" w:firstLine="324"/>
        <w:spacing w:after="0" w:line="274" w:lineRule="auto"/>
        <w:rPr>
          <w:sz w:val="20"/>
          <w:szCs w:val="20"/>
          <w:color w:val="auto"/>
        </w:rPr>
      </w:pPr>
      <w:r>
        <w:rPr>
          <w:rFonts w:ascii="Arial" w:cs="Arial" w:eastAsia="Arial" w:hAnsi="Arial"/>
          <w:sz w:val="21"/>
          <w:szCs w:val="21"/>
          <w:color w:val="auto"/>
        </w:rPr>
        <w:t>We have established a nominating committee of the board of directors. The members of our nominating committee are Orrin Devinsky, Richard Goldman and Kenneth Landis. Orrin Devinsky serves as chairman of the audit committee.</w:t>
      </w:r>
    </w:p>
    <w:p>
      <w:pPr>
        <w:spacing w:after="0" w:line="178" w:lineRule="exact"/>
        <w:rPr>
          <w:sz w:val="20"/>
          <w:szCs w:val="20"/>
          <w:color w:val="auto"/>
        </w:rPr>
      </w:pPr>
    </w:p>
    <w:p>
      <w:pPr>
        <w:ind w:right="940" w:firstLine="324"/>
        <w:spacing w:after="0" w:line="250" w:lineRule="auto"/>
        <w:rPr>
          <w:sz w:val="20"/>
          <w:szCs w:val="20"/>
          <w:color w:val="auto"/>
        </w:rPr>
      </w:pPr>
      <w:r>
        <w:rPr>
          <w:rFonts w:ascii="Arial" w:cs="Arial" w:eastAsia="Arial" w:hAnsi="Arial"/>
          <w:sz w:val="22"/>
          <w:szCs w:val="22"/>
          <w:color w:val="auto"/>
        </w:rPr>
        <w:t>We have adopted a nominating committee charter, which details the purpose and responsibilities of the nominating committee, including:</w:t>
      </w:r>
    </w:p>
    <w:p>
      <w:pPr>
        <w:spacing w:after="0" w:line="209" w:lineRule="exact"/>
        <w:rPr>
          <w:sz w:val="20"/>
          <w:szCs w:val="20"/>
          <w:color w:val="auto"/>
        </w:rPr>
      </w:pPr>
    </w:p>
    <w:p>
      <w:pPr>
        <w:jc w:val="both"/>
        <w:ind w:left="660" w:right="20" w:hanging="328"/>
        <w:spacing w:after="0" w:line="342" w:lineRule="auto"/>
        <w:tabs>
          <w:tab w:leader="none" w:pos="6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identifying, screening and reviewing individuals qualified to serve as directors, consistent with criteria approved by the board, and recommending to the board of directors candidates for nomination for election at the annual meeting of shareholders or to fill vacancies on the board of directors;</w:t>
      </w:r>
    </w:p>
    <w:p>
      <w:pPr>
        <w:spacing w:after="0" w:line="150" w:lineRule="exact"/>
        <w:rPr>
          <w:rFonts w:ascii="Arial" w:cs="Arial" w:eastAsia="Arial" w:hAnsi="Arial"/>
          <w:sz w:val="16"/>
          <w:szCs w:val="16"/>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developing and recommending to the board of directors and overseeing implementation of our corporate governance guidelines;</w:t>
      </w:r>
    </w:p>
    <w:p>
      <w:pPr>
        <w:spacing w:after="0" w:line="252" w:lineRule="exact"/>
        <w:rPr>
          <w:rFonts w:ascii="Arial" w:cs="Arial" w:eastAsia="Arial" w:hAnsi="Arial"/>
          <w:sz w:val="18"/>
          <w:szCs w:val="18"/>
          <w:color w:val="auto"/>
        </w:rPr>
      </w:pPr>
    </w:p>
    <w:p>
      <w:pPr>
        <w:ind w:left="660" w:right="460" w:hanging="328"/>
        <w:spacing w:after="0" w:line="277"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coordinating and overseeing the annual self-evaluation of the board of directors, its committees, individual directors and management in the governance of the company; and</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reviewing on a regular basis our overall corporate governance and recommending improvements as and when necessary.</w:t>
      </w:r>
    </w:p>
    <w:p>
      <w:pPr>
        <w:spacing w:after="0" w:line="245" w:lineRule="exact"/>
        <w:rPr>
          <w:sz w:val="20"/>
          <w:szCs w:val="20"/>
          <w:color w:val="auto"/>
        </w:rPr>
      </w:pPr>
    </w:p>
    <w:p>
      <w:pPr>
        <w:ind w:right="240" w:firstLine="324"/>
        <w:spacing w:after="0"/>
        <w:rPr>
          <w:sz w:val="20"/>
          <w:szCs w:val="20"/>
          <w:color w:val="auto"/>
        </w:rPr>
      </w:pPr>
      <w:r>
        <w:rPr>
          <w:rFonts w:ascii="Arial" w:cs="Arial" w:eastAsia="Arial" w:hAnsi="Arial"/>
          <w:sz w:val="22"/>
          <w:szCs w:val="22"/>
          <w:color w:val="auto"/>
        </w:rPr>
        <w:t>The charter also provides that the nominating committee may, in their sole discretion, retain or obtain the advice of, and terminate, any search firm to be used to identify director candidates, and is directly responsible for approving the search firm’s fees and other retention terms.</w:t>
      </w:r>
    </w:p>
    <w:p>
      <w:pPr>
        <w:spacing w:after="0" w:line="213" w:lineRule="exact"/>
        <w:rPr>
          <w:sz w:val="20"/>
          <w:szCs w:val="20"/>
          <w:color w:val="auto"/>
        </w:rPr>
      </w:pPr>
    </w:p>
    <w:p>
      <w:pPr>
        <w:ind w:right="140" w:firstLine="324"/>
        <w:spacing w:after="0" w:line="252" w:lineRule="auto"/>
        <w:rPr>
          <w:sz w:val="20"/>
          <w:szCs w:val="20"/>
          <w:color w:val="auto"/>
        </w:rPr>
      </w:pPr>
      <w:r>
        <w:rPr>
          <w:rFonts w:ascii="Arial" w:cs="Arial" w:eastAsia="Arial" w:hAnsi="Arial"/>
          <w:sz w:val="21"/>
          <w:szCs w:val="21"/>
          <w:color w:val="auto"/>
        </w:rPr>
        <w:t>We have not formally established any specific, minimum qualifications that must be met or skills that are necessary for directors to possess. In general, in identifying and evaluating nominees for director, the board of directors considers educational background, diversity of professional experience, knowledge of our business, integrity, professional reputation, independence, wisdom, and the ability to represent the best interests of our shareholders.</w:t>
      </w:r>
    </w:p>
    <w:p>
      <w:pPr>
        <w:spacing w:after="0" w:line="19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Compensation Committee Interlocks and Insider Participation</w:t>
      </w:r>
    </w:p>
    <w:p>
      <w:pPr>
        <w:spacing w:after="0" w:line="239" w:lineRule="exact"/>
        <w:rPr>
          <w:sz w:val="20"/>
          <w:szCs w:val="20"/>
          <w:color w:val="auto"/>
        </w:rPr>
      </w:pPr>
    </w:p>
    <w:p>
      <w:pPr>
        <w:ind w:right="1020" w:firstLine="324"/>
        <w:spacing w:after="0" w:line="328" w:lineRule="auto"/>
        <w:rPr>
          <w:sz w:val="20"/>
          <w:szCs w:val="20"/>
          <w:color w:val="auto"/>
        </w:rPr>
      </w:pPr>
      <w:r>
        <w:rPr>
          <w:rFonts w:ascii="Arial" w:cs="Arial" w:eastAsia="Arial" w:hAnsi="Arial"/>
          <w:sz w:val="19"/>
          <w:szCs w:val="19"/>
          <w:color w:val="auto"/>
        </w:rPr>
        <w:t>None of our officers currently serves, and in the past year has not served, as a member of the board of directors or compensation committee of any entity that has one or more officers serving on our board of directors.</w:t>
      </w:r>
    </w:p>
    <w:p>
      <w:pPr>
        <w:spacing w:after="0" w:line="1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16(a) Beneficial Ownership Reporting Compliance</w:t>
      </w:r>
    </w:p>
    <w:p>
      <w:pPr>
        <w:spacing w:after="0" w:line="239" w:lineRule="exact"/>
        <w:rPr>
          <w:sz w:val="20"/>
          <w:szCs w:val="20"/>
          <w:color w:val="auto"/>
        </w:rPr>
      </w:pPr>
    </w:p>
    <w:p>
      <w:pPr>
        <w:ind w:right="40" w:firstLine="324"/>
        <w:spacing w:after="0" w:line="238" w:lineRule="auto"/>
        <w:rPr>
          <w:sz w:val="20"/>
          <w:szCs w:val="20"/>
          <w:color w:val="auto"/>
        </w:rPr>
      </w:pPr>
      <w:r>
        <w:rPr>
          <w:rFonts w:ascii="Arial" w:cs="Arial" w:eastAsia="Arial" w:hAnsi="Arial"/>
          <w:sz w:val="22"/>
          <w:szCs w:val="22"/>
          <w:color w:val="auto"/>
        </w:rPr>
        <w:t>Section 16(a) of the Exchange Act requires our officers, directors and persons who beneficially own more than ten percent of our ordinary shares to file reports of ownership and changes in ownership with the SEC. These reporting persons are also required to furnish us with copies of all Section 16(a) forms they file. Based solely upon a review of such forms, we believe that during the year ended December 31, 2019 there were no delinquent filers.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Code of Ethics</w:t>
      </w:r>
    </w:p>
    <w:p>
      <w:pPr>
        <w:spacing w:after="0" w:line="239" w:lineRule="exact"/>
        <w:rPr>
          <w:sz w:val="20"/>
          <w:szCs w:val="20"/>
          <w:color w:val="auto"/>
        </w:rPr>
      </w:pPr>
    </w:p>
    <w:p>
      <w:pPr>
        <w:ind w:firstLine="324"/>
        <w:spacing w:after="0" w:line="297" w:lineRule="auto"/>
        <w:rPr>
          <w:sz w:val="20"/>
          <w:szCs w:val="20"/>
          <w:color w:val="auto"/>
        </w:rPr>
      </w:pPr>
      <w:r>
        <w:rPr>
          <w:rFonts w:ascii="Arial" w:cs="Arial" w:eastAsia="Arial" w:hAnsi="Arial"/>
          <w:sz w:val="19"/>
          <w:szCs w:val="19"/>
          <w:color w:val="auto"/>
        </w:rPr>
        <w:t>We have adopted a code of ethics applicable to our directors, officers and employees (our “Code of Ethics”). Our Code of Ethics is available on our website. Our Code of Ethics is a “code of ethics,” as defined in Item 406(b) of Regulation S-K. We will make any legally required disclosures regarding amendments to, or waivers of, provisions of our Code of Ethics on our website.</w:t>
      </w:r>
    </w:p>
    <w:p>
      <w:pPr>
        <w:spacing w:after="0" w:line="15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Conflicts of Interest</w:t>
      </w:r>
    </w:p>
    <w:p>
      <w:pPr>
        <w:spacing w:after="0" w:line="239" w:lineRule="exact"/>
        <w:rPr>
          <w:sz w:val="20"/>
          <w:szCs w:val="20"/>
          <w:color w:val="auto"/>
        </w:rPr>
      </w:pPr>
    </w:p>
    <w:p>
      <w:pPr>
        <w:ind w:right="40" w:firstLine="324"/>
        <w:spacing w:after="0" w:line="238" w:lineRule="auto"/>
        <w:rPr>
          <w:sz w:val="20"/>
          <w:szCs w:val="20"/>
          <w:color w:val="auto"/>
        </w:rPr>
      </w:pPr>
      <w:r>
        <w:rPr>
          <w:rFonts w:ascii="Arial" w:cs="Arial" w:eastAsia="Arial" w:hAnsi="Arial"/>
          <w:sz w:val="22"/>
          <w:szCs w:val="22"/>
          <w:color w:val="auto"/>
        </w:rPr>
        <w:t>All of our executive officers and certain of our directors have or may have fiduciary and contractual duties to certain companies in which they have invested. These entities may compete with us for acquisition opportunities. If these entities decide to pursue any such opportunity, we may be precluded from pursuing it. However, we do not expect these duties to present a significant conflict of interest with our search for an initial business combination.</w:t>
      </w: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2" w:right="399" w:bottom="1440" w:gutter="0" w:footer="0" w:header="0"/>
        </w:sectPr>
      </w:pPr>
    </w:p>
    <w:bookmarkStart w:id="76" w:name="page77"/>
    <w:bookmarkEnd w:id="76"/>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ind w:left="340"/>
        <w:spacing w:after="0"/>
        <w:rPr>
          <w:sz w:val="20"/>
          <w:szCs w:val="20"/>
          <w:color w:val="auto"/>
        </w:rPr>
      </w:pPr>
      <w:r>
        <w:rPr>
          <w:rFonts w:ascii="Arial" w:cs="Arial" w:eastAsia="Arial" w:hAnsi="Arial"/>
          <w:sz w:val="22"/>
          <w:szCs w:val="22"/>
          <w:color w:val="auto"/>
        </w:rPr>
        <w:t>Under Cayman Islands law, directors and officers owe the following fiduciary duties:</w:t>
      </w:r>
    </w:p>
    <w:p>
      <w:pPr>
        <w:spacing w:after="0" w:line="240" w:lineRule="exact"/>
        <w:rPr>
          <w:sz w:val="20"/>
          <w:szCs w:val="20"/>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duty to act in good faith in what the director or officer believes to be in the best interests of the company as a whole;</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duty to exercise authority for the purpose for which it is conferred;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duty to not improperly fetter the exercise of future discretion;</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duty not to put themselves in a position in which there is a conflict between their duty to the company and their personal interests; and</w:t>
      </w:r>
    </w:p>
    <w:p>
      <w:pPr>
        <w:spacing w:after="0" w:line="263" w:lineRule="exact"/>
        <w:rPr>
          <w:rFonts w:ascii="Arial" w:cs="Arial" w:eastAsia="Arial" w:hAnsi="Arial"/>
          <w:sz w:val="17"/>
          <w:szCs w:val="17"/>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duty to exercise independent judgment.</w:t>
      </w:r>
    </w:p>
    <w:p>
      <w:pPr>
        <w:spacing w:after="0" w:line="245" w:lineRule="exact"/>
        <w:rPr>
          <w:sz w:val="20"/>
          <w:szCs w:val="20"/>
          <w:color w:val="auto"/>
        </w:rPr>
      </w:pPr>
    </w:p>
    <w:p>
      <w:pPr>
        <w:ind w:right="200" w:firstLine="324"/>
        <w:spacing w:after="0" w:line="238" w:lineRule="auto"/>
        <w:rPr>
          <w:sz w:val="20"/>
          <w:szCs w:val="20"/>
          <w:color w:val="auto"/>
        </w:rPr>
      </w:pPr>
      <w:r>
        <w:rPr>
          <w:rFonts w:ascii="Arial" w:cs="Arial" w:eastAsia="Arial" w:hAnsi="Arial"/>
          <w:sz w:val="22"/>
          <w:szCs w:val="22"/>
          <w:color w:val="auto"/>
        </w:rPr>
        <w:t>In addition to the above, directors also owe a duty of care, which is not fiduciary in nature. This duty has been defined as a requirement to act as a reasonably diligent person having both the general knowledge, skill and experience that may reasonably be expected of a person carrying out the same functions as are carried out by that director in relation to the company and the general knowledge, skill and experience which that director has.</w:t>
      </w:r>
    </w:p>
    <w:p>
      <w:pPr>
        <w:spacing w:after="0" w:line="212" w:lineRule="exact"/>
        <w:rPr>
          <w:sz w:val="20"/>
          <w:szCs w:val="20"/>
          <w:color w:val="auto"/>
        </w:rPr>
      </w:pPr>
    </w:p>
    <w:p>
      <w:pPr>
        <w:ind w:right="40" w:firstLine="324"/>
        <w:spacing w:after="0" w:line="282" w:lineRule="auto"/>
        <w:rPr>
          <w:sz w:val="20"/>
          <w:szCs w:val="20"/>
          <w:color w:val="auto"/>
        </w:rPr>
      </w:pPr>
      <w:r>
        <w:rPr>
          <w:rFonts w:ascii="Arial" w:cs="Arial" w:eastAsia="Arial" w:hAnsi="Arial"/>
          <w:sz w:val="19"/>
          <w:szCs w:val="19"/>
          <w:color w:val="auto"/>
        </w:rPr>
        <w:t>As set out above, directors have a duty not to put themselves in a position of conflict and this includes a duty not to engage in self-dealing, or to otherwise benefit as a result of their position at the expense of the company. However, in some instances what would otherwise be a breach of this duty can be forgiven and/or authorized in advance by the shareholders; provided that there is full disclosure by the directors. This can be done by way of permission granted in the amended and restated memorandum and articles of association or alternatively by shareholder approval at general meetings.</w:t>
      </w:r>
    </w:p>
    <w:p>
      <w:pPr>
        <w:spacing w:after="0" w:line="174" w:lineRule="exact"/>
        <w:rPr>
          <w:sz w:val="20"/>
          <w:szCs w:val="20"/>
          <w:color w:val="auto"/>
        </w:rPr>
      </w:pPr>
    </w:p>
    <w:p>
      <w:pPr>
        <w:ind w:right="80" w:firstLine="324"/>
        <w:spacing w:after="0" w:line="277" w:lineRule="auto"/>
        <w:rPr>
          <w:sz w:val="20"/>
          <w:szCs w:val="20"/>
          <w:color w:val="auto"/>
        </w:rPr>
      </w:pPr>
      <w:r>
        <w:rPr>
          <w:rFonts w:ascii="Arial" w:cs="Arial" w:eastAsia="Arial" w:hAnsi="Arial"/>
          <w:sz w:val="19"/>
          <w:szCs w:val="19"/>
          <w:color w:val="auto"/>
        </w:rPr>
        <w:t>Certain of our officers and directors presently have, and any of them in the future may have additional, fiduciary or contractual obligations to other entities pursuant to which such officer or director is or will be required to present a business combination opportunity to such entity. Accordingly, if any of our officers or directors becomes aware of a business combination opportunity that is suitable for an entity to which he or she has then-current fiduciary or contractual obligations, he or she may need to honor these fiduciary or contractual obligations to present such business combination opportunity to such entity, subject to their fiduciary duties under Cayman Islands law. We do not believe, however, that the fiduciary duties or contractual obligations of our officers or directors will materially affect our ability to complete our initial business combination.</w:t>
      </w:r>
    </w:p>
    <w:p>
      <w:pPr>
        <w:spacing w:after="0" w:line="179" w:lineRule="exact"/>
        <w:rPr>
          <w:sz w:val="20"/>
          <w:szCs w:val="20"/>
          <w:color w:val="auto"/>
        </w:rPr>
      </w:pPr>
    </w:p>
    <w:p>
      <w:pPr>
        <w:ind w:left="340"/>
        <w:spacing w:after="0"/>
        <w:rPr>
          <w:sz w:val="20"/>
          <w:szCs w:val="20"/>
          <w:color w:val="auto"/>
        </w:rPr>
      </w:pPr>
      <w:r>
        <w:rPr>
          <w:rFonts w:ascii="Arial" w:cs="Arial" w:eastAsia="Arial" w:hAnsi="Arial"/>
          <w:sz w:val="22"/>
          <w:szCs w:val="22"/>
          <w:color w:val="auto"/>
        </w:rPr>
        <w:t>Potential investors should also be aware of the following potential conflicts of interest:</w:t>
      </w:r>
    </w:p>
    <w:p>
      <w:pPr>
        <w:spacing w:after="0" w:line="240" w:lineRule="exact"/>
        <w:rPr>
          <w:sz w:val="20"/>
          <w:szCs w:val="20"/>
          <w:color w:val="auto"/>
        </w:rPr>
      </w:pPr>
    </w:p>
    <w:p>
      <w:pPr>
        <w:ind w:left="660" w:right="660" w:hanging="328"/>
        <w:spacing w:after="0" w:line="277"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None of our officers or directors is required to commit his or her full time to our affairs and, accordingly, may have conflicts of interest in allocating his or her time among various business activities.</w:t>
      </w:r>
    </w:p>
    <w:p>
      <w:pPr>
        <w:spacing w:after="0" w:line="197" w:lineRule="exact"/>
        <w:rPr>
          <w:rFonts w:ascii="Arial" w:cs="Arial" w:eastAsia="Arial" w:hAnsi="Arial"/>
          <w:sz w:val="18"/>
          <w:szCs w:val="18"/>
          <w:color w:val="auto"/>
        </w:rPr>
      </w:pPr>
    </w:p>
    <w:p>
      <w:pPr>
        <w:ind w:left="660" w:right="100" w:hanging="328"/>
        <w:spacing w:after="0" w:line="263"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 the course of their other business activities, our officers and directors may become aware of investment and business opportunities that may be appropriate for presentation to us as well as the other entities with which they are affiliated. Our management may have conflicts of interest in determining to which entity a particular business opportunity should be presented.</w:t>
      </w:r>
    </w:p>
    <w:p>
      <w:pPr>
        <w:spacing w:after="0" w:line="210" w:lineRule="exact"/>
        <w:rPr>
          <w:rFonts w:ascii="Arial" w:cs="Arial" w:eastAsia="Arial" w:hAnsi="Arial"/>
          <w:sz w:val="18"/>
          <w:szCs w:val="18"/>
          <w:color w:val="auto"/>
        </w:rPr>
      </w:pPr>
    </w:p>
    <w:p>
      <w:pPr>
        <w:ind w:left="660" w:hanging="328"/>
        <w:spacing w:after="0" w:line="267" w:lineRule="auto"/>
        <w:tabs>
          <w:tab w:leader="none" w:pos="6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Our initial shareholders have agreed to waive their redemption rights with respect to their founder shares and any public shares held by them in connection with the completion of our initial business combination. Our directors and officers have also entered into the letter agreement, imposing similar obligations on them with respect to public shares acquired by them, if any. Additionally, our initial shareholders have agreed to waive their redemption rights with respect to their founder shares if we fail to consummate our initial business combination within 18 months after the closing of our initial offering. However, if our initial shareholders or any of our officers, directors or affiliates acquire public shares, they will be entitled to liquidating distributions from the trust account with respect to such public shares if we fail to consummate our initial business combination within the prescribed time frame. If we do not complete our initial business combination within such applicable time period, the proceeds of the sale of the private placement warrants held in the trust account will be used to fund the redemption of our public shares, and the private placement warrants will expire worthless. With certain limited exceptions, the founder shares will not be transferable, assignable or salable by our initial shareholders until the earlier of (1) one year after the completion of our initial business combination and (2) the date on which we consummate a liquidation, merger, amalgamation, share exchange, reorganization, or other similar transaction after our initial business combination that results in all of our shareholders having the right to exchange their ordinary shares for cash, securities or other property. Notwithstanding the foregoing, if the last reported sale price of our Class A ordinary shares equals or exceeds $12.00 per share (as adjusted for share splits, share dividends, rights issuances, subdivisions, reorganizations, recapitalizations and the like) for any 20 trading days within any 30-trading day period commencing at least 150 days after our initial business combination, the founder shares will be released from the lock-up. With certain limited exceptions, the private placement warrants and the Class A ordinary shares underlying such warrants, will not be transferable, assignable or salable by our sponsor until 30 days after the completion of our initial business combination. Since our sponsor and officers and directors may directly or indirectly own ordinary shares and warrants following our initial public offering, our officers and directors may have a conflict of interest in determining whether a particular target business is an appropriate business with which to effectuate our initial business combination</w:t>
      </w:r>
    </w:p>
    <w:p>
      <w:pPr>
        <w:sectPr>
          <w:pgSz w:w="11900" w:h="16838" w:orient="portrait"/>
          <w:cols w:equalWidth="0" w:num="1">
            <w:col w:w="11220"/>
          </w:cols>
          <w:pgMar w:left="320" w:top="121" w:right="359" w:bottom="1440" w:gutter="0" w:footer="0" w:header="0"/>
        </w:sectPr>
      </w:pPr>
    </w:p>
    <w:p>
      <w:pPr>
        <w:spacing w:after="0" w:line="398"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77" w:name="page78"/>
    <w:bookmarkEnd w:id="77"/>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ind w:left="660" w:right="340" w:hanging="328"/>
        <w:spacing w:after="0" w:line="286" w:lineRule="auto"/>
        <w:tabs>
          <w:tab w:leader="none" w:pos="6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Our officers and directors may negotiate employment or consulting agreements with a target business in connection with a particular business combination. These agreements may provide for them to receive compensation following our initial business combination and as a result, may cause them to have conflicts of interest in determining whether to proceed with a particular business combination.</w:t>
      </w:r>
    </w:p>
    <w:p>
      <w:pPr>
        <w:spacing w:after="0" w:line="192" w:lineRule="exact"/>
        <w:rPr>
          <w:rFonts w:ascii="Arial" w:cs="Arial" w:eastAsia="Arial" w:hAnsi="Arial"/>
          <w:sz w:val="17"/>
          <w:szCs w:val="17"/>
          <w:color w:val="auto"/>
        </w:rPr>
      </w:pPr>
    </w:p>
    <w:p>
      <w:pPr>
        <w:ind w:left="660" w:hanging="328"/>
        <w:spacing w:after="0" w:line="263"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officers and directors may have a conflict of interest with respect to evaluating a particular business combination if the retention or resignation of any such officers and directors was included by a target business as a condition to any agreement with respect to our initial business combination.</w:t>
      </w:r>
    </w:p>
    <w:p>
      <w:pPr>
        <w:spacing w:after="0" w:line="203" w:lineRule="exact"/>
        <w:rPr>
          <w:sz w:val="20"/>
          <w:szCs w:val="20"/>
          <w:color w:val="auto"/>
        </w:rPr>
      </w:pPr>
    </w:p>
    <w:p>
      <w:pPr>
        <w:ind w:left="340"/>
        <w:spacing w:after="0"/>
        <w:rPr>
          <w:sz w:val="20"/>
          <w:szCs w:val="20"/>
          <w:color w:val="auto"/>
        </w:rPr>
      </w:pPr>
      <w:r>
        <w:rPr>
          <w:rFonts w:ascii="Arial" w:cs="Arial" w:eastAsia="Arial" w:hAnsi="Arial"/>
          <w:sz w:val="22"/>
          <w:szCs w:val="22"/>
          <w:color w:val="auto"/>
        </w:rPr>
        <w:t>The conflicts described above may not be resolved in our favor.</w:t>
      </w:r>
    </w:p>
    <w:p>
      <w:pPr>
        <w:spacing w:after="0" w:line="233" w:lineRule="exact"/>
        <w:rPr>
          <w:sz w:val="20"/>
          <w:szCs w:val="20"/>
          <w:color w:val="auto"/>
        </w:rPr>
      </w:pPr>
    </w:p>
    <w:p>
      <w:pPr>
        <w:ind w:right="260" w:firstLine="324"/>
        <w:spacing w:after="0" w:line="297" w:lineRule="auto"/>
        <w:rPr>
          <w:sz w:val="20"/>
          <w:szCs w:val="20"/>
          <w:color w:val="auto"/>
        </w:rPr>
      </w:pPr>
      <w:r>
        <w:rPr>
          <w:rFonts w:ascii="Arial" w:cs="Arial" w:eastAsia="Arial" w:hAnsi="Arial"/>
          <w:sz w:val="19"/>
          <w:szCs w:val="19"/>
          <w:color w:val="auto"/>
        </w:rPr>
        <w:t>Accordingly, as a result of multiple business affiliations, our officers and directors have similar legal obligations relating to presenting business opportunities meeting the above-listed criteria to multiple entities. Below is a table summarizing of the entities and businesses to which our officers and directors currently have fiduciary duties or contractual obligations: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2600" w:type="dxa"/>
            <w:vAlign w:val="bottom"/>
            <w:gridSpan w:val="2"/>
          </w:tcPr>
          <w:p>
            <w:pPr>
              <w:ind w:left="840"/>
              <w:spacing w:after="0"/>
              <w:rPr>
                <w:sz w:val="20"/>
                <w:szCs w:val="20"/>
                <w:color w:val="auto"/>
              </w:rPr>
            </w:pPr>
            <w:r>
              <w:rPr>
                <w:rFonts w:ascii="Arial" w:cs="Arial" w:eastAsia="Arial" w:hAnsi="Arial"/>
                <w:sz w:val="18"/>
                <w:szCs w:val="18"/>
                <w:b w:val="1"/>
                <w:bCs w:val="1"/>
                <w:color w:val="auto"/>
              </w:rPr>
              <w:t>Individual</w:t>
            </w:r>
          </w:p>
        </w:tc>
        <w:tc>
          <w:tcPr>
            <w:tcW w:w="2920" w:type="dxa"/>
            <w:vAlign w:val="bottom"/>
            <w:gridSpan w:val="2"/>
          </w:tcPr>
          <w:p>
            <w:pPr>
              <w:ind w:left="1140"/>
              <w:spacing w:after="0"/>
              <w:rPr>
                <w:sz w:val="20"/>
                <w:szCs w:val="20"/>
                <w:color w:val="auto"/>
              </w:rPr>
            </w:pPr>
            <w:r>
              <w:rPr>
                <w:rFonts w:ascii="Arial" w:cs="Arial" w:eastAsia="Arial" w:hAnsi="Arial"/>
                <w:sz w:val="18"/>
                <w:szCs w:val="18"/>
                <w:b w:val="1"/>
                <w:bCs w:val="1"/>
                <w:color w:val="auto"/>
              </w:rPr>
              <w:t>Entity</w:t>
            </w:r>
          </w:p>
        </w:tc>
        <w:tc>
          <w:tcPr>
            <w:tcW w:w="2920" w:type="dxa"/>
            <w:vAlign w:val="bottom"/>
            <w:gridSpan w:val="2"/>
          </w:tcPr>
          <w:p>
            <w:pPr>
              <w:ind w:left="720"/>
              <w:spacing w:after="0"/>
              <w:rPr>
                <w:sz w:val="20"/>
                <w:szCs w:val="20"/>
                <w:color w:val="auto"/>
              </w:rPr>
            </w:pPr>
            <w:r>
              <w:rPr>
                <w:rFonts w:ascii="Arial" w:cs="Arial" w:eastAsia="Arial" w:hAnsi="Arial"/>
                <w:sz w:val="18"/>
                <w:szCs w:val="18"/>
                <w:b w:val="1"/>
                <w:bCs w:val="1"/>
                <w:color w:val="auto"/>
              </w:rPr>
              <w:t>Entity’s Business</w:t>
            </w:r>
          </w:p>
        </w:tc>
        <w:tc>
          <w:tcPr>
            <w:tcW w:w="2800" w:type="dxa"/>
            <w:vAlign w:val="bottom"/>
          </w:tcPr>
          <w:p>
            <w:pPr>
              <w:ind w:left="980"/>
              <w:spacing w:after="0"/>
              <w:rPr>
                <w:sz w:val="20"/>
                <w:szCs w:val="20"/>
                <w:color w:val="auto"/>
              </w:rPr>
            </w:pPr>
            <w:r>
              <w:rPr>
                <w:rFonts w:ascii="Arial" w:cs="Arial" w:eastAsia="Arial" w:hAnsi="Arial"/>
                <w:sz w:val="18"/>
                <w:szCs w:val="18"/>
                <w:b w:val="1"/>
                <w:bCs w:val="1"/>
                <w:color w:val="auto"/>
              </w:rPr>
              <w:t>Affiliation</w:t>
            </w:r>
          </w:p>
        </w:tc>
      </w:tr>
      <w:tr>
        <w:trPr>
          <w:trHeight w:val="216"/>
        </w:trPr>
        <w:tc>
          <w:tcPr>
            <w:tcW w:w="25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0" w:type="dxa"/>
            <w:vAlign w:val="bottom"/>
            <w:tcBorders>
              <w:top w:val="single" w:sz="8" w:color="auto"/>
            </w:tcBorders>
          </w:tcPr>
          <w:p>
            <w:pPr>
              <w:spacing w:after="0"/>
              <w:rPr>
                <w:sz w:val="18"/>
                <w:szCs w:val="18"/>
                <w:color w:val="auto"/>
              </w:rPr>
            </w:pPr>
          </w:p>
        </w:tc>
      </w:tr>
      <w:tr>
        <w:trPr>
          <w:trHeight w:val="202"/>
        </w:trPr>
        <w:tc>
          <w:tcPr>
            <w:tcW w:w="26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Scott Gordon</w:t>
            </w:r>
          </w:p>
        </w:tc>
        <w:tc>
          <w:tcPr>
            <w:tcW w:w="29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Egg Rock Holdings (including</w:t>
            </w:r>
          </w:p>
        </w:tc>
        <w:tc>
          <w:tcPr>
            <w:tcW w:w="29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Cannabis products, manufacturing,</w:t>
            </w:r>
          </w:p>
        </w:tc>
        <w:tc>
          <w:tcPr>
            <w:tcW w:w="28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Co-founder and Chairman</w:t>
            </w:r>
          </w:p>
        </w:tc>
      </w:tr>
      <w:tr>
        <w:trPr>
          <w:trHeight w:val="216"/>
        </w:trPr>
        <w:tc>
          <w:tcPr>
            <w:tcW w:w="2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subsidiaries operating the Papa &amp;</w:t>
            </w:r>
          </w:p>
        </w:tc>
        <w:tc>
          <w:tcPr>
            <w:tcW w:w="2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processing, and logistics; hemp-</w:t>
            </w:r>
          </w:p>
        </w:tc>
        <w:tc>
          <w:tcPr>
            <w:tcW w:w="2800" w:type="dxa"/>
            <w:vAlign w:val="bottom"/>
            <w:shd w:val="clear" w:color="auto" w:fill="CCEEFF"/>
          </w:tcPr>
          <w:p>
            <w:pPr>
              <w:spacing w:after="0"/>
              <w:rPr>
                <w:sz w:val="18"/>
                <w:szCs w:val="18"/>
                <w:color w:val="auto"/>
              </w:rPr>
            </w:pPr>
          </w:p>
        </w:tc>
      </w:tr>
      <w:tr>
        <w:trPr>
          <w:trHeight w:val="230"/>
        </w:trPr>
        <w:tc>
          <w:tcPr>
            <w:tcW w:w="2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Barkley business line)</w:t>
            </w:r>
          </w:p>
        </w:tc>
        <w:tc>
          <w:tcPr>
            <w:tcW w:w="2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derived CBD</w:t>
            </w:r>
          </w:p>
        </w:tc>
        <w:tc>
          <w:tcPr>
            <w:tcW w:w="2800" w:type="dxa"/>
            <w:vAlign w:val="bottom"/>
            <w:shd w:val="clear" w:color="auto" w:fill="CCEEFF"/>
          </w:tcPr>
          <w:p>
            <w:pPr>
              <w:spacing w:after="0"/>
              <w:rPr>
                <w:sz w:val="20"/>
                <w:szCs w:val="20"/>
                <w:color w:val="auto"/>
              </w:rPr>
            </w:pPr>
          </w:p>
        </w:tc>
      </w:tr>
      <w:tr>
        <w:trPr>
          <w:trHeight w:val="202"/>
        </w:trPr>
        <w:tc>
          <w:tcPr>
            <w:tcW w:w="2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920" w:type="dxa"/>
            <w:vAlign w:val="bottom"/>
            <w:gridSpan w:val="2"/>
          </w:tcPr>
          <w:p>
            <w:pPr>
              <w:spacing w:after="0" w:line="201" w:lineRule="exact"/>
              <w:rPr>
                <w:sz w:val="20"/>
                <w:szCs w:val="20"/>
                <w:color w:val="auto"/>
              </w:rPr>
            </w:pPr>
            <w:r>
              <w:rPr>
                <w:rFonts w:ascii="Arial" w:cs="Arial" w:eastAsia="Arial" w:hAnsi="Arial"/>
                <w:sz w:val="18"/>
                <w:szCs w:val="18"/>
                <w:color w:val="auto"/>
              </w:rPr>
              <w:t>Silver Spike Capital</w:t>
            </w:r>
          </w:p>
        </w:tc>
        <w:tc>
          <w:tcPr>
            <w:tcW w:w="2920" w:type="dxa"/>
            <w:vAlign w:val="bottom"/>
            <w:gridSpan w:val="2"/>
          </w:tcPr>
          <w:p>
            <w:pPr>
              <w:spacing w:after="0" w:line="201" w:lineRule="exact"/>
              <w:rPr>
                <w:sz w:val="20"/>
                <w:szCs w:val="20"/>
                <w:color w:val="auto"/>
              </w:rPr>
            </w:pPr>
            <w:r>
              <w:rPr>
                <w:rFonts w:ascii="Arial" w:cs="Arial" w:eastAsia="Arial" w:hAnsi="Arial"/>
                <w:sz w:val="18"/>
                <w:szCs w:val="18"/>
                <w:color w:val="auto"/>
              </w:rPr>
              <w:t>Asset management fund focused on</w:t>
            </w:r>
          </w:p>
        </w:tc>
        <w:tc>
          <w:tcPr>
            <w:tcW w:w="2800" w:type="dxa"/>
            <w:vAlign w:val="bottom"/>
          </w:tcPr>
          <w:p>
            <w:pPr>
              <w:spacing w:after="0" w:line="201" w:lineRule="exact"/>
              <w:rPr>
                <w:sz w:val="20"/>
                <w:szCs w:val="20"/>
                <w:color w:val="auto"/>
              </w:rPr>
            </w:pPr>
            <w:r>
              <w:rPr>
                <w:rFonts w:ascii="Arial" w:cs="Arial" w:eastAsia="Arial" w:hAnsi="Arial"/>
                <w:sz w:val="18"/>
                <w:szCs w:val="18"/>
                <w:color w:val="auto"/>
              </w:rPr>
              <w:t>Manager, CEO</w:t>
            </w:r>
          </w:p>
        </w:tc>
      </w:tr>
      <w:tr>
        <w:trPr>
          <w:trHeight w:val="216"/>
        </w:trPr>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20" w:type="dxa"/>
            <w:vAlign w:val="bottom"/>
            <w:gridSpan w:val="2"/>
          </w:tcPr>
          <w:p>
            <w:pPr>
              <w:spacing w:after="0"/>
              <w:rPr>
                <w:sz w:val="20"/>
                <w:szCs w:val="20"/>
                <w:color w:val="auto"/>
              </w:rPr>
            </w:pPr>
            <w:r>
              <w:rPr>
                <w:rFonts w:ascii="Arial" w:cs="Arial" w:eastAsia="Arial" w:hAnsi="Arial"/>
                <w:sz w:val="18"/>
                <w:szCs w:val="18"/>
                <w:color w:val="auto"/>
                <w:w w:val="92"/>
              </w:rPr>
              <w:t>cannabis and related health &amp; wellness</w:t>
            </w:r>
          </w:p>
        </w:tc>
        <w:tc>
          <w:tcPr>
            <w:tcW w:w="2800" w:type="dxa"/>
            <w:vAlign w:val="bottom"/>
          </w:tcPr>
          <w:p>
            <w:pPr>
              <w:spacing w:after="0"/>
              <w:rPr>
                <w:sz w:val="18"/>
                <w:szCs w:val="18"/>
                <w:color w:val="auto"/>
              </w:rPr>
            </w:pPr>
          </w:p>
        </w:tc>
      </w:tr>
      <w:tr>
        <w:trPr>
          <w:trHeight w:val="230"/>
        </w:trPr>
        <w:tc>
          <w:tcPr>
            <w:tcW w:w="2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920" w:type="dxa"/>
            <w:vAlign w:val="bottom"/>
            <w:gridSpan w:val="2"/>
          </w:tcPr>
          <w:p>
            <w:pPr>
              <w:spacing w:after="0"/>
              <w:rPr>
                <w:sz w:val="20"/>
                <w:szCs w:val="20"/>
                <w:color w:val="auto"/>
              </w:rPr>
            </w:pPr>
            <w:r>
              <w:rPr>
                <w:rFonts w:ascii="Arial" w:cs="Arial" w:eastAsia="Arial" w:hAnsi="Arial"/>
                <w:sz w:val="18"/>
                <w:szCs w:val="18"/>
                <w:color w:val="auto"/>
              </w:rPr>
              <w:t>industries</w:t>
            </w:r>
          </w:p>
        </w:tc>
        <w:tc>
          <w:tcPr>
            <w:tcW w:w="2800" w:type="dxa"/>
            <w:vAlign w:val="bottom"/>
          </w:tcPr>
          <w:p>
            <w:pPr>
              <w:spacing w:after="0"/>
              <w:rPr>
                <w:sz w:val="20"/>
                <w:szCs w:val="20"/>
                <w:color w:val="auto"/>
              </w:rPr>
            </w:pPr>
          </w:p>
        </w:tc>
      </w:tr>
      <w:tr>
        <w:trPr>
          <w:trHeight w:val="202"/>
        </w:trPr>
        <w:tc>
          <w:tcPr>
            <w:tcW w:w="26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William Healy</w:t>
            </w:r>
          </w:p>
        </w:tc>
        <w:tc>
          <w:tcPr>
            <w:tcW w:w="29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Silver Spike Capital</w:t>
            </w:r>
          </w:p>
        </w:tc>
        <w:tc>
          <w:tcPr>
            <w:tcW w:w="29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Asset management fund focused on</w:t>
            </w:r>
          </w:p>
        </w:tc>
        <w:tc>
          <w:tcPr>
            <w:tcW w:w="28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Manager</w:t>
            </w:r>
          </w:p>
        </w:tc>
      </w:tr>
      <w:tr>
        <w:trPr>
          <w:trHeight w:val="216"/>
        </w:trPr>
        <w:tc>
          <w:tcPr>
            <w:tcW w:w="2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9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2"/>
              </w:rPr>
              <w:t>cannabis and related health &amp; wellness</w:t>
            </w:r>
          </w:p>
        </w:tc>
        <w:tc>
          <w:tcPr>
            <w:tcW w:w="2800" w:type="dxa"/>
            <w:vAlign w:val="bottom"/>
            <w:shd w:val="clear" w:color="auto" w:fill="CCEEFF"/>
          </w:tcPr>
          <w:p>
            <w:pPr>
              <w:spacing w:after="0"/>
              <w:rPr>
                <w:sz w:val="18"/>
                <w:szCs w:val="18"/>
                <w:color w:val="auto"/>
              </w:rPr>
            </w:pPr>
          </w:p>
        </w:tc>
      </w:tr>
      <w:tr>
        <w:trPr>
          <w:trHeight w:val="230"/>
        </w:trPr>
        <w:tc>
          <w:tcPr>
            <w:tcW w:w="2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industries</w:t>
            </w:r>
          </w:p>
        </w:tc>
        <w:tc>
          <w:tcPr>
            <w:tcW w:w="2800" w:type="dxa"/>
            <w:vAlign w:val="bottom"/>
            <w:shd w:val="clear" w:color="auto" w:fill="CCEEFF"/>
          </w:tcPr>
          <w:p>
            <w:pPr>
              <w:spacing w:after="0"/>
              <w:rPr>
                <w:sz w:val="20"/>
                <w:szCs w:val="20"/>
                <w:color w:val="auto"/>
              </w:rPr>
            </w:pPr>
          </w:p>
        </w:tc>
      </w:tr>
      <w:tr>
        <w:trPr>
          <w:trHeight w:val="202"/>
        </w:trPr>
        <w:tc>
          <w:tcPr>
            <w:tcW w:w="2600" w:type="dxa"/>
            <w:vAlign w:val="bottom"/>
            <w:gridSpan w:val="2"/>
          </w:tcPr>
          <w:p>
            <w:pPr>
              <w:spacing w:after="0" w:line="201" w:lineRule="exact"/>
              <w:rPr>
                <w:sz w:val="20"/>
                <w:szCs w:val="20"/>
                <w:color w:val="auto"/>
              </w:rPr>
            </w:pPr>
            <w:r>
              <w:rPr>
                <w:rFonts w:ascii="Arial" w:cs="Arial" w:eastAsia="Arial" w:hAnsi="Arial"/>
                <w:sz w:val="18"/>
                <w:szCs w:val="18"/>
                <w:color w:val="auto"/>
              </w:rPr>
              <w:t>Greg Gentile</w:t>
            </w:r>
          </w:p>
        </w:tc>
        <w:tc>
          <w:tcPr>
            <w:tcW w:w="2920" w:type="dxa"/>
            <w:vAlign w:val="bottom"/>
            <w:gridSpan w:val="2"/>
          </w:tcPr>
          <w:p>
            <w:pPr>
              <w:spacing w:after="0" w:line="201" w:lineRule="exact"/>
              <w:rPr>
                <w:sz w:val="20"/>
                <w:szCs w:val="20"/>
                <w:color w:val="auto"/>
              </w:rPr>
            </w:pPr>
            <w:r>
              <w:rPr>
                <w:rFonts w:ascii="Arial" w:cs="Arial" w:eastAsia="Arial" w:hAnsi="Arial"/>
                <w:sz w:val="18"/>
                <w:szCs w:val="18"/>
                <w:color w:val="auto"/>
              </w:rPr>
              <w:t>Silver Spike Capital</w:t>
            </w:r>
          </w:p>
        </w:tc>
        <w:tc>
          <w:tcPr>
            <w:tcW w:w="2920" w:type="dxa"/>
            <w:vAlign w:val="bottom"/>
            <w:gridSpan w:val="2"/>
          </w:tcPr>
          <w:p>
            <w:pPr>
              <w:spacing w:after="0" w:line="201" w:lineRule="exact"/>
              <w:rPr>
                <w:sz w:val="20"/>
                <w:szCs w:val="20"/>
                <w:color w:val="auto"/>
              </w:rPr>
            </w:pPr>
            <w:r>
              <w:rPr>
                <w:rFonts w:ascii="Arial" w:cs="Arial" w:eastAsia="Arial" w:hAnsi="Arial"/>
                <w:sz w:val="18"/>
                <w:szCs w:val="18"/>
                <w:color w:val="auto"/>
              </w:rPr>
              <w:t>Asset management fund focused on</w:t>
            </w:r>
          </w:p>
        </w:tc>
        <w:tc>
          <w:tcPr>
            <w:tcW w:w="2800" w:type="dxa"/>
            <w:vAlign w:val="bottom"/>
          </w:tcPr>
          <w:p>
            <w:pPr>
              <w:spacing w:after="0" w:line="201" w:lineRule="exact"/>
              <w:rPr>
                <w:sz w:val="20"/>
                <w:szCs w:val="20"/>
                <w:color w:val="auto"/>
              </w:rPr>
            </w:pPr>
            <w:r>
              <w:rPr>
                <w:rFonts w:ascii="Arial" w:cs="Arial" w:eastAsia="Arial" w:hAnsi="Arial"/>
                <w:sz w:val="18"/>
                <w:szCs w:val="18"/>
                <w:color w:val="auto"/>
              </w:rPr>
              <w:t>Manager, CFO</w:t>
            </w:r>
          </w:p>
        </w:tc>
      </w:tr>
      <w:tr>
        <w:trPr>
          <w:trHeight w:val="216"/>
        </w:trPr>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20" w:type="dxa"/>
            <w:vAlign w:val="bottom"/>
            <w:gridSpan w:val="2"/>
          </w:tcPr>
          <w:p>
            <w:pPr>
              <w:spacing w:after="0"/>
              <w:rPr>
                <w:sz w:val="20"/>
                <w:szCs w:val="20"/>
                <w:color w:val="auto"/>
              </w:rPr>
            </w:pPr>
            <w:r>
              <w:rPr>
                <w:rFonts w:ascii="Arial" w:cs="Arial" w:eastAsia="Arial" w:hAnsi="Arial"/>
                <w:sz w:val="18"/>
                <w:szCs w:val="18"/>
                <w:color w:val="auto"/>
                <w:w w:val="92"/>
              </w:rPr>
              <w:t>cannabis and related health &amp; wellness</w:t>
            </w:r>
          </w:p>
        </w:tc>
        <w:tc>
          <w:tcPr>
            <w:tcW w:w="2800" w:type="dxa"/>
            <w:vAlign w:val="bottom"/>
          </w:tcPr>
          <w:p>
            <w:pPr>
              <w:spacing w:after="0"/>
              <w:rPr>
                <w:sz w:val="18"/>
                <w:szCs w:val="18"/>
                <w:color w:val="auto"/>
              </w:rPr>
            </w:pPr>
          </w:p>
        </w:tc>
      </w:tr>
      <w:tr>
        <w:trPr>
          <w:trHeight w:val="230"/>
        </w:trPr>
        <w:tc>
          <w:tcPr>
            <w:tcW w:w="2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920" w:type="dxa"/>
            <w:vAlign w:val="bottom"/>
            <w:gridSpan w:val="2"/>
          </w:tcPr>
          <w:p>
            <w:pPr>
              <w:spacing w:after="0"/>
              <w:rPr>
                <w:sz w:val="20"/>
                <w:szCs w:val="20"/>
                <w:color w:val="auto"/>
              </w:rPr>
            </w:pPr>
            <w:r>
              <w:rPr>
                <w:rFonts w:ascii="Arial" w:cs="Arial" w:eastAsia="Arial" w:hAnsi="Arial"/>
                <w:sz w:val="18"/>
                <w:szCs w:val="18"/>
                <w:color w:val="auto"/>
              </w:rPr>
              <w:t>industries</w:t>
            </w:r>
          </w:p>
        </w:tc>
        <w:tc>
          <w:tcPr>
            <w:tcW w:w="2800" w:type="dxa"/>
            <w:vAlign w:val="bottom"/>
          </w:tcPr>
          <w:p>
            <w:pPr>
              <w:spacing w:after="0"/>
              <w:rPr>
                <w:sz w:val="20"/>
                <w:szCs w:val="20"/>
                <w:color w:val="auto"/>
              </w:rPr>
            </w:pPr>
          </w:p>
        </w:tc>
      </w:tr>
      <w:tr>
        <w:trPr>
          <w:trHeight w:val="202"/>
        </w:trPr>
        <w:tc>
          <w:tcPr>
            <w:tcW w:w="26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Orrin Devinsky</w:t>
            </w:r>
          </w:p>
        </w:tc>
        <w:tc>
          <w:tcPr>
            <w:tcW w:w="29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NYU Langone Comprehensive</w:t>
            </w:r>
          </w:p>
        </w:tc>
        <w:tc>
          <w:tcPr>
            <w:tcW w:w="29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Medical center</w:t>
            </w:r>
          </w:p>
        </w:tc>
        <w:tc>
          <w:tcPr>
            <w:tcW w:w="28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Director</w:t>
            </w:r>
          </w:p>
        </w:tc>
      </w:tr>
      <w:tr>
        <w:trPr>
          <w:trHeight w:val="230"/>
        </w:trPr>
        <w:tc>
          <w:tcPr>
            <w:tcW w:w="2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Epilepsy Center</w:t>
            </w:r>
          </w:p>
        </w:tc>
        <w:tc>
          <w:tcPr>
            <w:tcW w:w="28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0" w:type="dxa"/>
            <w:vAlign w:val="bottom"/>
            <w:shd w:val="clear" w:color="auto" w:fill="CCEEFF"/>
          </w:tcPr>
          <w:p>
            <w:pPr>
              <w:spacing w:after="0"/>
              <w:rPr>
                <w:sz w:val="20"/>
                <w:szCs w:val="20"/>
                <w:color w:val="auto"/>
              </w:rPr>
            </w:pPr>
          </w:p>
        </w:tc>
      </w:tr>
      <w:tr>
        <w:trPr>
          <w:trHeight w:val="202"/>
        </w:trPr>
        <w:tc>
          <w:tcPr>
            <w:tcW w:w="2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920" w:type="dxa"/>
            <w:vAlign w:val="bottom"/>
            <w:gridSpan w:val="2"/>
          </w:tcPr>
          <w:p>
            <w:pPr>
              <w:spacing w:after="0" w:line="201" w:lineRule="exact"/>
              <w:rPr>
                <w:sz w:val="20"/>
                <w:szCs w:val="20"/>
                <w:color w:val="auto"/>
              </w:rPr>
            </w:pPr>
            <w:r>
              <w:rPr>
                <w:rFonts w:ascii="Arial" w:cs="Arial" w:eastAsia="Arial" w:hAnsi="Arial"/>
                <w:sz w:val="18"/>
                <w:szCs w:val="18"/>
                <w:color w:val="auto"/>
              </w:rPr>
              <w:t>NYU School of Medicine</w:t>
            </w:r>
          </w:p>
        </w:tc>
        <w:tc>
          <w:tcPr>
            <w:tcW w:w="2920" w:type="dxa"/>
            <w:vAlign w:val="bottom"/>
            <w:gridSpan w:val="2"/>
          </w:tcPr>
          <w:p>
            <w:pPr>
              <w:spacing w:after="0" w:line="201" w:lineRule="exact"/>
              <w:rPr>
                <w:sz w:val="20"/>
                <w:szCs w:val="20"/>
                <w:color w:val="auto"/>
              </w:rPr>
            </w:pPr>
            <w:r>
              <w:rPr>
                <w:rFonts w:ascii="Arial" w:cs="Arial" w:eastAsia="Arial" w:hAnsi="Arial"/>
                <w:sz w:val="18"/>
                <w:szCs w:val="18"/>
                <w:color w:val="auto"/>
              </w:rPr>
              <w:t>Medical school</w:t>
            </w:r>
          </w:p>
        </w:tc>
        <w:tc>
          <w:tcPr>
            <w:tcW w:w="2800" w:type="dxa"/>
            <w:vAlign w:val="bottom"/>
          </w:tcPr>
          <w:p>
            <w:pPr>
              <w:spacing w:after="0" w:line="201" w:lineRule="exact"/>
              <w:rPr>
                <w:sz w:val="20"/>
                <w:szCs w:val="20"/>
                <w:color w:val="auto"/>
              </w:rPr>
            </w:pPr>
            <w:r>
              <w:rPr>
                <w:rFonts w:ascii="Arial" w:cs="Arial" w:eastAsia="Arial" w:hAnsi="Arial"/>
                <w:sz w:val="18"/>
                <w:szCs w:val="18"/>
                <w:color w:val="auto"/>
                <w:w w:val="89"/>
              </w:rPr>
              <w:t>Professor of Neurology, Neuroscience,</w:t>
            </w:r>
          </w:p>
        </w:tc>
      </w:tr>
      <w:tr>
        <w:trPr>
          <w:trHeight w:val="230"/>
        </w:trPr>
        <w:tc>
          <w:tcPr>
            <w:tcW w:w="2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Psychiatry and Neurosurgery</w:t>
            </w:r>
          </w:p>
        </w:tc>
      </w:tr>
      <w:tr>
        <w:trPr>
          <w:trHeight w:val="216"/>
        </w:trPr>
        <w:tc>
          <w:tcPr>
            <w:tcW w:w="2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Tilray</w:t>
            </w:r>
          </w:p>
        </w:tc>
        <w:tc>
          <w:tcPr>
            <w:tcW w:w="2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Pharmaceutical and cannabis</w:t>
            </w:r>
          </w:p>
        </w:tc>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w w:val="96"/>
              </w:rPr>
              <w:t>Chair of the Medical Advisory Board</w:t>
            </w:r>
          </w:p>
        </w:tc>
      </w:tr>
      <w:tr>
        <w:trPr>
          <w:trHeight w:val="202"/>
        </w:trPr>
        <w:tc>
          <w:tcPr>
            <w:tcW w:w="2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920" w:type="dxa"/>
            <w:vAlign w:val="bottom"/>
            <w:gridSpan w:val="2"/>
          </w:tcPr>
          <w:p>
            <w:pPr>
              <w:spacing w:after="0" w:line="201" w:lineRule="exact"/>
              <w:rPr>
                <w:sz w:val="20"/>
                <w:szCs w:val="20"/>
                <w:color w:val="auto"/>
              </w:rPr>
            </w:pPr>
            <w:r>
              <w:rPr>
                <w:rFonts w:ascii="Arial" w:cs="Arial" w:eastAsia="Arial" w:hAnsi="Arial"/>
                <w:sz w:val="18"/>
                <w:szCs w:val="18"/>
                <w:color w:val="auto"/>
              </w:rPr>
              <w:t>Papa &amp; Barkley</w:t>
            </w:r>
          </w:p>
        </w:tc>
        <w:tc>
          <w:tcPr>
            <w:tcW w:w="2920" w:type="dxa"/>
            <w:vAlign w:val="bottom"/>
            <w:gridSpan w:val="2"/>
          </w:tcPr>
          <w:p>
            <w:pPr>
              <w:spacing w:after="0" w:line="201" w:lineRule="exact"/>
              <w:rPr>
                <w:sz w:val="20"/>
                <w:szCs w:val="20"/>
                <w:color w:val="auto"/>
              </w:rPr>
            </w:pPr>
            <w:r>
              <w:rPr>
                <w:rFonts w:ascii="Arial" w:cs="Arial" w:eastAsia="Arial" w:hAnsi="Arial"/>
                <w:sz w:val="18"/>
                <w:szCs w:val="18"/>
                <w:color w:val="auto"/>
              </w:rPr>
              <w:t>Cannabis products, manufacturing,</w:t>
            </w:r>
          </w:p>
        </w:tc>
        <w:tc>
          <w:tcPr>
            <w:tcW w:w="2800" w:type="dxa"/>
            <w:vAlign w:val="bottom"/>
          </w:tcPr>
          <w:p>
            <w:pPr>
              <w:spacing w:after="0" w:line="201" w:lineRule="exact"/>
              <w:rPr>
                <w:sz w:val="20"/>
                <w:szCs w:val="20"/>
                <w:color w:val="auto"/>
              </w:rPr>
            </w:pPr>
            <w:r>
              <w:rPr>
                <w:rFonts w:ascii="Arial" w:cs="Arial" w:eastAsia="Arial" w:hAnsi="Arial"/>
                <w:sz w:val="18"/>
                <w:szCs w:val="18"/>
                <w:color w:val="auto"/>
              </w:rPr>
              <w:t>Member of the Scientific Advisory</w:t>
            </w:r>
          </w:p>
        </w:tc>
      </w:tr>
      <w:tr>
        <w:trPr>
          <w:trHeight w:val="216"/>
        </w:trPr>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20" w:type="dxa"/>
            <w:vAlign w:val="bottom"/>
            <w:gridSpan w:val="2"/>
          </w:tcPr>
          <w:p>
            <w:pPr>
              <w:spacing w:after="0"/>
              <w:rPr>
                <w:sz w:val="20"/>
                <w:szCs w:val="20"/>
                <w:color w:val="auto"/>
              </w:rPr>
            </w:pPr>
            <w:r>
              <w:rPr>
                <w:rFonts w:ascii="Arial" w:cs="Arial" w:eastAsia="Arial" w:hAnsi="Arial"/>
                <w:sz w:val="18"/>
                <w:szCs w:val="18"/>
                <w:color w:val="auto"/>
              </w:rPr>
              <w:t>processing, and logistics; hemp-</w:t>
            </w:r>
          </w:p>
        </w:tc>
        <w:tc>
          <w:tcPr>
            <w:tcW w:w="2800" w:type="dxa"/>
            <w:vAlign w:val="bottom"/>
          </w:tcPr>
          <w:p>
            <w:pPr>
              <w:spacing w:after="0"/>
              <w:rPr>
                <w:sz w:val="20"/>
                <w:szCs w:val="20"/>
                <w:color w:val="auto"/>
              </w:rPr>
            </w:pPr>
            <w:r>
              <w:rPr>
                <w:rFonts w:ascii="Arial" w:cs="Arial" w:eastAsia="Arial" w:hAnsi="Arial"/>
                <w:sz w:val="18"/>
                <w:szCs w:val="18"/>
                <w:color w:val="auto"/>
              </w:rPr>
              <w:t>Board</w:t>
            </w:r>
          </w:p>
        </w:tc>
      </w:tr>
      <w:tr>
        <w:trPr>
          <w:trHeight w:val="230"/>
        </w:trPr>
        <w:tc>
          <w:tcPr>
            <w:tcW w:w="2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920" w:type="dxa"/>
            <w:vAlign w:val="bottom"/>
            <w:gridSpan w:val="2"/>
          </w:tcPr>
          <w:p>
            <w:pPr>
              <w:spacing w:after="0"/>
              <w:rPr>
                <w:sz w:val="20"/>
                <w:szCs w:val="20"/>
                <w:color w:val="auto"/>
              </w:rPr>
            </w:pPr>
            <w:r>
              <w:rPr>
                <w:rFonts w:ascii="Arial" w:cs="Arial" w:eastAsia="Arial" w:hAnsi="Arial"/>
                <w:sz w:val="18"/>
                <w:szCs w:val="18"/>
                <w:color w:val="auto"/>
              </w:rPr>
              <w:t>derived CBD</w:t>
            </w:r>
          </w:p>
        </w:tc>
        <w:tc>
          <w:tcPr>
            <w:tcW w:w="2800" w:type="dxa"/>
            <w:vAlign w:val="bottom"/>
          </w:tcPr>
          <w:p>
            <w:pPr>
              <w:spacing w:after="0"/>
              <w:rPr>
                <w:sz w:val="20"/>
                <w:szCs w:val="20"/>
                <w:color w:val="auto"/>
              </w:rPr>
            </w:pPr>
          </w:p>
        </w:tc>
      </w:tr>
      <w:tr>
        <w:trPr>
          <w:trHeight w:val="202"/>
        </w:trPr>
        <w:tc>
          <w:tcPr>
            <w:tcW w:w="2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9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Tevard</w:t>
            </w:r>
          </w:p>
        </w:tc>
        <w:tc>
          <w:tcPr>
            <w:tcW w:w="29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Genetic therapy</w:t>
            </w:r>
          </w:p>
        </w:tc>
        <w:tc>
          <w:tcPr>
            <w:tcW w:w="28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0"/>
              </w:rPr>
              <w:t>Member of the Business and Scientific</w:t>
            </w:r>
          </w:p>
        </w:tc>
      </w:tr>
      <w:tr>
        <w:trPr>
          <w:trHeight w:val="230"/>
        </w:trPr>
        <w:tc>
          <w:tcPr>
            <w:tcW w:w="2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Advisory Boards</w:t>
            </w:r>
          </w:p>
        </w:tc>
      </w:tr>
      <w:tr>
        <w:trPr>
          <w:trHeight w:val="202"/>
        </w:trPr>
        <w:tc>
          <w:tcPr>
            <w:tcW w:w="2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920" w:type="dxa"/>
            <w:vAlign w:val="bottom"/>
            <w:gridSpan w:val="2"/>
          </w:tcPr>
          <w:p>
            <w:pPr>
              <w:spacing w:after="0" w:line="201" w:lineRule="exact"/>
              <w:rPr>
                <w:sz w:val="20"/>
                <w:szCs w:val="20"/>
                <w:color w:val="auto"/>
              </w:rPr>
            </w:pPr>
            <w:r>
              <w:rPr>
                <w:rFonts w:ascii="Arial" w:cs="Arial" w:eastAsia="Arial" w:hAnsi="Arial"/>
                <w:sz w:val="18"/>
                <w:szCs w:val="18"/>
                <w:color w:val="auto"/>
              </w:rPr>
              <w:t>Engage Therapeutics</w:t>
            </w:r>
          </w:p>
        </w:tc>
        <w:tc>
          <w:tcPr>
            <w:tcW w:w="2920" w:type="dxa"/>
            <w:vAlign w:val="bottom"/>
            <w:gridSpan w:val="2"/>
          </w:tcPr>
          <w:p>
            <w:pPr>
              <w:spacing w:after="0" w:line="201" w:lineRule="exact"/>
              <w:rPr>
                <w:sz w:val="20"/>
                <w:szCs w:val="20"/>
                <w:color w:val="auto"/>
              </w:rPr>
            </w:pPr>
            <w:r>
              <w:rPr>
                <w:rFonts w:ascii="Arial" w:cs="Arial" w:eastAsia="Arial" w:hAnsi="Arial"/>
                <w:sz w:val="18"/>
                <w:szCs w:val="18"/>
                <w:color w:val="auto"/>
              </w:rPr>
              <w:t>Biopharmaceutical</w:t>
            </w:r>
          </w:p>
        </w:tc>
        <w:tc>
          <w:tcPr>
            <w:tcW w:w="2800" w:type="dxa"/>
            <w:vAlign w:val="bottom"/>
          </w:tcPr>
          <w:p>
            <w:pPr>
              <w:spacing w:after="0" w:line="201" w:lineRule="exact"/>
              <w:rPr>
                <w:sz w:val="20"/>
                <w:szCs w:val="20"/>
                <w:color w:val="auto"/>
              </w:rPr>
            </w:pPr>
            <w:r>
              <w:rPr>
                <w:rFonts w:ascii="Arial" w:cs="Arial" w:eastAsia="Arial" w:hAnsi="Arial"/>
                <w:sz w:val="18"/>
                <w:szCs w:val="18"/>
                <w:color w:val="auto"/>
                <w:w w:val="90"/>
              </w:rPr>
              <w:t>Member of the Business and Scientific</w:t>
            </w:r>
          </w:p>
        </w:tc>
      </w:tr>
      <w:tr>
        <w:trPr>
          <w:trHeight w:val="230"/>
        </w:trPr>
        <w:tc>
          <w:tcPr>
            <w:tcW w:w="2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Advisory Boards</w:t>
            </w:r>
          </w:p>
        </w:tc>
      </w:tr>
      <w:tr>
        <w:trPr>
          <w:trHeight w:val="202"/>
        </w:trPr>
        <w:tc>
          <w:tcPr>
            <w:tcW w:w="2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9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Receptor Life Sciences</w:t>
            </w:r>
          </w:p>
        </w:tc>
        <w:tc>
          <w:tcPr>
            <w:tcW w:w="29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Cannabinoid medicine drug</w:t>
            </w:r>
          </w:p>
        </w:tc>
        <w:tc>
          <w:tcPr>
            <w:tcW w:w="28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Chief Medical Officer</w:t>
            </w:r>
          </w:p>
        </w:tc>
      </w:tr>
      <w:tr>
        <w:trPr>
          <w:trHeight w:val="230"/>
        </w:trPr>
        <w:tc>
          <w:tcPr>
            <w:tcW w:w="2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development</w:t>
            </w:r>
          </w:p>
        </w:tc>
        <w:tc>
          <w:tcPr>
            <w:tcW w:w="2800" w:type="dxa"/>
            <w:vAlign w:val="bottom"/>
            <w:shd w:val="clear" w:color="auto" w:fill="CCEEFF"/>
          </w:tcPr>
          <w:p>
            <w:pPr>
              <w:spacing w:after="0"/>
              <w:rPr>
                <w:sz w:val="20"/>
                <w:szCs w:val="20"/>
                <w:color w:val="auto"/>
              </w:rPr>
            </w:pPr>
          </w:p>
        </w:tc>
      </w:tr>
      <w:tr>
        <w:trPr>
          <w:trHeight w:val="202"/>
        </w:trPr>
        <w:tc>
          <w:tcPr>
            <w:tcW w:w="2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920" w:type="dxa"/>
            <w:vAlign w:val="bottom"/>
            <w:gridSpan w:val="2"/>
          </w:tcPr>
          <w:p>
            <w:pPr>
              <w:spacing w:after="0" w:line="201" w:lineRule="exact"/>
              <w:rPr>
                <w:sz w:val="20"/>
                <w:szCs w:val="20"/>
                <w:color w:val="auto"/>
              </w:rPr>
            </w:pPr>
            <w:r>
              <w:rPr>
                <w:rFonts w:ascii="Arial" w:cs="Arial" w:eastAsia="Arial" w:hAnsi="Arial"/>
                <w:sz w:val="18"/>
                <w:szCs w:val="18"/>
                <w:color w:val="auto"/>
              </w:rPr>
              <w:t>Empatica</w:t>
            </w:r>
          </w:p>
        </w:tc>
        <w:tc>
          <w:tcPr>
            <w:tcW w:w="2920" w:type="dxa"/>
            <w:vAlign w:val="bottom"/>
            <w:gridSpan w:val="2"/>
          </w:tcPr>
          <w:p>
            <w:pPr>
              <w:spacing w:after="0" w:line="201" w:lineRule="exact"/>
              <w:rPr>
                <w:sz w:val="20"/>
                <w:szCs w:val="20"/>
                <w:color w:val="auto"/>
              </w:rPr>
            </w:pPr>
            <w:r>
              <w:rPr>
                <w:rFonts w:ascii="Arial" w:cs="Arial" w:eastAsia="Arial" w:hAnsi="Arial"/>
                <w:sz w:val="18"/>
                <w:szCs w:val="18"/>
                <w:color w:val="auto"/>
              </w:rPr>
              <w:t>Seizure detection watch</w:t>
            </w:r>
          </w:p>
        </w:tc>
        <w:tc>
          <w:tcPr>
            <w:tcW w:w="2800" w:type="dxa"/>
            <w:vAlign w:val="bottom"/>
          </w:tcPr>
          <w:p>
            <w:pPr>
              <w:spacing w:after="0" w:line="201" w:lineRule="exact"/>
              <w:rPr>
                <w:sz w:val="20"/>
                <w:szCs w:val="20"/>
                <w:color w:val="auto"/>
              </w:rPr>
            </w:pPr>
            <w:r>
              <w:rPr>
                <w:rFonts w:ascii="Arial" w:cs="Arial" w:eastAsia="Arial" w:hAnsi="Arial"/>
                <w:sz w:val="18"/>
                <w:szCs w:val="18"/>
                <w:color w:val="auto"/>
              </w:rPr>
              <w:t>Member of the Scientific Advisory</w:t>
            </w:r>
          </w:p>
        </w:tc>
      </w:tr>
      <w:tr>
        <w:trPr>
          <w:trHeight w:val="230"/>
        </w:trPr>
        <w:tc>
          <w:tcPr>
            <w:tcW w:w="2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Board</w:t>
            </w:r>
          </w:p>
        </w:tc>
      </w:tr>
      <w:tr>
        <w:trPr>
          <w:trHeight w:val="202"/>
        </w:trPr>
        <w:tc>
          <w:tcPr>
            <w:tcW w:w="2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9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RETTCO</w:t>
            </w:r>
          </w:p>
        </w:tc>
        <w:tc>
          <w:tcPr>
            <w:tcW w:w="29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Genetic therapy</w:t>
            </w:r>
          </w:p>
        </w:tc>
        <w:tc>
          <w:tcPr>
            <w:tcW w:w="28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Member of the Scientific Advisory</w:t>
            </w:r>
          </w:p>
        </w:tc>
      </w:tr>
      <w:tr>
        <w:trPr>
          <w:trHeight w:val="230"/>
        </w:trPr>
        <w:tc>
          <w:tcPr>
            <w:tcW w:w="2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Board</w:t>
            </w:r>
          </w:p>
        </w:tc>
      </w:tr>
      <w:tr>
        <w:trPr>
          <w:trHeight w:val="202"/>
        </w:trPr>
        <w:tc>
          <w:tcPr>
            <w:tcW w:w="2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920" w:type="dxa"/>
            <w:vAlign w:val="bottom"/>
            <w:gridSpan w:val="2"/>
          </w:tcPr>
          <w:p>
            <w:pPr>
              <w:spacing w:after="0" w:line="201" w:lineRule="exact"/>
              <w:rPr>
                <w:sz w:val="20"/>
                <w:szCs w:val="20"/>
                <w:color w:val="auto"/>
              </w:rPr>
            </w:pPr>
            <w:r>
              <w:rPr>
                <w:rFonts w:ascii="Arial" w:cs="Arial" w:eastAsia="Arial" w:hAnsi="Arial"/>
                <w:sz w:val="18"/>
                <w:szCs w:val="18"/>
                <w:color w:val="auto"/>
              </w:rPr>
              <w:t>Qstate Biosciences</w:t>
            </w:r>
          </w:p>
        </w:tc>
        <w:tc>
          <w:tcPr>
            <w:tcW w:w="2920" w:type="dxa"/>
            <w:vAlign w:val="bottom"/>
            <w:gridSpan w:val="2"/>
          </w:tcPr>
          <w:p>
            <w:pPr>
              <w:spacing w:after="0" w:line="201" w:lineRule="exact"/>
              <w:rPr>
                <w:sz w:val="20"/>
                <w:szCs w:val="20"/>
                <w:color w:val="auto"/>
              </w:rPr>
            </w:pPr>
            <w:r>
              <w:rPr>
                <w:rFonts w:ascii="Arial" w:cs="Arial" w:eastAsia="Arial" w:hAnsi="Arial"/>
                <w:sz w:val="18"/>
                <w:szCs w:val="18"/>
                <w:color w:val="auto"/>
              </w:rPr>
              <w:t>Genetic therapy</w:t>
            </w:r>
          </w:p>
        </w:tc>
        <w:tc>
          <w:tcPr>
            <w:tcW w:w="2800" w:type="dxa"/>
            <w:vAlign w:val="bottom"/>
          </w:tcPr>
          <w:p>
            <w:pPr>
              <w:spacing w:after="0" w:line="201" w:lineRule="exact"/>
              <w:rPr>
                <w:sz w:val="20"/>
                <w:szCs w:val="20"/>
                <w:color w:val="auto"/>
              </w:rPr>
            </w:pPr>
            <w:r>
              <w:rPr>
                <w:rFonts w:ascii="Arial" w:cs="Arial" w:eastAsia="Arial" w:hAnsi="Arial"/>
                <w:sz w:val="18"/>
                <w:szCs w:val="18"/>
                <w:color w:val="auto"/>
              </w:rPr>
              <w:t>Member of the Scientific Advisory</w:t>
            </w:r>
          </w:p>
        </w:tc>
      </w:tr>
      <w:tr>
        <w:trPr>
          <w:trHeight w:val="230"/>
        </w:trPr>
        <w:tc>
          <w:tcPr>
            <w:tcW w:w="2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Board</w:t>
            </w:r>
          </w:p>
        </w:tc>
      </w:tr>
      <w:tr>
        <w:trPr>
          <w:trHeight w:val="202"/>
        </w:trPr>
        <w:tc>
          <w:tcPr>
            <w:tcW w:w="26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Richard Goldman</w:t>
            </w:r>
          </w:p>
        </w:tc>
        <w:tc>
          <w:tcPr>
            <w:tcW w:w="29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Becket Capital, LLC</w:t>
            </w:r>
          </w:p>
        </w:tc>
        <w:tc>
          <w:tcPr>
            <w:tcW w:w="29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8"/>
              </w:rPr>
              <w:t>Advisory services firm for investment</w:t>
            </w:r>
          </w:p>
        </w:tc>
        <w:tc>
          <w:tcPr>
            <w:tcW w:w="28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Managing Member</w:t>
            </w:r>
          </w:p>
        </w:tc>
      </w:tr>
      <w:tr>
        <w:trPr>
          <w:trHeight w:val="230"/>
        </w:trPr>
        <w:tc>
          <w:tcPr>
            <w:tcW w:w="2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management companies</w:t>
            </w:r>
          </w:p>
        </w:tc>
        <w:tc>
          <w:tcPr>
            <w:tcW w:w="2800" w:type="dxa"/>
            <w:vAlign w:val="bottom"/>
            <w:shd w:val="clear" w:color="auto" w:fill="CCEEFF"/>
          </w:tcPr>
          <w:p>
            <w:pPr>
              <w:spacing w:after="0"/>
              <w:rPr>
                <w:sz w:val="20"/>
                <w:szCs w:val="20"/>
                <w:color w:val="auto"/>
              </w:rPr>
            </w:pPr>
          </w:p>
        </w:tc>
      </w:tr>
      <w:tr>
        <w:trPr>
          <w:trHeight w:val="216"/>
        </w:trPr>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20" w:type="dxa"/>
            <w:vAlign w:val="bottom"/>
            <w:gridSpan w:val="2"/>
          </w:tcPr>
          <w:p>
            <w:pPr>
              <w:spacing w:after="0"/>
              <w:rPr>
                <w:sz w:val="20"/>
                <w:szCs w:val="20"/>
                <w:color w:val="auto"/>
              </w:rPr>
            </w:pPr>
            <w:r>
              <w:rPr>
                <w:rFonts w:ascii="Arial" w:cs="Arial" w:eastAsia="Arial" w:hAnsi="Arial"/>
                <w:sz w:val="18"/>
                <w:szCs w:val="18"/>
                <w:color w:val="auto"/>
              </w:rPr>
              <w:t>O’Shares Investments ETF Trust</w:t>
            </w:r>
          </w:p>
        </w:tc>
        <w:tc>
          <w:tcPr>
            <w:tcW w:w="2920" w:type="dxa"/>
            <w:vAlign w:val="bottom"/>
            <w:gridSpan w:val="2"/>
          </w:tcPr>
          <w:p>
            <w:pPr>
              <w:spacing w:after="0"/>
              <w:rPr>
                <w:sz w:val="20"/>
                <w:szCs w:val="20"/>
                <w:color w:val="auto"/>
              </w:rPr>
            </w:pPr>
            <w:r>
              <w:rPr>
                <w:rFonts w:ascii="Arial" w:cs="Arial" w:eastAsia="Arial" w:hAnsi="Arial"/>
                <w:sz w:val="18"/>
                <w:szCs w:val="18"/>
                <w:color w:val="auto"/>
              </w:rPr>
              <w:t>Exchange-traded investment fund</w:t>
            </w:r>
          </w:p>
        </w:tc>
        <w:tc>
          <w:tcPr>
            <w:tcW w:w="2800" w:type="dxa"/>
            <w:vAlign w:val="bottom"/>
          </w:tcPr>
          <w:p>
            <w:pPr>
              <w:spacing w:after="0"/>
              <w:rPr>
                <w:sz w:val="20"/>
                <w:szCs w:val="20"/>
                <w:color w:val="auto"/>
              </w:rPr>
            </w:pPr>
            <w:r>
              <w:rPr>
                <w:rFonts w:ascii="Arial" w:cs="Arial" w:eastAsia="Arial" w:hAnsi="Arial"/>
                <w:sz w:val="18"/>
                <w:szCs w:val="18"/>
                <w:color w:val="auto"/>
              </w:rPr>
              <w:t>Independent Director</w:t>
            </w:r>
          </w:p>
        </w:tc>
      </w:tr>
      <w:tr>
        <w:trPr>
          <w:trHeight w:val="216"/>
        </w:trPr>
        <w:tc>
          <w:tcPr>
            <w:tcW w:w="2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Harvest Volatility Edge Trust</w:t>
            </w:r>
          </w:p>
        </w:tc>
        <w:tc>
          <w:tcPr>
            <w:tcW w:w="2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Mutual fund investment trust</w:t>
            </w:r>
          </w:p>
        </w:tc>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w w:val="97"/>
              </w:rPr>
              <w:t>Independent Chairman of the Board</w:t>
            </w:r>
          </w:p>
        </w:tc>
      </w:tr>
      <w:tr>
        <w:trPr>
          <w:trHeight w:val="216"/>
        </w:trPr>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20" w:type="dxa"/>
            <w:vAlign w:val="bottom"/>
            <w:gridSpan w:val="2"/>
          </w:tcPr>
          <w:p>
            <w:pPr>
              <w:spacing w:after="0"/>
              <w:rPr>
                <w:sz w:val="20"/>
                <w:szCs w:val="20"/>
                <w:color w:val="auto"/>
              </w:rPr>
            </w:pPr>
            <w:r>
              <w:rPr>
                <w:rFonts w:ascii="Arial" w:cs="Arial" w:eastAsia="Arial" w:hAnsi="Arial"/>
                <w:sz w:val="18"/>
                <w:szCs w:val="18"/>
                <w:color w:val="auto"/>
              </w:rPr>
              <w:t>Trinitas Capital Management</w:t>
            </w:r>
          </w:p>
        </w:tc>
        <w:tc>
          <w:tcPr>
            <w:tcW w:w="2920" w:type="dxa"/>
            <w:vAlign w:val="bottom"/>
            <w:gridSpan w:val="2"/>
          </w:tcPr>
          <w:p>
            <w:pPr>
              <w:spacing w:after="0"/>
              <w:rPr>
                <w:sz w:val="20"/>
                <w:szCs w:val="20"/>
                <w:color w:val="auto"/>
              </w:rPr>
            </w:pPr>
            <w:r>
              <w:rPr>
                <w:rFonts w:ascii="Arial" w:cs="Arial" w:eastAsia="Arial" w:hAnsi="Arial"/>
                <w:sz w:val="18"/>
                <w:szCs w:val="18"/>
                <w:color w:val="auto"/>
              </w:rPr>
              <w:t>Investment management firm</w:t>
            </w:r>
          </w:p>
        </w:tc>
        <w:tc>
          <w:tcPr>
            <w:tcW w:w="2800" w:type="dxa"/>
            <w:vAlign w:val="bottom"/>
          </w:tcPr>
          <w:p>
            <w:pPr>
              <w:spacing w:after="0"/>
              <w:rPr>
                <w:sz w:val="20"/>
                <w:szCs w:val="20"/>
                <w:color w:val="auto"/>
              </w:rPr>
            </w:pPr>
            <w:r>
              <w:rPr>
                <w:rFonts w:ascii="Arial" w:cs="Arial" w:eastAsia="Arial" w:hAnsi="Arial"/>
                <w:sz w:val="18"/>
                <w:szCs w:val="18"/>
                <w:color w:val="auto"/>
              </w:rPr>
              <w:t>Member of Board of Directors</w:t>
            </w:r>
          </w:p>
        </w:tc>
      </w:tr>
      <w:tr>
        <w:trPr>
          <w:trHeight w:val="202"/>
        </w:trPr>
        <w:tc>
          <w:tcPr>
            <w:tcW w:w="2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9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Axonic Alternative Income Interval</w:t>
            </w:r>
          </w:p>
        </w:tc>
        <w:tc>
          <w:tcPr>
            <w:tcW w:w="29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Mutual fund</w:t>
            </w:r>
          </w:p>
        </w:tc>
        <w:tc>
          <w:tcPr>
            <w:tcW w:w="28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Lead Independent Director</w:t>
            </w:r>
          </w:p>
        </w:tc>
      </w:tr>
      <w:tr>
        <w:trPr>
          <w:trHeight w:val="230"/>
        </w:trPr>
        <w:tc>
          <w:tcPr>
            <w:tcW w:w="2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Fund</w:t>
            </w:r>
          </w:p>
        </w:tc>
        <w:tc>
          <w:tcPr>
            <w:tcW w:w="28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0" w:type="dxa"/>
            <w:vAlign w:val="bottom"/>
            <w:shd w:val="clear" w:color="auto" w:fill="CCEEFF"/>
          </w:tcPr>
          <w:p>
            <w:pPr>
              <w:spacing w:after="0"/>
              <w:rPr>
                <w:sz w:val="20"/>
                <w:szCs w:val="20"/>
                <w:color w:val="auto"/>
              </w:rPr>
            </w:pPr>
          </w:p>
        </w:tc>
      </w:tr>
      <w:tr>
        <w:trPr>
          <w:trHeight w:val="216"/>
        </w:trPr>
        <w:tc>
          <w:tcPr>
            <w:tcW w:w="2600" w:type="dxa"/>
            <w:vAlign w:val="bottom"/>
            <w:gridSpan w:val="2"/>
          </w:tcPr>
          <w:p>
            <w:pPr>
              <w:spacing w:after="0"/>
              <w:rPr>
                <w:sz w:val="20"/>
                <w:szCs w:val="20"/>
                <w:color w:val="auto"/>
              </w:rPr>
            </w:pPr>
            <w:r>
              <w:rPr>
                <w:rFonts w:ascii="Arial" w:cs="Arial" w:eastAsia="Arial" w:hAnsi="Arial"/>
                <w:sz w:val="18"/>
                <w:szCs w:val="18"/>
                <w:color w:val="auto"/>
              </w:rPr>
              <w:t>Kenneth H. Landis</w:t>
            </w:r>
          </w:p>
        </w:tc>
        <w:tc>
          <w:tcPr>
            <w:tcW w:w="2920" w:type="dxa"/>
            <w:vAlign w:val="bottom"/>
            <w:gridSpan w:val="2"/>
          </w:tcPr>
          <w:p>
            <w:pPr>
              <w:spacing w:after="0"/>
              <w:rPr>
                <w:sz w:val="20"/>
                <w:szCs w:val="20"/>
                <w:color w:val="auto"/>
              </w:rPr>
            </w:pPr>
            <w:r>
              <w:rPr>
                <w:rFonts w:ascii="Arial" w:cs="Arial" w:eastAsia="Arial" w:hAnsi="Arial"/>
                <w:sz w:val="18"/>
                <w:szCs w:val="18"/>
                <w:color w:val="auto"/>
              </w:rPr>
              <w:t>Landis Capital, LLC</w:t>
            </w:r>
          </w:p>
        </w:tc>
        <w:tc>
          <w:tcPr>
            <w:tcW w:w="2920" w:type="dxa"/>
            <w:vAlign w:val="bottom"/>
            <w:gridSpan w:val="2"/>
          </w:tcPr>
          <w:p>
            <w:pPr>
              <w:spacing w:after="0"/>
              <w:rPr>
                <w:sz w:val="20"/>
                <w:szCs w:val="20"/>
                <w:color w:val="auto"/>
              </w:rPr>
            </w:pPr>
            <w:r>
              <w:rPr>
                <w:rFonts w:ascii="Arial" w:cs="Arial" w:eastAsia="Arial" w:hAnsi="Arial"/>
                <w:sz w:val="18"/>
                <w:szCs w:val="18"/>
                <w:color w:val="auto"/>
              </w:rPr>
              <w:t>Venture capital</w:t>
            </w:r>
          </w:p>
        </w:tc>
        <w:tc>
          <w:tcPr>
            <w:tcW w:w="280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216"/>
        </w:trPr>
        <w:tc>
          <w:tcPr>
            <w:tcW w:w="2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Suffield Academy</w:t>
            </w:r>
          </w:p>
        </w:tc>
        <w:tc>
          <w:tcPr>
            <w:tcW w:w="2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Preparatory school</w:t>
            </w:r>
          </w:p>
        </w:tc>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Trustee</w:t>
            </w:r>
          </w:p>
        </w:tc>
      </w:tr>
      <w:tr>
        <w:trPr>
          <w:trHeight w:val="216"/>
        </w:trPr>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20" w:type="dxa"/>
            <w:vAlign w:val="bottom"/>
            <w:gridSpan w:val="2"/>
          </w:tcPr>
          <w:p>
            <w:pPr>
              <w:spacing w:after="0"/>
              <w:rPr>
                <w:sz w:val="20"/>
                <w:szCs w:val="20"/>
                <w:color w:val="auto"/>
              </w:rPr>
            </w:pPr>
            <w:r>
              <w:rPr>
                <w:rFonts w:ascii="Arial" w:cs="Arial" w:eastAsia="Arial" w:hAnsi="Arial"/>
                <w:sz w:val="18"/>
                <w:szCs w:val="18"/>
                <w:color w:val="auto"/>
              </w:rPr>
              <w:t>TULA Life, INC</w:t>
            </w:r>
          </w:p>
        </w:tc>
        <w:tc>
          <w:tcPr>
            <w:tcW w:w="2920" w:type="dxa"/>
            <w:vAlign w:val="bottom"/>
            <w:gridSpan w:val="2"/>
          </w:tcPr>
          <w:p>
            <w:pPr>
              <w:spacing w:after="0"/>
              <w:rPr>
                <w:sz w:val="20"/>
                <w:szCs w:val="20"/>
                <w:color w:val="auto"/>
              </w:rPr>
            </w:pPr>
            <w:r>
              <w:rPr>
                <w:rFonts w:ascii="Arial" w:cs="Arial" w:eastAsia="Arial" w:hAnsi="Arial"/>
                <w:sz w:val="18"/>
                <w:szCs w:val="18"/>
                <w:color w:val="auto"/>
              </w:rPr>
              <w:t>Cosmetics</w:t>
            </w:r>
          </w:p>
        </w:tc>
        <w:tc>
          <w:tcPr>
            <w:tcW w:w="2800" w:type="dxa"/>
            <w:vAlign w:val="bottom"/>
          </w:tcPr>
          <w:p>
            <w:pPr>
              <w:spacing w:after="0"/>
              <w:rPr>
                <w:sz w:val="20"/>
                <w:szCs w:val="20"/>
                <w:color w:val="auto"/>
              </w:rPr>
            </w:pPr>
            <w:r>
              <w:rPr>
                <w:rFonts w:ascii="Arial" w:cs="Arial" w:eastAsia="Arial" w:hAnsi="Arial"/>
                <w:sz w:val="18"/>
                <w:szCs w:val="18"/>
                <w:color w:val="auto"/>
              </w:rPr>
              <w:t>Member of Board of Directors</w:t>
            </w:r>
          </w:p>
        </w:tc>
      </w:tr>
      <w:tr>
        <w:trPr>
          <w:trHeight w:val="216"/>
        </w:trPr>
        <w:tc>
          <w:tcPr>
            <w:tcW w:w="2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AllWork, Inc.</w:t>
            </w:r>
          </w:p>
        </w:tc>
        <w:tc>
          <w:tcPr>
            <w:tcW w:w="2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Human resources technology</w:t>
            </w:r>
          </w:p>
        </w:tc>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Member of Board of Directors</w:t>
            </w: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8" w:name="page79"/>
    <w:bookmarkEnd w:id="78"/>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ind w:right="20" w:firstLine="324"/>
        <w:spacing w:after="0" w:line="248" w:lineRule="auto"/>
        <w:rPr>
          <w:sz w:val="20"/>
          <w:szCs w:val="20"/>
          <w:color w:val="auto"/>
        </w:rPr>
      </w:pPr>
      <w:r>
        <w:rPr>
          <w:rFonts w:ascii="Arial" w:cs="Arial" w:eastAsia="Arial" w:hAnsi="Arial"/>
          <w:sz w:val="21"/>
          <w:szCs w:val="21"/>
          <w:color w:val="auto"/>
        </w:rPr>
        <w:t>Accordingly, if any of the above officers or directors become aware of a business combination opportunity which is suitable for any of the above entities to which he or she has then-current fiduciary or contractual obligations, he or she may need to honor his or her fiduciary or contractual obligations to present such business combination opportunity to such entity, and only present it to us if such entity chooses not to pursue the opportunity, subject to their fiduciary duties under Cayman Islands law. We do not believe, however, that any of the foregoing fiduciary duties or contractual obligations will materially affect our ability to complete our initial business combination.</w:t>
      </w:r>
    </w:p>
    <w:p>
      <w:pPr>
        <w:spacing w:after="0" w:line="204" w:lineRule="exact"/>
        <w:rPr>
          <w:sz w:val="20"/>
          <w:szCs w:val="20"/>
          <w:color w:val="auto"/>
        </w:rPr>
      </w:pPr>
    </w:p>
    <w:p>
      <w:pPr>
        <w:ind w:right="40" w:firstLine="324"/>
        <w:spacing w:after="0" w:line="238" w:lineRule="auto"/>
        <w:rPr>
          <w:sz w:val="20"/>
          <w:szCs w:val="20"/>
          <w:color w:val="auto"/>
        </w:rPr>
      </w:pPr>
      <w:r>
        <w:rPr>
          <w:rFonts w:ascii="Arial" w:cs="Arial" w:eastAsia="Arial" w:hAnsi="Arial"/>
          <w:sz w:val="22"/>
          <w:szCs w:val="22"/>
          <w:color w:val="auto"/>
        </w:rPr>
        <w:t>We are not prohibited from pursuing an initial business combination with a company that is affiliated with our sponsor, officers or directors. In the event we seek to complete our initial business combination with such a company, we would obtain an opinion from an independent investment banking firm or from an independent accounting firm, that such an initial business combination is fair to our company from a financial point of view.</w:t>
      </w:r>
    </w:p>
    <w:p>
      <w:pPr>
        <w:spacing w:after="0" w:line="212" w:lineRule="exact"/>
        <w:rPr>
          <w:sz w:val="20"/>
          <w:szCs w:val="20"/>
          <w:color w:val="auto"/>
        </w:rPr>
      </w:pPr>
    </w:p>
    <w:p>
      <w:pPr>
        <w:ind w:firstLine="324"/>
        <w:spacing w:after="0" w:line="238" w:lineRule="auto"/>
        <w:rPr>
          <w:sz w:val="20"/>
          <w:szCs w:val="20"/>
          <w:color w:val="auto"/>
        </w:rPr>
      </w:pPr>
      <w:r>
        <w:rPr>
          <w:rFonts w:ascii="Arial" w:cs="Arial" w:eastAsia="Arial" w:hAnsi="Arial"/>
          <w:sz w:val="22"/>
          <w:szCs w:val="22"/>
          <w:color w:val="auto"/>
        </w:rPr>
        <w:t>In addition, our sponsor or any of its affiliates may make additional investments in the company in connection with the initial business combination, although our sponsor and its affiliates have no obligation or current intention to do so. If our sponsor or any of its affiliates elects to make additional investments, such proposed investments could influence our sponsor’s motivation to complete an initial business combination.</w:t>
      </w:r>
    </w:p>
    <w:p>
      <w:pPr>
        <w:spacing w:after="0" w:line="212" w:lineRule="exact"/>
        <w:rPr>
          <w:sz w:val="20"/>
          <w:szCs w:val="20"/>
          <w:color w:val="auto"/>
        </w:rPr>
      </w:pPr>
    </w:p>
    <w:p>
      <w:pPr>
        <w:ind w:right="40" w:firstLine="324"/>
        <w:spacing w:after="0" w:line="236" w:lineRule="auto"/>
        <w:rPr>
          <w:sz w:val="20"/>
          <w:szCs w:val="20"/>
          <w:color w:val="auto"/>
        </w:rPr>
      </w:pPr>
      <w:r>
        <w:rPr>
          <w:rFonts w:ascii="Arial" w:cs="Arial" w:eastAsia="Arial" w:hAnsi="Arial"/>
          <w:sz w:val="22"/>
          <w:szCs w:val="22"/>
          <w:color w:val="auto"/>
        </w:rPr>
        <w:t>In the event that we submit our initial business combination to our public shareholders for a vote, our initial shareholders have agreed, pursuant to the terms of a letter agreement entered into with us, to vote their founder shares (and their permitted transferees will agree) and any public shares held by them in favor of our initial business combination. Our directors and officers have also entered into the letter agreement, imposing similar obligations on them with respect to public shares acquired by them, if any.</w:t>
      </w:r>
    </w:p>
    <w:p>
      <w:pPr>
        <w:spacing w:after="0" w:line="200" w:lineRule="exact"/>
        <w:rPr>
          <w:sz w:val="20"/>
          <w:szCs w:val="20"/>
          <w:color w:val="auto"/>
        </w:rPr>
      </w:pPr>
    </w:p>
    <w:p>
      <w:pPr>
        <w:spacing w:after="0" w:line="206"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79" w:name="page80"/>
    <w:bookmarkEnd w:id="79"/>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Limitation on Liability and Indemnification of Officers and Directors</w:t>
      </w:r>
    </w:p>
    <w:p>
      <w:pPr>
        <w:spacing w:after="0" w:line="239" w:lineRule="exact"/>
        <w:rPr>
          <w:sz w:val="20"/>
          <w:szCs w:val="20"/>
          <w:color w:val="auto"/>
        </w:rPr>
      </w:pPr>
    </w:p>
    <w:p>
      <w:pPr>
        <w:ind w:right="40" w:firstLine="324"/>
        <w:spacing w:after="0" w:line="248" w:lineRule="auto"/>
        <w:rPr>
          <w:sz w:val="20"/>
          <w:szCs w:val="20"/>
          <w:color w:val="auto"/>
        </w:rPr>
      </w:pPr>
      <w:r>
        <w:rPr>
          <w:rFonts w:ascii="Arial" w:cs="Arial" w:eastAsia="Arial" w:hAnsi="Arial"/>
          <w:sz w:val="21"/>
          <w:szCs w:val="21"/>
          <w:color w:val="auto"/>
        </w:rPr>
        <w:t>Cayman Islands law does not limit the extent to which a company’s memorandum and articles of association may provide for indemnification of officers and directors, except to the extent any such provision may be held by the Cayman Islands courts to be contrary to public policy, such as to provide indemnification against willful default, fraud or the consequences of committing a crime. Our amended and restated memorandum and articles of association provides for indemnification of our officers and directors to the maximum extent permitted by law, including for any liability incurred in their capacities as such, except through their own actual fraud, willful default or willful neglect.</w:t>
      </w:r>
    </w:p>
    <w:p>
      <w:pPr>
        <w:spacing w:after="0" w:line="204" w:lineRule="exact"/>
        <w:rPr>
          <w:sz w:val="20"/>
          <w:szCs w:val="20"/>
          <w:color w:val="auto"/>
        </w:rPr>
      </w:pPr>
    </w:p>
    <w:p>
      <w:pPr>
        <w:ind w:right="80" w:firstLine="324"/>
        <w:spacing w:after="0" w:line="257" w:lineRule="auto"/>
        <w:rPr>
          <w:sz w:val="20"/>
          <w:szCs w:val="20"/>
          <w:color w:val="auto"/>
        </w:rPr>
      </w:pPr>
      <w:r>
        <w:rPr>
          <w:rFonts w:ascii="Arial" w:cs="Arial" w:eastAsia="Arial" w:hAnsi="Arial"/>
          <w:sz w:val="21"/>
          <w:szCs w:val="21"/>
          <w:color w:val="auto"/>
        </w:rPr>
        <w:t>We may purchase a policy of directors’ and officers’ liability insurance that insures our officers and directors against the cost of defense, settlement or payment of a judgment in some circumstances and insures us against our obligations to indemnify our officers and directors. We also intend to enter into indemnity agreements with them.</w:t>
      </w:r>
    </w:p>
    <w:p>
      <w:pPr>
        <w:spacing w:after="0" w:line="196" w:lineRule="exact"/>
        <w:rPr>
          <w:sz w:val="20"/>
          <w:szCs w:val="20"/>
          <w:color w:val="auto"/>
        </w:rPr>
      </w:pPr>
    </w:p>
    <w:p>
      <w:pPr>
        <w:ind w:right="260" w:firstLine="324"/>
        <w:spacing w:after="0" w:line="246" w:lineRule="auto"/>
        <w:rPr>
          <w:sz w:val="20"/>
          <w:szCs w:val="20"/>
          <w:color w:val="auto"/>
        </w:rPr>
      </w:pPr>
      <w:r>
        <w:rPr>
          <w:rFonts w:ascii="Arial" w:cs="Arial" w:eastAsia="Arial" w:hAnsi="Arial"/>
          <w:sz w:val="21"/>
          <w:szCs w:val="21"/>
          <w:color w:val="auto"/>
        </w:rPr>
        <w:t>Our officers and directors have agreed to waive any right, title, interest or claim of any kind in or to any monies in the trust account, and have agreed to waive any right, title, interest or claim of any kind they may have in the future as a result of, or arising out of, any services provided to us and will not seek recourse against the trust account for any reason whatsoever. Accordingly, any indemnification provided will only be able to be satisfied by us if we (i) have sufficient funds outside of the trust account or (ii) consummate an initial business combination. Furthermore, a shareholder’s investment may be adversely affected to the extent we pay the costs of settlement and damage awards against our officers and directors pursuant to these indemnification provisions.</w:t>
      </w:r>
    </w:p>
    <w:p>
      <w:pPr>
        <w:spacing w:after="0" w:line="211" w:lineRule="exact"/>
        <w:rPr>
          <w:sz w:val="20"/>
          <w:szCs w:val="20"/>
          <w:color w:val="auto"/>
        </w:rPr>
      </w:pPr>
    </w:p>
    <w:p>
      <w:pPr>
        <w:ind w:right="140" w:firstLine="324"/>
        <w:spacing w:after="0" w:line="250" w:lineRule="auto"/>
        <w:rPr>
          <w:sz w:val="20"/>
          <w:szCs w:val="20"/>
          <w:color w:val="auto"/>
        </w:rPr>
      </w:pPr>
      <w:r>
        <w:rPr>
          <w:rFonts w:ascii="Arial" w:cs="Arial" w:eastAsia="Arial" w:hAnsi="Arial"/>
          <w:sz w:val="22"/>
          <w:szCs w:val="22"/>
          <w:color w:val="auto"/>
        </w:rPr>
        <w:t>We believe that these provisions, the insurance and the indemnity agreements are necessary to attract and retain talented and experienced officers and directors.</w:t>
      </w:r>
    </w:p>
    <w:p>
      <w:pPr>
        <w:spacing w:after="0" w:line="20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21"/>
          <w:szCs w:val="21"/>
          <w:color w:val="auto"/>
        </w:rPr>
        <w:t>Insofar as indemnification for liabilities arising under the Securities Act may be permitted to directors and officers or persons controlling us pursuant to the foregoing provisions, we have been informed that in the opinion of the SEC such indemnification is against public policy as expressed in the Securities Act and is therefore unenforceable.</w:t>
      </w:r>
    </w:p>
    <w:p>
      <w:pPr>
        <w:spacing w:after="0" w:line="19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color w:val="auto"/>
        </w:rPr>
        <w:t>Executive Compensation.</w:t>
      </w:r>
    </w:p>
    <w:p>
      <w:pPr>
        <w:spacing w:after="0" w:line="249" w:lineRule="exact"/>
        <w:rPr>
          <w:sz w:val="20"/>
          <w:szCs w:val="20"/>
          <w:color w:val="auto"/>
        </w:rPr>
      </w:pPr>
    </w:p>
    <w:p>
      <w:pPr>
        <w:ind w:right="20" w:firstLine="324"/>
        <w:spacing w:after="0" w:line="246" w:lineRule="auto"/>
        <w:rPr>
          <w:sz w:val="20"/>
          <w:szCs w:val="20"/>
          <w:color w:val="auto"/>
        </w:rPr>
      </w:pPr>
      <w:r>
        <w:rPr>
          <w:rFonts w:ascii="Arial" w:cs="Arial" w:eastAsia="Arial" w:hAnsi="Arial"/>
          <w:sz w:val="21"/>
          <w:szCs w:val="21"/>
          <w:color w:val="auto"/>
        </w:rPr>
        <w:t>None of our officers or directors have received or, prior to our initial business combination, will receive any cash compensation for services rendered to us. We pay our sponsor up to $20,000 per month for office space, administrative and support services. Our sponsor, officers and directors, or any of their respective affiliates, will be reimbursed for any out-of-pocket expenses incurred in connection with activities on our behalf such as identifying potential target businesses and performing due diligence on suitable business combinations. In connection with closing of our initial public offering, our sponsor granted equity interests in our sponsor to our independent directors that collectively comprise approximately 1% of the outstanding equity interests in our sponsor. Our audit committee will review on a quarterly basis all payments that were made to our sponsor, officers, directors or our or any of their affiliates.</w:t>
      </w:r>
    </w:p>
    <w:p>
      <w:pPr>
        <w:spacing w:after="0" w:line="207" w:lineRule="exact"/>
        <w:rPr>
          <w:sz w:val="20"/>
          <w:szCs w:val="20"/>
          <w:color w:val="auto"/>
        </w:rPr>
      </w:pPr>
    </w:p>
    <w:p>
      <w:pPr>
        <w:ind w:right="100" w:firstLine="324"/>
        <w:spacing w:after="0" w:line="277" w:lineRule="auto"/>
        <w:rPr>
          <w:sz w:val="20"/>
          <w:szCs w:val="20"/>
          <w:color w:val="auto"/>
        </w:rPr>
      </w:pPr>
      <w:r>
        <w:rPr>
          <w:rFonts w:ascii="Arial" w:cs="Arial" w:eastAsia="Arial" w:hAnsi="Arial"/>
          <w:sz w:val="19"/>
          <w:szCs w:val="19"/>
          <w:color w:val="auto"/>
        </w:rPr>
        <w:t>After the completion of our initial business combination, directors or members of our management team who remain with us may be paid consulting, management or other compensation from the combined company. All compensation will be fully disclosed to shareholders, to the extent then known, in the tender offer materials or proxy solicitation materials furnished to our shareholders in connection with a proposed business combination. It is unlikely the amount of such compensation will be known at the time, because the directors of the post-combination business will be responsible for determining executive officer and director compensation. Any compensation to be paid to our officers after the completion of our initial business combination will be determined by a compensation committee constituted solely by independent directors.</w:t>
      </w:r>
    </w:p>
    <w:p>
      <w:pPr>
        <w:spacing w:after="0" w:line="179" w:lineRule="exact"/>
        <w:rPr>
          <w:sz w:val="20"/>
          <w:szCs w:val="20"/>
          <w:color w:val="auto"/>
        </w:rPr>
      </w:pPr>
    </w:p>
    <w:p>
      <w:pPr>
        <w:ind w:right="160" w:firstLine="324"/>
        <w:spacing w:after="0" w:line="236" w:lineRule="auto"/>
        <w:rPr>
          <w:sz w:val="20"/>
          <w:szCs w:val="20"/>
          <w:color w:val="auto"/>
        </w:rPr>
      </w:pPr>
      <w:r>
        <w:rPr>
          <w:rFonts w:ascii="Arial" w:cs="Arial" w:eastAsia="Arial" w:hAnsi="Arial"/>
          <w:sz w:val="22"/>
          <w:szCs w:val="22"/>
          <w:color w:val="auto"/>
        </w:rPr>
        <w:t>We are not party to any agreements with our executive officers and directors that provide for benefits upon termination of employment. The existence or terms of any such employment or consulting arrangements may influence our management’s motivation in identifying or selecting a target business, and we do not believe that the ability of our management to remain with us after the completion of our initial business combination should be a determining factor in our decision to proceed with any potential business combination.</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80" w:name="page81"/>
    <w:bookmarkEnd w:id="80"/>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Security Ownership of Certain Beneficial Owners and Management and Related Stockholder Matters</w:t>
      </w:r>
    </w:p>
    <w:p>
      <w:pPr>
        <w:spacing w:after="0" w:line="249" w:lineRule="exact"/>
        <w:rPr>
          <w:sz w:val="20"/>
          <w:szCs w:val="20"/>
          <w:color w:val="auto"/>
        </w:rPr>
      </w:pPr>
    </w:p>
    <w:p>
      <w:pPr>
        <w:ind w:right="140" w:firstLine="324"/>
        <w:spacing w:after="0" w:line="250" w:lineRule="auto"/>
        <w:rPr>
          <w:sz w:val="20"/>
          <w:szCs w:val="20"/>
          <w:color w:val="auto"/>
        </w:rPr>
      </w:pPr>
      <w:r>
        <w:rPr>
          <w:rFonts w:ascii="Arial" w:cs="Arial" w:eastAsia="Arial" w:hAnsi="Arial"/>
          <w:sz w:val="22"/>
          <w:szCs w:val="22"/>
          <w:color w:val="auto"/>
        </w:rPr>
        <w:t>The following table sets forth information regarding the beneficial ownership of our ordinary shares available to us at March 24, 2020, with respect to our ordinary shares held by:</w:t>
      </w:r>
    </w:p>
    <w:p>
      <w:pPr>
        <w:spacing w:after="0" w:line="209" w:lineRule="exact"/>
        <w:rPr>
          <w:sz w:val="20"/>
          <w:szCs w:val="20"/>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each person known by us to be the beneficial owner of more than 5% of our issued and outstanding ordinary shares;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each of our officers and directors;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all our officers and directors as a group.</w:t>
      </w:r>
    </w:p>
    <w:p>
      <w:pPr>
        <w:spacing w:after="0" w:line="245" w:lineRule="exact"/>
        <w:rPr>
          <w:sz w:val="20"/>
          <w:szCs w:val="20"/>
          <w:color w:val="auto"/>
        </w:rPr>
      </w:pPr>
    </w:p>
    <w:p>
      <w:pPr>
        <w:jc w:val="both"/>
        <w:ind w:right="80"/>
        <w:spacing w:after="0" w:line="257" w:lineRule="auto"/>
        <w:rPr>
          <w:sz w:val="20"/>
          <w:szCs w:val="20"/>
          <w:color w:val="auto"/>
        </w:rPr>
      </w:pPr>
      <w:r>
        <w:rPr>
          <w:rFonts w:ascii="Arial" w:cs="Arial" w:eastAsia="Arial" w:hAnsi="Arial"/>
          <w:sz w:val="21"/>
          <w:szCs w:val="21"/>
          <w:color w:val="auto"/>
        </w:rPr>
        <w:t>Unless otherwise indicated, we believe that all persons named in the table have sole voting and investment power with respect to all ordinary shares beneficially owned by them. The following table does not reflect record or beneficial ownership of the private placement warrants as these warrants are not exercisable within 60 days of March 24, 2020.</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340"/>
        </w:trPr>
        <w:tc>
          <w:tcPr>
            <w:tcW w:w="4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00" w:type="dxa"/>
            <w:vAlign w:val="bottom"/>
            <w:gridSpan w:val="4"/>
          </w:tcPr>
          <w:p>
            <w:pPr>
              <w:jc w:val="right"/>
              <w:ind w:right="500"/>
              <w:spacing w:after="0"/>
              <w:rPr>
                <w:sz w:val="20"/>
                <w:szCs w:val="20"/>
                <w:color w:val="auto"/>
              </w:rPr>
            </w:pPr>
            <w:r>
              <w:rPr>
                <w:rFonts w:ascii="Arial" w:cs="Arial" w:eastAsia="Arial" w:hAnsi="Arial"/>
                <w:sz w:val="18"/>
                <w:szCs w:val="18"/>
                <w:b w:val="1"/>
                <w:bCs w:val="1"/>
                <w:color w:val="auto"/>
                <w:w w:val="94"/>
              </w:rPr>
              <w:t>Class B ordinary shares</w:t>
            </w:r>
            <w:r>
              <w:rPr>
                <w:rFonts w:ascii="Arial" w:cs="Arial" w:eastAsia="Arial" w:hAnsi="Arial"/>
                <w:sz w:val="29"/>
                <w:szCs w:val="29"/>
                <w:b w:val="1"/>
                <w:bCs w:val="1"/>
                <w:color w:val="auto"/>
                <w:w w:val="94"/>
                <w:vertAlign w:val="superscript"/>
              </w:rPr>
              <w:t>(2)</w:t>
            </w:r>
          </w:p>
        </w:tc>
        <w:tc>
          <w:tcPr>
            <w:tcW w:w="2700" w:type="dxa"/>
            <w:vAlign w:val="bottom"/>
            <w:gridSpan w:val="4"/>
          </w:tcPr>
          <w:p>
            <w:pPr>
              <w:jc w:val="right"/>
              <w:ind w:right="580"/>
              <w:spacing w:after="0"/>
              <w:rPr>
                <w:sz w:val="20"/>
                <w:szCs w:val="20"/>
                <w:color w:val="auto"/>
              </w:rPr>
            </w:pPr>
            <w:r>
              <w:rPr>
                <w:rFonts w:ascii="Arial" w:cs="Arial" w:eastAsia="Arial" w:hAnsi="Arial"/>
                <w:sz w:val="18"/>
                <w:szCs w:val="18"/>
                <w:b w:val="1"/>
                <w:bCs w:val="1"/>
                <w:color w:val="auto"/>
              </w:rPr>
              <w:t>Class A ordinary shares</w:t>
            </w: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4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Borders>
              <w:top w:val="single" w:sz="8" w:color="auto"/>
            </w:tcBorders>
            <w:gridSpan w:val="2"/>
          </w:tcPr>
          <w:p>
            <w:pPr>
              <w:jc w:val="center"/>
              <w:ind w:right="240"/>
              <w:spacing w:after="0" w:line="198" w:lineRule="exact"/>
              <w:rPr>
                <w:sz w:val="20"/>
                <w:szCs w:val="20"/>
                <w:color w:val="auto"/>
              </w:rPr>
            </w:pPr>
            <w:r>
              <w:rPr>
                <w:rFonts w:ascii="Arial" w:cs="Arial" w:eastAsia="Arial" w:hAnsi="Arial"/>
                <w:sz w:val="18"/>
                <w:szCs w:val="18"/>
                <w:b w:val="1"/>
                <w:bCs w:val="1"/>
                <w:color w:val="auto"/>
                <w:w w:val="93"/>
              </w:rPr>
              <w:t>Number of</w:t>
            </w:r>
          </w:p>
        </w:tc>
        <w:tc>
          <w:tcPr>
            <w:tcW w:w="110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320" w:type="dxa"/>
            <w:vAlign w:val="bottom"/>
            <w:tcBorders>
              <w:top w:val="single" w:sz="8" w:color="auto"/>
            </w:tcBorders>
            <w:gridSpan w:val="2"/>
          </w:tcPr>
          <w:p>
            <w:pPr>
              <w:jc w:val="center"/>
              <w:ind w:right="240"/>
              <w:spacing w:after="0" w:line="198" w:lineRule="exact"/>
              <w:rPr>
                <w:sz w:val="20"/>
                <w:szCs w:val="20"/>
                <w:color w:val="auto"/>
              </w:rPr>
            </w:pPr>
            <w:r>
              <w:rPr>
                <w:rFonts w:ascii="Arial" w:cs="Arial" w:eastAsia="Arial" w:hAnsi="Arial"/>
                <w:sz w:val="18"/>
                <w:szCs w:val="18"/>
                <w:b w:val="1"/>
                <w:bCs w:val="1"/>
                <w:color w:val="auto"/>
                <w:w w:val="93"/>
              </w:rPr>
              <w:t>Number of</w:t>
            </w:r>
          </w:p>
        </w:tc>
        <w:tc>
          <w:tcPr>
            <w:tcW w:w="110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gridSpan w:val="2"/>
          </w:tcPr>
          <w:p>
            <w:pPr>
              <w:jc w:val="center"/>
              <w:ind w:right="160"/>
              <w:spacing w:after="0" w:line="198" w:lineRule="exact"/>
              <w:rPr>
                <w:sz w:val="20"/>
                <w:szCs w:val="20"/>
                <w:color w:val="auto"/>
              </w:rPr>
            </w:pPr>
            <w:r>
              <w:rPr>
                <w:rFonts w:ascii="Arial" w:cs="Arial" w:eastAsia="Arial" w:hAnsi="Arial"/>
                <w:sz w:val="18"/>
                <w:szCs w:val="18"/>
                <w:b w:val="1"/>
                <w:bCs w:val="1"/>
                <w:color w:val="auto"/>
                <w:w w:val="92"/>
              </w:rPr>
              <w:t>Approximate</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6"/>
              </w:rPr>
              <w:t>Shares</w:t>
            </w:r>
          </w:p>
        </w:tc>
        <w:tc>
          <w:tcPr>
            <w:tcW w:w="13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Approximate</w:t>
            </w:r>
          </w:p>
        </w:tc>
        <w:tc>
          <w:tcPr>
            <w:tcW w:w="13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6"/>
              </w:rPr>
              <w:t>Shares</w:t>
            </w:r>
          </w:p>
        </w:tc>
        <w:tc>
          <w:tcPr>
            <w:tcW w:w="13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Approximate</w:t>
            </w:r>
          </w:p>
        </w:tc>
        <w:tc>
          <w:tcPr>
            <w:tcW w:w="12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7"/>
              </w:rPr>
              <w:t>Percentage of</w:t>
            </w:r>
          </w:p>
        </w:tc>
        <w:tc>
          <w:tcPr>
            <w:tcW w:w="0" w:type="dxa"/>
            <w:vAlign w:val="bottom"/>
          </w:tcPr>
          <w:p>
            <w:pPr>
              <w:spacing w:after="0"/>
              <w:rPr>
                <w:sz w:val="1"/>
                <w:szCs w:val="1"/>
                <w:color w:val="auto"/>
              </w:rPr>
            </w:pPr>
          </w:p>
        </w:tc>
      </w:tr>
      <w:tr>
        <w:trPr>
          <w:trHeight w:val="216"/>
        </w:trPr>
        <w:tc>
          <w:tcPr>
            <w:tcW w:w="4460" w:type="dxa"/>
            <w:vAlign w:val="bottom"/>
            <w:vMerge w:val="restart"/>
          </w:tcPr>
          <w:p>
            <w:pPr>
              <w:ind w:left="1100"/>
              <w:spacing w:after="0"/>
              <w:rPr>
                <w:sz w:val="20"/>
                <w:szCs w:val="20"/>
                <w:color w:val="auto"/>
              </w:rPr>
            </w:pPr>
            <w:r>
              <w:rPr>
                <w:rFonts w:ascii="Arial" w:cs="Arial" w:eastAsia="Arial" w:hAnsi="Arial"/>
                <w:sz w:val="18"/>
                <w:szCs w:val="18"/>
                <w:b w:val="1"/>
                <w:bCs w:val="1"/>
                <w:color w:val="auto"/>
              </w:rPr>
              <w:t>Name of Beneficial Owners</w:t>
            </w:r>
            <w:r>
              <w:rPr>
                <w:rFonts w:ascii="Arial" w:cs="Arial" w:eastAsia="Arial" w:hAnsi="Arial"/>
                <w:sz w:val="29"/>
                <w:szCs w:val="29"/>
                <w:b w:val="1"/>
                <w:bCs w:val="1"/>
                <w:color w:val="auto"/>
                <w:vertAlign w:val="superscript"/>
              </w:rPr>
              <w:t>(1)</w:t>
            </w:r>
          </w:p>
        </w:tc>
        <w:tc>
          <w:tcPr>
            <w:tcW w:w="120" w:type="dxa"/>
            <w:vAlign w:val="bottom"/>
            <w:vMerge w:val="restart"/>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Beneficially</w:t>
            </w:r>
          </w:p>
        </w:tc>
        <w:tc>
          <w:tcPr>
            <w:tcW w:w="13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Percentage of</w:t>
            </w: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Beneficially</w:t>
            </w:r>
          </w:p>
        </w:tc>
        <w:tc>
          <w:tcPr>
            <w:tcW w:w="13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Percentage of</w:t>
            </w:r>
          </w:p>
        </w:tc>
        <w:tc>
          <w:tcPr>
            <w:tcW w:w="12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9"/>
              </w:rPr>
              <w:t>Voting</w:t>
            </w:r>
          </w:p>
        </w:tc>
        <w:tc>
          <w:tcPr>
            <w:tcW w:w="0" w:type="dxa"/>
            <w:vAlign w:val="bottom"/>
          </w:tcPr>
          <w:p>
            <w:pPr>
              <w:spacing w:after="0"/>
              <w:rPr>
                <w:sz w:val="1"/>
                <w:szCs w:val="1"/>
                <w:color w:val="auto"/>
              </w:rPr>
            </w:pPr>
          </w:p>
        </w:tc>
      </w:tr>
      <w:tr>
        <w:trPr>
          <w:trHeight w:val="241"/>
        </w:trPr>
        <w:tc>
          <w:tcPr>
            <w:tcW w:w="4460" w:type="dxa"/>
            <w:vAlign w:val="bottom"/>
            <w:tcBorders>
              <w:bottom w:val="single" w:sz="8" w:color="auto"/>
            </w:tcBorders>
            <w:vMerge w:val="continue"/>
          </w:tcPr>
          <w:p>
            <w:pPr>
              <w:spacing w:after="0"/>
              <w:rPr>
                <w:sz w:val="20"/>
                <w:szCs w:val="20"/>
                <w:color w:val="auto"/>
              </w:rPr>
            </w:pPr>
          </w:p>
        </w:tc>
        <w:tc>
          <w:tcPr>
            <w:tcW w:w="120" w:type="dxa"/>
            <w:vAlign w:val="bottom"/>
            <w:vMerge w:val="continue"/>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Owned</w:t>
            </w:r>
          </w:p>
        </w:tc>
        <w:tc>
          <w:tcPr>
            <w:tcW w:w="22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Class</w:t>
            </w:r>
          </w:p>
        </w:tc>
        <w:tc>
          <w:tcPr>
            <w:tcW w:w="28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Owned</w:t>
            </w:r>
          </w:p>
        </w:tc>
        <w:tc>
          <w:tcPr>
            <w:tcW w:w="22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Class</w:t>
            </w:r>
          </w:p>
        </w:tc>
        <w:tc>
          <w:tcPr>
            <w:tcW w:w="28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Control</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spacing w:after="0" w:line="216" w:lineRule="exact"/>
              <w:rPr>
                <w:sz w:val="20"/>
                <w:szCs w:val="20"/>
                <w:color w:val="auto"/>
              </w:rPr>
            </w:pPr>
            <w:r>
              <w:rPr>
                <w:rFonts w:ascii="Arial" w:cs="Arial" w:eastAsia="Arial" w:hAnsi="Arial"/>
                <w:sz w:val="16"/>
                <w:szCs w:val="16"/>
                <w:color w:val="auto"/>
              </w:rPr>
              <w:t xml:space="preserve">Anthony A. Yoseloff </w:t>
            </w:r>
            <w:r>
              <w:rPr>
                <w:rFonts w:ascii="Arial" w:cs="Arial" w:eastAsia="Arial" w:hAnsi="Arial"/>
                <w:sz w:val="25"/>
                <w:szCs w:val="25"/>
                <w:color w:val="auto"/>
                <w:vertAlign w:val="superscript"/>
              </w:rPr>
              <w:t>(3)</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1,900,000</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7.60%</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6.08%</w:t>
            </w:r>
          </w:p>
        </w:tc>
        <w:tc>
          <w:tcPr>
            <w:tcW w:w="0" w:type="dxa"/>
            <w:vAlign w:val="bottom"/>
          </w:tcPr>
          <w:p>
            <w:pPr>
              <w:spacing w:after="0"/>
              <w:rPr>
                <w:sz w:val="1"/>
                <w:szCs w:val="1"/>
                <w:color w:val="auto"/>
              </w:rPr>
            </w:pPr>
          </w:p>
        </w:tc>
      </w:tr>
      <w:tr>
        <w:trPr>
          <w:trHeight w:val="216"/>
        </w:trPr>
        <w:tc>
          <w:tcPr>
            <w:tcW w:w="4580" w:type="dxa"/>
            <w:vAlign w:val="bottom"/>
            <w:gridSpan w:val="2"/>
          </w:tcPr>
          <w:p>
            <w:pPr>
              <w:spacing w:after="0" w:line="216" w:lineRule="exact"/>
              <w:rPr>
                <w:sz w:val="20"/>
                <w:szCs w:val="20"/>
                <w:color w:val="auto"/>
              </w:rPr>
            </w:pPr>
            <w:r>
              <w:rPr>
                <w:rFonts w:ascii="Arial" w:cs="Arial" w:eastAsia="Arial" w:hAnsi="Arial"/>
                <w:sz w:val="16"/>
                <w:szCs w:val="16"/>
                <w:color w:val="auto"/>
              </w:rPr>
              <w:t>Polar Asset Management Partners, Inc.</w:t>
            </w:r>
            <w:r>
              <w:rPr>
                <w:rFonts w:ascii="Arial" w:cs="Arial" w:eastAsia="Arial" w:hAnsi="Arial"/>
                <w:sz w:val="25"/>
                <w:szCs w:val="25"/>
                <w:color w:val="auto"/>
                <w:vertAlign w:val="superscript"/>
              </w:rPr>
              <w:t>(4)</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2,282,000</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9.13%</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7.30%</w:t>
            </w:r>
          </w:p>
        </w:tc>
        <w:tc>
          <w:tcPr>
            <w:tcW w:w="0" w:type="dxa"/>
            <w:vAlign w:val="bottom"/>
          </w:tcPr>
          <w:p>
            <w:pPr>
              <w:spacing w:after="0"/>
              <w:rPr>
                <w:sz w:val="1"/>
                <w:szCs w:val="1"/>
                <w:color w:val="auto"/>
              </w:rPr>
            </w:pPr>
          </w:p>
        </w:tc>
      </w:tr>
      <w:tr>
        <w:trPr>
          <w:trHeight w:val="216"/>
        </w:trPr>
        <w:tc>
          <w:tcPr>
            <w:tcW w:w="4580" w:type="dxa"/>
            <w:vAlign w:val="bottom"/>
            <w:gridSpan w:val="2"/>
            <w:shd w:val="clear" w:color="auto" w:fill="CCEEFF"/>
          </w:tcPr>
          <w:p>
            <w:pPr>
              <w:spacing w:after="0" w:line="216" w:lineRule="exact"/>
              <w:rPr>
                <w:sz w:val="20"/>
                <w:szCs w:val="20"/>
                <w:color w:val="auto"/>
              </w:rPr>
            </w:pPr>
            <w:r>
              <w:rPr>
                <w:rFonts w:ascii="Arial" w:cs="Arial" w:eastAsia="Arial" w:hAnsi="Arial"/>
                <w:sz w:val="16"/>
                <w:szCs w:val="16"/>
                <w:color w:val="auto"/>
              </w:rPr>
              <w:t>RP Investment Advisors LP</w:t>
            </w:r>
            <w:r>
              <w:rPr>
                <w:rFonts w:ascii="Arial" w:cs="Arial" w:eastAsia="Arial" w:hAnsi="Arial"/>
                <w:sz w:val="25"/>
                <w:szCs w:val="25"/>
                <w:color w:val="auto"/>
                <w:vertAlign w:val="superscript"/>
              </w:rPr>
              <w:t>(5)</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1,050,000</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4.20%</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3.36%</w:t>
            </w:r>
          </w:p>
        </w:tc>
        <w:tc>
          <w:tcPr>
            <w:tcW w:w="0" w:type="dxa"/>
            <w:vAlign w:val="bottom"/>
          </w:tcPr>
          <w:p>
            <w:pPr>
              <w:spacing w:after="0"/>
              <w:rPr>
                <w:sz w:val="1"/>
                <w:szCs w:val="1"/>
                <w:color w:val="auto"/>
              </w:rPr>
            </w:pPr>
          </w:p>
        </w:tc>
      </w:tr>
      <w:tr>
        <w:trPr>
          <w:trHeight w:val="216"/>
        </w:trPr>
        <w:tc>
          <w:tcPr>
            <w:tcW w:w="4580" w:type="dxa"/>
            <w:vAlign w:val="bottom"/>
            <w:gridSpan w:val="2"/>
          </w:tcPr>
          <w:p>
            <w:pPr>
              <w:spacing w:after="0" w:line="216" w:lineRule="exact"/>
              <w:rPr>
                <w:sz w:val="20"/>
                <w:szCs w:val="20"/>
                <w:color w:val="auto"/>
              </w:rPr>
            </w:pPr>
            <w:r>
              <w:rPr>
                <w:rFonts w:ascii="Arial" w:cs="Arial" w:eastAsia="Arial" w:hAnsi="Arial"/>
                <w:sz w:val="16"/>
                <w:szCs w:val="16"/>
                <w:color w:val="auto"/>
              </w:rPr>
              <w:t>Silver Spike Sponsor, LLC</w:t>
            </w:r>
            <w:r>
              <w:rPr>
                <w:rFonts w:ascii="Arial" w:cs="Arial" w:eastAsia="Arial" w:hAnsi="Arial"/>
                <w:sz w:val="25"/>
                <w:szCs w:val="25"/>
                <w:color w:val="auto"/>
                <w:vertAlign w:val="superscript"/>
              </w:rPr>
              <w:t>(6)</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6,250,000</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100%</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16"/>
        </w:trPr>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Scott Gordon</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color w:val="auto"/>
              </w:rPr>
              <w:t>William Healy</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Gregory Gentile</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color w:val="auto"/>
              </w:rPr>
              <w:t>Mohammed Grimeh</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Orrin Devinsky</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color w:val="auto"/>
              </w:rPr>
              <w:t>Richard Goldman</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Kenneth Landis</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580" w:type="dxa"/>
            <w:vAlign w:val="bottom"/>
            <w:gridSpan w:val="2"/>
          </w:tcPr>
          <w:p>
            <w:pPr>
              <w:spacing w:after="0"/>
              <w:rPr>
                <w:sz w:val="20"/>
                <w:szCs w:val="20"/>
                <w:color w:val="auto"/>
              </w:rPr>
            </w:pPr>
            <w:r>
              <w:rPr>
                <w:rFonts w:ascii="Arial" w:cs="Arial" w:eastAsia="Arial" w:hAnsi="Arial"/>
                <w:sz w:val="18"/>
                <w:szCs w:val="18"/>
                <w:color w:val="auto"/>
              </w:rPr>
              <w:t>All directors and officers as a group (nine individuals)</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36004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60045" cy="8255"/>
                    </a:xfrm>
                    <a:prstGeom prst="rect">
                      <a:avLst/>
                    </a:prstGeom>
                    <a:noFill/>
                  </pic:spPr>
                </pic:pic>
              </a:graphicData>
            </a:graphic>
          </wp:anchor>
        </w:drawing>
      </w:r>
    </w:p>
    <w:p>
      <w:pPr>
        <w:spacing w:after="0" w:line="329" w:lineRule="exact"/>
        <w:rPr>
          <w:sz w:val="20"/>
          <w:szCs w:val="20"/>
          <w:color w:val="auto"/>
        </w:rPr>
      </w:pPr>
    </w:p>
    <w:p>
      <w:pPr>
        <w:ind w:left="340" w:hanging="332"/>
        <w:spacing w:after="0"/>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Less than one percent.</w:t>
      </w:r>
    </w:p>
    <w:p>
      <w:pPr>
        <w:spacing w:after="0" w:line="252" w:lineRule="exact"/>
        <w:rPr>
          <w:sz w:val="20"/>
          <w:szCs w:val="20"/>
          <w:color w:val="auto"/>
        </w:rPr>
      </w:pPr>
    </w:p>
    <w:p>
      <w:pPr>
        <w:ind w:left="340" w:right="280" w:hanging="332"/>
        <w:spacing w:after="0" w:line="277" w:lineRule="auto"/>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Unless otherwise noted, the business address of each of the following entities or individuals is 600 Madison Ave, 17th Floor, New York, New York, 10022, United States of America.</w:t>
      </w:r>
    </w:p>
    <w:p>
      <w:pPr>
        <w:spacing w:after="0" w:line="197" w:lineRule="exact"/>
        <w:rPr>
          <w:rFonts w:ascii="Arial" w:cs="Arial" w:eastAsia="Arial" w:hAnsi="Arial"/>
          <w:sz w:val="18"/>
          <w:szCs w:val="18"/>
          <w:color w:val="auto"/>
        </w:rPr>
      </w:pPr>
    </w:p>
    <w:p>
      <w:pPr>
        <w:ind w:left="340" w:right="260" w:hanging="332"/>
        <w:spacing w:after="0" w:line="277" w:lineRule="auto"/>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Interests shown consist solely of founder shares, classified as Class B ordinary shares. Such Shares will automatically convert into Class A ordinary shares on the first business day following our initial business combination on a one-for-one basis.</w:t>
      </w:r>
    </w:p>
    <w:p>
      <w:pPr>
        <w:spacing w:after="0" w:line="197" w:lineRule="exact"/>
        <w:rPr>
          <w:rFonts w:ascii="Arial" w:cs="Arial" w:eastAsia="Arial" w:hAnsi="Arial"/>
          <w:sz w:val="18"/>
          <w:szCs w:val="18"/>
          <w:color w:val="auto"/>
        </w:rPr>
      </w:pPr>
    </w:p>
    <w:p>
      <w:pPr>
        <w:ind w:left="340" w:right="100" w:hanging="332"/>
        <w:spacing w:after="0" w:line="273" w:lineRule="auto"/>
        <w:tabs>
          <w:tab w:leader="none" w:pos="3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Includes 357,960 Class A ordinary shares held by Davidson Kempner Partners (“DKP”); 755,630 Class A ordinary shares held by Davidson Kempner Institutional Partners, L.P. (“DKIP”) and 786,410 Class A ordinary shares held by Davidson Kempner International, Ltd. (“DKIL”). Davidson Kempner Capital Management LP (“DKCM”) acts as investment advisor to each of DKP, DKIP and DKIL either directly or by virtue of a sub-advisory agreement with the investment manager of the relevant fund. Mr. Anthony Yoseloff, though DKCM, is responsible for the voting and investment decisions related to the Class A ordinary shares held by DKP, DKIP and DKIL. The address of Mr. Yoseloff is c/o Davidson Kempner Capital Management LP, 520 Madison Avenue, 30th Floor, New York, New York 10022.</w:t>
      </w:r>
    </w:p>
    <w:p>
      <w:pPr>
        <w:spacing w:after="0" w:line="204" w:lineRule="exact"/>
        <w:rPr>
          <w:rFonts w:ascii="Arial" w:cs="Arial" w:eastAsia="Arial" w:hAnsi="Arial"/>
          <w:sz w:val="17"/>
          <w:szCs w:val="17"/>
          <w:color w:val="auto"/>
        </w:rPr>
      </w:pPr>
    </w:p>
    <w:p>
      <w:pPr>
        <w:ind w:left="340" w:right="40" w:hanging="332"/>
        <w:spacing w:after="0" w:line="263" w:lineRule="auto"/>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Includes shares held by Polar Multi-Strategy Master Fund and certain managed accounts, for which Polar Asset Management Partners, Inc. serves as the investment advisor and has sole voting and dispositive power. The address of Polar Asset Management Partners, Inc. is 401 Bay Street, Suite 1900, PO Box 19, Toronto, Ontario M5H 2Y4, Canada.</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340" w:right="320" w:hanging="332"/>
        <w:spacing w:after="0" w:line="286" w:lineRule="auto"/>
        <w:tabs>
          <w:tab w:leader="none" w:pos="340" w:val="left"/>
        </w:tabs>
        <w:numPr>
          <w:ilvl w:val="0"/>
          <w:numId w:val="37"/>
        </w:numPr>
        <w:rPr>
          <w:rFonts w:ascii="Arial" w:cs="Arial" w:eastAsia="Arial" w:hAnsi="Arial"/>
          <w:sz w:val="17"/>
          <w:szCs w:val="17"/>
          <w:color w:val="auto"/>
        </w:rPr>
      </w:pPr>
      <w:r>
        <w:rPr>
          <w:rFonts w:ascii="Arial" w:cs="Arial" w:eastAsia="Arial" w:hAnsi="Arial"/>
          <w:sz w:val="17"/>
          <w:szCs w:val="17"/>
          <w:color w:val="auto"/>
        </w:rPr>
        <w:t>Includes 837,500 Class A ordinary shares held by RP Select Opportunities Master Fund Ltd. and 212,500 Class A ordinary shares held by RP Debt Opportunities Fund Ltd. RP Investment Advisors LP is the investment advisor of RP Select Opportunities Master Funder Ltd. and RP Debt Opportunities Fund Ltd. The address of RP Investment Advisors LP is 39 Hazelton Avenue, Toronto, Ontario, Canada, M5R 2E3.</w:t>
      </w:r>
    </w:p>
    <w:p>
      <w:pPr>
        <w:spacing w:after="0" w:line="192" w:lineRule="exact"/>
        <w:rPr>
          <w:rFonts w:ascii="Arial" w:cs="Arial" w:eastAsia="Arial" w:hAnsi="Arial"/>
          <w:sz w:val="17"/>
          <w:szCs w:val="17"/>
          <w:color w:val="auto"/>
        </w:rPr>
      </w:pPr>
    </w:p>
    <w:p>
      <w:pPr>
        <w:ind w:left="340" w:right="320" w:hanging="332"/>
        <w:spacing w:after="0" w:line="275" w:lineRule="auto"/>
        <w:tabs>
          <w:tab w:leader="none" w:pos="340" w:val="left"/>
        </w:tabs>
        <w:numPr>
          <w:ilvl w:val="0"/>
          <w:numId w:val="37"/>
        </w:numPr>
        <w:rPr>
          <w:rFonts w:ascii="Arial" w:cs="Arial" w:eastAsia="Arial" w:hAnsi="Arial"/>
          <w:sz w:val="17"/>
          <w:szCs w:val="17"/>
          <w:color w:val="auto"/>
        </w:rPr>
      </w:pPr>
      <w:r>
        <w:rPr>
          <w:rFonts w:ascii="Arial" w:cs="Arial" w:eastAsia="Arial" w:hAnsi="Arial"/>
          <w:sz w:val="17"/>
          <w:szCs w:val="17"/>
          <w:color w:val="auto"/>
        </w:rPr>
        <w:t>Our executive officers are the three managers of our sponsor’s board of managers. Any action by our sponsor with respect to our company or the founders shares, including voting and dispositive decisions, requires a majority vote of the managers of the board of managers. Under the so-called “rule of three,” because voting and dispositive decisions are made by a majority of our sponsor’s managers, none of the managers of our sponsor is deemed to be a beneficial owner of our sponsor’s securities, even those in which he holds a pecuniary interest. Accordingly, none of our executive officers is deemed to have or share beneficial ownership of the founders shares held by our sponsor.</w:t>
      </w:r>
    </w:p>
    <w:p>
      <w:pPr>
        <w:spacing w:after="0" w:line="196" w:lineRule="exact"/>
        <w:rPr>
          <w:sz w:val="20"/>
          <w:szCs w:val="20"/>
          <w:color w:val="auto"/>
        </w:rPr>
      </w:pPr>
    </w:p>
    <w:p>
      <w:pPr>
        <w:ind w:right="100" w:firstLine="324"/>
        <w:spacing w:after="0" w:line="248" w:lineRule="auto"/>
        <w:rPr>
          <w:sz w:val="20"/>
          <w:szCs w:val="20"/>
          <w:color w:val="auto"/>
        </w:rPr>
      </w:pPr>
      <w:r>
        <w:rPr>
          <w:rFonts w:ascii="Arial" w:cs="Arial" w:eastAsia="Arial" w:hAnsi="Arial"/>
          <w:sz w:val="21"/>
          <w:szCs w:val="21"/>
          <w:color w:val="auto"/>
        </w:rPr>
        <w:t>Our initial shareholders beneficially own 20% of the issued and outstanding ordinary shares (excluding the representative shares). Prior to our initial business combination, only holders of our founders shares have the right to vote on the election of directors, and holders of a majority of our founders shares may remove a member of the board of directors for any reason. In addition, because of their ownership block, our initial shareholders may be able to effectively influence the outcome of all other matters requiring approval by our shareholders, including amendments to our amended and restated memorandum and articles of association and approval of significant corporate transactions.</w:t>
      </w:r>
    </w:p>
    <w:p>
      <w:pPr>
        <w:spacing w:after="0" w:line="204" w:lineRule="exact"/>
        <w:rPr>
          <w:sz w:val="20"/>
          <w:szCs w:val="20"/>
          <w:color w:val="auto"/>
        </w:rPr>
      </w:pPr>
    </w:p>
    <w:p>
      <w:pPr>
        <w:ind w:right="40" w:firstLine="324"/>
        <w:spacing w:after="0" w:line="273" w:lineRule="auto"/>
        <w:rPr>
          <w:sz w:val="20"/>
          <w:szCs w:val="20"/>
          <w:color w:val="auto"/>
        </w:rPr>
      </w:pPr>
      <w:r>
        <w:rPr>
          <w:rFonts w:ascii="Arial" w:cs="Arial" w:eastAsia="Arial" w:hAnsi="Arial"/>
          <w:sz w:val="19"/>
          <w:szCs w:val="19"/>
          <w:color w:val="auto"/>
        </w:rPr>
        <w:t>Our sponsor has purchased an aggregate of 7,000,000 private placement warrants at a price of $1.00 per warrant in a private placement that occurred simultaneously with the closing of our initial public offering. Each private placement warrant entitles the holder to purchase one Class A ordinary share at a price of $11.50 per share, subject to adjustment as provided herein. If we do not complete our initial business combination within 18 months from the closing of our initial public offering, the proceeds of the sale of the private placement warrants held in the trust account will be used to fund the redemption of our public shares, and the private placement warrants will expire worthless. The private placement warrants are subject to the transfer restrictions described below. The private placement warrants will not be redeemable by us so long as they are held by our sponsor or its permitted transferees. If the private placement warrants are held by holders other than our sponsor or its permitted transferees, the private placement warrants will be redeemable by us and exercisable by the holders on the same basis as the warrants included in the units sold in our initial public offering. Otherwise, the private placement warrants have terms and provisions that are identical to those of the warrants sold as part of the units in our initial public offering.</w:t>
      </w:r>
    </w:p>
    <w:p>
      <w:pPr>
        <w:spacing w:after="0" w:line="182" w:lineRule="exact"/>
        <w:rPr>
          <w:sz w:val="20"/>
          <w:szCs w:val="20"/>
          <w:color w:val="auto"/>
        </w:rPr>
      </w:pPr>
    </w:p>
    <w:p>
      <w:pPr>
        <w:jc w:val="both"/>
        <w:ind w:right="720" w:firstLine="324"/>
        <w:spacing w:after="0"/>
        <w:rPr>
          <w:sz w:val="20"/>
          <w:szCs w:val="20"/>
          <w:color w:val="auto"/>
        </w:rPr>
      </w:pPr>
      <w:r>
        <w:rPr>
          <w:rFonts w:ascii="Arial" w:cs="Arial" w:eastAsia="Arial" w:hAnsi="Arial"/>
          <w:sz w:val="22"/>
          <w:szCs w:val="22"/>
          <w:color w:val="auto"/>
        </w:rPr>
        <w:t>Our sponsor and our officers and directors are deemed to be our “promoters” as such term is defined under the federal securities laws. See “Item 13. Certain Relationships and Related Transactions, and Director Independence” for additional information regarding our relationships with our promoters.</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Transfers of Founder Shares and Private Placement Warrants</w:t>
      </w:r>
    </w:p>
    <w:p>
      <w:pPr>
        <w:spacing w:after="0" w:line="239" w:lineRule="exact"/>
        <w:rPr>
          <w:sz w:val="20"/>
          <w:szCs w:val="20"/>
          <w:color w:val="auto"/>
        </w:rPr>
      </w:pPr>
    </w:p>
    <w:p>
      <w:pPr>
        <w:ind w:firstLine="324"/>
        <w:spacing w:after="0" w:line="269" w:lineRule="auto"/>
        <w:rPr>
          <w:sz w:val="20"/>
          <w:szCs w:val="20"/>
          <w:color w:val="auto"/>
        </w:rPr>
      </w:pPr>
      <w:r>
        <w:rPr>
          <w:rFonts w:ascii="Arial" w:cs="Arial" w:eastAsia="Arial" w:hAnsi="Arial"/>
          <w:sz w:val="19"/>
          <w:szCs w:val="19"/>
          <w:color w:val="auto"/>
        </w:rPr>
        <w:t>The founder shares, private placement warrants and any Class A ordinary shares issued upon conversion or exercise thereof are each subject to transfer restrictions pursuant to lock-up provisions in the letter agreement with us to be entered into by our initial shareholders. Those lock-up provisions provide that such securities are not transferable or salable (1) in the case of the founder shares, until the earlier of (A) one year after the completion of our initial business combination or (B) subsequent to our initial business combination, (x) if the last reported sale price of the Class A ordinary shares equals or exceeds $12.00 per share (as adjusted for share splits, share dividends, rights issuances, subdivisions, reorganizations, recapitalizations and the like) for any 20 trading days within any 30-trading day period commencing at least 150 days after our initial business combination, or (y) the date following the completion of our initial business combination on which we complete a liquidation, merger, amalgamation, share exchange, reorganization or other similar transaction that results in all of our shareholders having the right to exchange their Class A ordinary shares for cash, securities or other property, and (2) in the case of the private placement warrants and the respective Class A ordinary shares underlying such warrants, until 30 days after the completion of our initial business combination, except in each case (a) to our officers or directors, any affiliates or family members of any of our officers or directors, any members of our sponsor, or any affiliates of our sponsor, (b) in the case of an individual, by gift to a member of the individual’s immediate family or to a trust, the beneficiary of which is a member of the individual’s immediate family or an affiliate of such person, or to a charitable organization; (c) in the case of an individual, by virtue of laws of descent and distribution upon death of the individual; (d) in the case of an individual, pursuant to a qualified domestic relations order; (e) by private sales or transfers made in connection with the consummation of a business combination at prices no greater than the price at which the securities were originally purchased; (f) in the event of our liquidation prior to our completion of our initial business combination; (g) by virtue of the laws of Delaware or our sponsor’s limited liability company agreement, as amended, upon dissolution of our sponsor; or (h) in the event of our completion of a liquidation, merger, amalgamation, share exchange, reorganization or other similar transaction which results in all of our shareholders having the right to exchange their Class A ordinary shares for cash, securities or other property subsequent to our completion of our initial business combination; provided, however, that in the case of clauses (a) through (e) and (g) these permitted transferees must enter into a written agreement agreeing to be bound by these transfer restrictions.</w:t>
      </w:r>
    </w:p>
    <w:p>
      <w:pPr>
        <w:sectPr>
          <w:pgSz w:w="11900" w:h="16838" w:orient="portrait"/>
          <w:cols w:equalWidth="0" w:num="1">
            <w:col w:w="11240"/>
          </w:cols>
          <w:pgMar w:left="320" w:top="121" w:right="339" w:bottom="113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138" w:gutter="0" w:footer="0" w:header="0"/>
          <w:type w:val="continuous"/>
        </w:sectPr>
      </w:pPr>
    </w:p>
    <w:bookmarkStart w:id="82" w:name="page83"/>
    <w:bookmarkEnd w:id="82"/>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Registration Rights</w:t>
      </w:r>
    </w:p>
    <w:p>
      <w:pPr>
        <w:spacing w:after="0" w:line="239" w:lineRule="exact"/>
        <w:rPr>
          <w:sz w:val="20"/>
          <w:szCs w:val="20"/>
          <w:color w:val="auto"/>
        </w:rPr>
      </w:pPr>
    </w:p>
    <w:p>
      <w:pPr>
        <w:ind w:right="20" w:firstLine="324"/>
        <w:spacing w:after="0" w:line="235" w:lineRule="auto"/>
        <w:rPr>
          <w:sz w:val="20"/>
          <w:szCs w:val="20"/>
          <w:color w:val="auto"/>
        </w:rPr>
      </w:pPr>
      <w:r>
        <w:rPr>
          <w:rFonts w:ascii="Arial" w:cs="Arial" w:eastAsia="Arial" w:hAnsi="Arial"/>
          <w:sz w:val="22"/>
          <w:szCs w:val="22"/>
          <w:color w:val="auto"/>
        </w:rPr>
        <w:t>The holders of the founder shares, private placement warrants and any warrants that may be issued on conversion of working capital loans (and any ordinary shares issuable upon the exercise of the private placement warrants or warrants issued upon conversion of the working capital loans and upon conversion of the founder shares) are entitled to registration rights pursuant to a registration rights agreement signed on the effective date of our initial public offering requiring us to register such securities for resale. The holders of these securities will be entitled to make up to three demands, excluding short form registration demands, that we register such securities.</w:t>
      </w:r>
    </w:p>
    <w:p>
      <w:pPr>
        <w:spacing w:after="0" w:line="215" w:lineRule="exact"/>
        <w:rPr>
          <w:sz w:val="20"/>
          <w:szCs w:val="20"/>
          <w:color w:val="auto"/>
        </w:rPr>
      </w:pPr>
    </w:p>
    <w:p>
      <w:pPr>
        <w:ind w:firstLine="324"/>
        <w:spacing w:after="0" w:line="272" w:lineRule="auto"/>
        <w:rPr>
          <w:sz w:val="20"/>
          <w:szCs w:val="20"/>
          <w:color w:val="auto"/>
        </w:rPr>
      </w:pPr>
      <w:r>
        <w:rPr>
          <w:rFonts w:ascii="Arial" w:cs="Arial" w:eastAsia="Arial" w:hAnsi="Arial"/>
          <w:sz w:val="19"/>
          <w:szCs w:val="19"/>
          <w:color w:val="auto"/>
        </w:rPr>
        <w:t>In addition, the holders have certain “piggy-back” registration rights with respect to registration statements filed subsequent to our completion of our initial business combination and rights to require us to register for resale such securities pursuant to Rule 415 under the Securities Act. However, the registration rights agreement provides that we will not permit any registration statement filed under the Securities Act to become effective until termination of the applicable lock-up period, which occurs (1) in the case of the founder shares, on the earlier of (A) one year after the completion of our initial business combination or (B) subsequent to our initial business combination, (x) if the last reported sale price of Class A ordinary shares equals or exceeds $12.00 per share (as adjusted for share splits, share dividends, rights issuances, subdivisions, reorganizations, recapitalizations and the like) for any 20 trading days within any 30-trading day period commencing at least 150 days after our initial business combination, or (y) the date following the completion of our initial business combination on which we complete a liquidation, merger, amalgamation, share exchange, reorganization or other similar transaction that results in all of our public shareholders having the right to exchange their Class A ordinary shares for cash, securities or other property, and (2) in the case of the private placement warrants and the respective Class A ordinary shares underlying such warrants, 30 days after the completion of our initial business combination. We will bear the expenses incurred in connection with the filing of any such registration statements.</w:t>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Equity Compensation Plans</w:t>
      </w:r>
    </w:p>
    <w:p>
      <w:pPr>
        <w:spacing w:after="0" w:line="239" w:lineRule="exact"/>
        <w:rPr>
          <w:sz w:val="20"/>
          <w:szCs w:val="20"/>
          <w:color w:val="auto"/>
        </w:rPr>
      </w:pPr>
    </w:p>
    <w:p>
      <w:pPr>
        <w:ind w:right="380" w:firstLine="324"/>
        <w:spacing w:after="0" w:line="250" w:lineRule="auto"/>
        <w:rPr>
          <w:sz w:val="20"/>
          <w:szCs w:val="20"/>
          <w:color w:val="auto"/>
        </w:rPr>
      </w:pPr>
      <w:r>
        <w:rPr>
          <w:rFonts w:ascii="Arial" w:cs="Arial" w:eastAsia="Arial" w:hAnsi="Arial"/>
          <w:sz w:val="22"/>
          <w:szCs w:val="22"/>
          <w:color w:val="auto"/>
        </w:rPr>
        <w:t>As of December 31, 2019, we had no compensation plans (including individual compensation arrangements) under which equity securities were authorized for issuance.</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13. Certain Relationships and Related Transactions, and Director Independence</w:t>
      </w:r>
    </w:p>
    <w:p>
      <w:pPr>
        <w:spacing w:after="0" w:line="239" w:lineRule="exact"/>
        <w:rPr>
          <w:sz w:val="20"/>
          <w:szCs w:val="20"/>
          <w:color w:val="auto"/>
        </w:rPr>
      </w:pPr>
    </w:p>
    <w:p>
      <w:pPr>
        <w:ind w:right="160" w:firstLine="324"/>
        <w:spacing w:after="0" w:line="248" w:lineRule="auto"/>
        <w:rPr>
          <w:sz w:val="20"/>
          <w:szCs w:val="20"/>
          <w:color w:val="auto"/>
        </w:rPr>
      </w:pPr>
      <w:r>
        <w:rPr>
          <w:rFonts w:ascii="Arial" w:cs="Arial" w:eastAsia="Arial" w:hAnsi="Arial"/>
          <w:sz w:val="21"/>
          <w:szCs w:val="21"/>
          <w:color w:val="auto"/>
        </w:rPr>
        <w:t>In June 2019, our sponsor purchased 7,187,500 founder shares for an aggregate purchase price of $25,000, or $0.004 per share. On September 23, 2019, in connection with the expiration of the underwriter’s over-allotment option, our sponsor surrendered 937,500 founder shares. As a result, our sponsor now owns 6,250,000 founder shares. In connection with closing of our initial public offering, our sponsor granted sponsor LLC equity interests to our independent directors that collectively comprise approximately 1% of the outstanding equity interests in our sponsor. Our initial shareholders collectively own 20% of our issued and outstanding shares as of our initial public offering.</w:t>
      </w:r>
    </w:p>
    <w:p>
      <w:pPr>
        <w:spacing w:after="0" w:line="204" w:lineRule="exact"/>
        <w:rPr>
          <w:sz w:val="20"/>
          <w:szCs w:val="20"/>
          <w:color w:val="auto"/>
        </w:rPr>
      </w:pPr>
    </w:p>
    <w:p>
      <w:pPr>
        <w:ind w:right="20" w:firstLine="324"/>
        <w:spacing w:after="0" w:line="235" w:lineRule="auto"/>
        <w:rPr>
          <w:sz w:val="20"/>
          <w:szCs w:val="20"/>
          <w:color w:val="auto"/>
        </w:rPr>
      </w:pPr>
      <w:r>
        <w:rPr>
          <w:rFonts w:ascii="Arial" w:cs="Arial" w:eastAsia="Arial" w:hAnsi="Arial"/>
          <w:sz w:val="22"/>
          <w:szCs w:val="22"/>
          <w:color w:val="auto"/>
        </w:rPr>
        <w:t>Our sponsor purchased an aggregate of 7,000,000 private placement warrants for a purchase price of $1.00 per warrant in a private placement simultaneously with the closing of our initial public offering. Each private placement warrant may be exercised for one Class A ordinary share at a price of $11.50 per share, subject to adjustment as provided herein. The private placement warrants (including the Class A ordinary shares issuable upon exercise of the private placement warrants) may not, subject to certain limited exceptions, be transferred, assigned or sold by it until 30 days after the completion of our initial business combination.</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3" w:name="page84"/>
    <w:bookmarkEnd w:id="83"/>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ind w:right="20" w:firstLine="324"/>
        <w:spacing w:after="0" w:line="234" w:lineRule="auto"/>
        <w:rPr>
          <w:sz w:val="20"/>
          <w:szCs w:val="20"/>
          <w:color w:val="auto"/>
        </w:rPr>
      </w:pPr>
      <w:r>
        <w:rPr>
          <w:rFonts w:ascii="Arial" w:cs="Arial" w:eastAsia="Arial" w:hAnsi="Arial"/>
          <w:sz w:val="22"/>
          <w:szCs w:val="22"/>
          <w:color w:val="auto"/>
        </w:rPr>
        <w:t>As more fully discussed in “Item 10. Directors, Executive Officers and Corporate Governance —Conflicts of Interest,” if any of our officers or directors becomes aware of a business combination opportunity that falls within the line of business of any entity to which he or she has then-current fiduciary or contractual obligations, he or she may be required to present such business combination opportunity to such entity prior to presenting such business combination opportunity to us. Certain of our officers and directors presently have, and any of them in the future may have, additional, fiduciary or contractual obligations to other entities pursuant to which such officer or director is or will be required to present a business combination opportunity to such entity.</w:t>
      </w:r>
    </w:p>
    <w:p>
      <w:pPr>
        <w:spacing w:after="0" w:line="218" w:lineRule="exact"/>
        <w:rPr>
          <w:sz w:val="20"/>
          <w:szCs w:val="20"/>
          <w:color w:val="auto"/>
        </w:rPr>
      </w:pPr>
    </w:p>
    <w:p>
      <w:pPr>
        <w:ind w:firstLine="324"/>
        <w:spacing w:after="0" w:line="282" w:lineRule="auto"/>
        <w:rPr>
          <w:sz w:val="20"/>
          <w:szCs w:val="20"/>
          <w:color w:val="auto"/>
        </w:rPr>
      </w:pPr>
      <w:r>
        <w:rPr>
          <w:rFonts w:ascii="Arial" w:cs="Arial" w:eastAsia="Arial" w:hAnsi="Arial"/>
          <w:sz w:val="19"/>
          <w:szCs w:val="19"/>
          <w:color w:val="auto"/>
        </w:rPr>
        <w:t>We will enter into an Administrative Services Agreement pursuant to which we pay our sponsor up to $20,000 per month for office space, administrative and support services. Upon completion of our initial business combination or our liquidation, we will cease paying any of these monthly fees. Accordingly, in the event the consummation of our initial business combination takes the maximum 18 months, our sponsor will be paid an aggregate of up to $360,000 ($20,000) per month for office space, administrative and support services and will be entitled to be reimbursed for any out-of-pocket expenses.</w:t>
      </w:r>
    </w:p>
    <w:p>
      <w:pPr>
        <w:spacing w:after="0" w:line="174" w:lineRule="exact"/>
        <w:rPr>
          <w:sz w:val="20"/>
          <w:szCs w:val="20"/>
          <w:color w:val="auto"/>
        </w:rPr>
      </w:pPr>
    </w:p>
    <w:p>
      <w:pPr>
        <w:ind w:right="160" w:firstLine="324"/>
        <w:spacing w:after="0" w:line="248" w:lineRule="auto"/>
        <w:rPr>
          <w:sz w:val="20"/>
          <w:szCs w:val="20"/>
          <w:color w:val="auto"/>
        </w:rPr>
      </w:pPr>
      <w:r>
        <w:rPr>
          <w:rFonts w:ascii="Arial" w:cs="Arial" w:eastAsia="Arial" w:hAnsi="Arial"/>
          <w:sz w:val="21"/>
          <w:szCs w:val="21"/>
          <w:color w:val="auto"/>
        </w:rPr>
        <w:t>Our sponsor, officers and directors, or any of their respective affiliates, will be reimbursed for any out-of-pocket expenses incurred in connection with activities on our behalf such as identifying potential target businesses and performing due diligence on suitable business combinations. Our audit committee will review on a quarterly basis all payments that were made to our sponsor, officers, directors or our or any of their affiliates and will determine which expenses and the amount of expenses that will be reimbursed. There is no cap or ceiling on the reimbursement of out-of-pocket expenses incurred by such persons in connection with activities on our behalf.</w:t>
      </w:r>
    </w:p>
    <w:p>
      <w:pPr>
        <w:spacing w:after="0" w:line="204" w:lineRule="exact"/>
        <w:rPr>
          <w:sz w:val="20"/>
          <w:szCs w:val="20"/>
          <w:color w:val="auto"/>
        </w:rPr>
      </w:pPr>
    </w:p>
    <w:p>
      <w:pPr>
        <w:ind w:right="60" w:firstLine="324"/>
        <w:spacing w:after="0" w:line="249" w:lineRule="auto"/>
        <w:rPr>
          <w:sz w:val="20"/>
          <w:szCs w:val="20"/>
          <w:color w:val="auto"/>
        </w:rPr>
      </w:pPr>
      <w:r>
        <w:rPr>
          <w:rFonts w:ascii="Arial" w:cs="Arial" w:eastAsia="Arial" w:hAnsi="Arial"/>
          <w:sz w:val="21"/>
          <w:szCs w:val="21"/>
          <w:color w:val="auto"/>
        </w:rPr>
        <w:t>Our sponsor agreed to loan us up to $250,000 under an unsecured promissory note to be used for a portion of the expenses of our initial public offering. These loans were non-interest bearing and unsecured, and were repaid upon completion of the initial public offering out of the $1,000,000 of offering proceeds that had been allocated for the payment of offering expenses (other than underwriting commissions) not held in the trust account. The value of our sponsor’s interest in this loan transaction corresponded to the principal amount outstanding under any such loan.</w:t>
      </w:r>
    </w:p>
    <w:p>
      <w:pPr>
        <w:spacing w:after="0" w:line="205" w:lineRule="exact"/>
        <w:rPr>
          <w:sz w:val="20"/>
          <w:szCs w:val="20"/>
          <w:color w:val="auto"/>
        </w:rPr>
      </w:pPr>
    </w:p>
    <w:p>
      <w:pPr>
        <w:ind w:firstLine="324"/>
        <w:spacing w:after="0" w:line="275" w:lineRule="auto"/>
        <w:rPr>
          <w:sz w:val="20"/>
          <w:szCs w:val="20"/>
          <w:color w:val="auto"/>
        </w:rPr>
      </w:pPr>
      <w:r>
        <w:rPr>
          <w:rFonts w:ascii="Arial" w:cs="Arial" w:eastAsia="Arial" w:hAnsi="Arial"/>
          <w:sz w:val="19"/>
          <w:szCs w:val="19"/>
          <w:color w:val="auto"/>
        </w:rPr>
        <w:t>In addition, in order to finance transaction costs in connection with an intended initial business combination, our sponsor or an affiliate of our sponsor or certain of our officers and directors may, but are not obligated to, loan us funds as may be required. Any such loans may be repaid only from funds held outside the trust account or from funds released to us upon completion of our initial business combination. Up to $1,500,000 of such loans may be convertible into warrants at a price of $1.00 per warrant at the option of the lender. The warrants would be identical to the private placement warrants issued to our sponsor. The terms of such loans, if any, have not been determined and no written agreements exist with respect to such loans. We do not expect to seek loans from parties other than our sponsor or an affiliate of our sponsor as we do not believe third parties will be willing to loan such funds and provide a waiver against any and all rights to seek access to funds in our trust account.</w:t>
      </w:r>
    </w:p>
    <w:p>
      <w:pPr>
        <w:spacing w:after="0" w:line="184" w:lineRule="exact"/>
        <w:rPr>
          <w:sz w:val="20"/>
          <w:szCs w:val="20"/>
          <w:color w:val="auto"/>
        </w:rPr>
      </w:pPr>
    </w:p>
    <w:p>
      <w:pPr>
        <w:ind w:right="20" w:firstLine="324"/>
        <w:spacing w:after="0" w:line="248" w:lineRule="auto"/>
        <w:rPr>
          <w:sz w:val="20"/>
          <w:szCs w:val="20"/>
          <w:color w:val="auto"/>
        </w:rPr>
      </w:pPr>
      <w:r>
        <w:rPr>
          <w:rFonts w:ascii="Arial" w:cs="Arial" w:eastAsia="Arial" w:hAnsi="Arial"/>
          <w:sz w:val="21"/>
          <w:szCs w:val="21"/>
          <w:color w:val="auto"/>
        </w:rPr>
        <w:t>After our initial business combination, members of our management team who remain with us may be paid consulting, management or other fees from the combined company with any and all amounts being fully disclosed to our shareholders, to the extent then known, in the tender offer or proxy solicitation materials, as applicable, furnished to our shareholders. It is unlikely the amount of such compensation will be known at the time of distribution of such tender offer materials or at the time of a shareholder meeting held to consider our initial business combination, as applicable, as it will be up to the directors of the post-combination business to determine executive and director compensation.</w:t>
      </w:r>
    </w:p>
    <w:p>
      <w:pPr>
        <w:spacing w:after="0" w:line="204" w:lineRule="exact"/>
        <w:rPr>
          <w:sz w:val="20"/>
          <w:szCs w:val="20"/>
          <w:color w:val="auto"/>
        </w:rPr>
      </w:pPr>
    </w:p>
    <w:p>
      <w:pPr>
        <w:jc w:val="both"/>
        <w:ind w:right="560" w:firstLine="324"/>
        <w:spacing w:after="0" w:line="297" w:lineRule="auto"/>
        <w:rPr>
          <w:sz w:val="20"/>
          <w:szCs w:val="20"/>
          <w:color w:val="auto"/>
        </w:rPr>
      </w:pPr>
      <w:r>
        <w:rPr>
          <w:rFonts w:ascii="Arial" w:cs="Arial" w:eastAsia="Arial" w:hAnsi="Arial"/>
          <w:sz w:val="19"/>
          <w:szCs w:val="19"/>
          <w:color w:val="auto"/>
        </w:rPr>
        <w:t>We have entered into a registration rights agreement with respect to the founder shares, private placement warrants and warrants issued upon conversion of working capital loans (if any), which is described under the heading “Item 12. Security Ownership of Certain Beneficial Owners and Management and Related Stockholder Matters—Registration Rights.”</w:t>
      </w:r>
    </w:p>
    <w:p>
      <w:pPr>
        <w:spacing w:after="0" w:line="15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Related Party Policy</w:t>
      </w:r>
    </w:p>
    <w:p>
      <w:pPr>
        <w:spacing w:after="0" w:line="239" w:lineRule="exact"/>
        <w:rPr>
          <w:sz w:val="20"/>
          <w:szCs w:val="20"/>
          <w:color w:val="auto"/>
        </w:rPr>
      </w:pPr>
    </w:p>
    <w:p>
      <w:pPr>
        <w:ind w:right="120" w:firstLine="324"/>
        <w:spacing w:after="0" w:line="287" w:lineRule="auto"/>
        <w:rPr>
          <w:sz w:val="20"/>
          <w:szCs w:val="20"/>
          <w:color w:val="auto"/>
        </w:rPr>
      </w:pPr>
      <w:r>
        <w:rPr>
          <w:rFonts w:ascii="Arial" w:cs="Arial" w:eastAsia="Arial" w:hAnsi="Arial"/>
          <w:sz w:val="19"/>
          <w:szCs w:val="19"/>
          <w:color w:val="auto"/>
        </w:rPr>
        <w:t>We adopted our Code of Ethics requiring us to avoid, wherever possible, all conflicts of interests, except under guidelines or resolutions approved by our board of directors (or the appropriate committee of our board) or as disclosed in our public filings with the SEC. Under our Code of Ethics, conflict of interest situations include any financial transaction, arrangement or relationship (including any indebtedness or guarantee of indebtedness) involving the company.</w:t>
      </w:r>
    </w:p>
    <w:p>
      <w:pPr>
        <w:sectPr>
          <w:pgSz w:w="11900" w:h="16838" w:orient="portrait"/>
          <w:cols w:equalWidth="0" w:num="1">
            <w:col w:w="11200"/>
          </w:cols>
          <w:pgMar w:left="320" w:top="121" w:right="379" w:bottom="1440" w:gutter="0" w:footer="0" w:header="0"/>
        </w:sectPr>
      </w:pPr>
    </w:p>
    <w:p>
      <w:pPr>
        <w:spacing w:after="0" w:line="362" w:lineRule="exact"/>
        <w:rPr>
          <w:sz w:val="20"/>
          <w:szCs w:val="20"/>
          <w:color w:val="auto"/>
        </w:rPr>
      </w:pPr>
    </w:p>
    <w:p>
      <w:pPr>
        <w:jc w:val="center"/>
        <w:ind w:right="-59"/>
        <w:spacing w:after="0"/>
        <w:rPr>
          <w:sz w:val="20"/>
          <w:szCs w:val="20"/>
          <w:color w:val="auto"/>
        </w:rPr>
      </w:pPr>
      <w:r>
        <w:rPr>
          <w:rFonts w:ascii="Arial" w:cs="Arial" w:eastAsia="Arial" w:hAnsi="Arial"/>
          <w:sz w:val="12"/>
          <w:szCs w:val="12"/>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type w:val="continuous"/>
        </w:sectPr>
      </w:pPr>
    </w:p>
    <w:bookmarkStart w:id="84" w:name="page85"/>
    <w:bookmarkEnd w:id="84"/>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ind w:firstLine="324"/>
        <w:spacing w:after="0" w:line="279" w:lineRule="auto"/>
        <w:rPr>
          <w:sz w:val="20"/>
          <w:szCs w:val="20"/>
          <w:color w:val="auto"/>
        </w:rPr>
      </w:pPr>
      <w:r>
        <w:rPr>
          <w:rFonts w:ascii="Arial" w:cs="Arial" w:eastAsia="Arial" w:hAnsi="Arial"/>
          <w:sz w:val="19"/>
          <w:szCs w:val="19"/>
          <w:color w:val="auto"/>
        </w:rPr>
        <w:t>In addition, our audit committee, pursuant to a written charter is responsible for reviewing and approving related party transactions to the extent that we enter into such transactions. An affirmative vote of a majority of the members of the audit committee present at a meeting at which a quorum is present is required in order to approve a related party transaction. A majority of the members of the entire audit committee constitutes a quorum. Without a meeting, the unanimous written consent of all of the members of the audit committee is required to approve a related party transaction. Our audit committee reviews on a quarterly basis all payments that were made to our sponsor, officers or directors, or our or any of their affiliates.</w:t>
      </w:r>
    </w:p>
    <w:p>
      <w:pPr>
        <w:spacing w:after="0" w:line="177" w:lineRule="exact"/>
        <w:rPr>
          <w:sz w:val="20"/>
          <w:szCs w:val="20"/>
          <w:color w:val="auto"/>
        </w:rPr>
      </w:pPr>
    </w:p>
    <w:p>
      <w:pPr>
        <w:ind w:right="320" w:firstLine="324"/>
        <w:spacing w:after="0" w:line="245" w:lineRule="auto"/>
        <w:rPr>
          <w:sz w:val="20"/>
          <w:szCs w:val="20"/>
          <w:color w:val="auto"/>
        </w:rPr>
      </w:pPr>
      <w:r>
        <w:rPr>
          <w:rFonts w:ascii="Arial" w:cs="Arial" w:eastAsia="Arial" w:hAnsi="Arial"/>
          <w:sz w:val="21"/>
          <w:szCs w:val="21"/>
          <w:color w:val="auto"/>
        </w:rPr>
        <w:t>On August 7, 2019 we adopted a formal written policy for the review, approval or ratification of related party transactions. Our policy covers transactions in which any director or executive officer, immediate family member of a director or executive officer, any nominee for director and immediate family member of such nominee and 5% beneficial owner of the Company or immediate family of such owner have a direct or indirect material interest as determined by our audit committee. The audit committee considers all relevant facts and circumstances, including without limitation the commercial reasonableness of the terms, the benefit and perceived benefit, or lack thereof, to the Company, opportunity costs of alternate transactions, the materiality and character of the related person’s direct or indirect interest, and the actual or apparent conflict of interest of the related person. The audit committee will not approve or ratify a related party transaction unless it shall have determined that, upon consideration of all relevant information, the transaction is in, or not inconsistent with, the best interests of the Company and its stockholders.</w:t>
      </w:r>
    </w:p>
    <w:p>
      <w:pPr>
        <w:spacing w:after="0" w:line="208" w:lineRule="exact"/>
        <w:rPr>
          <w:sz w:val="20"/>
          <w:szCs w:val="20"/>
          <w:color w:val="auto"/>
        </w:rPr>
      </w:pPr>
    </w:p>
    <w:p>
      <w:pPr>
        <w:ind w:right="60" w:firstLine="324"/>
        <w:spacing w:after="0" w:line="250" w:lineRule="auto"/>
        <w:rPr>
          <w:sz w:val="20"/>
          <w:szCs w:val="20"/>
          <w:color w:val="auto"/>
        </w:rPr>
      </w:pPr>
      <w:r>
        <w:rPr>
          <w:rFonts w:ascii="Arial" w:cs="Arial" w:eastAsia="Arial" w:hAnsi="Arial"/>
          <w:sz w:val="22"/>
          <w:szCs w:val="22"/>
          <w:color w:val="auto"/>
        </w:rPr>
        <w:t>These procedures are intended to determine whether any such related party transaction impairs the independence of a director or presents a conflict of interest on the part of a director, employee or officer.</w:t>
      </w:r>
    </w:p>
    <w:p>
      <w:pPr>
        <w:spacing w:after="0" w:line="202" w:lineRule="exact"/>
        <w:rPr>
          <w:sz w:val="20"/>
          <w:szCs w:val="20"/>
          <w:color w:val="auto"/>
        </w:rPr>
      </w:pPr>
    </w:p>
    <w:p>
      <w:pPr>
        <w:ind w:right="320" w:firstLine="324"/>
        <w:spacing w:after="0" w:line="252" w:lineRule="auto"/>
        <w:rPr>
          <w:sz w:val="20"/>
          <w:szCs w:val="20"/>
          <w:color w:val="auto"/>
        </w:rPr>
      </w:pPr>
      <w:r>
        <w:rPr>
          <w:rFonts w:ascii="Arial" w:cs="Arial" w:eastAsia="Arial" w:hAnsi="Arial"/>
          <w:sz w:val="21"/>
          <w:szCs w:val="21"/>
          <w:color w:val="auto"/>
        </w:rPr>
        <w:t>To further minimize conflicts of interest, we have agreed not to consummate an initial business combination with an entity that is affiliated with any of our sponsor, officers or directors unless we, or a committee of independent and disinterested directors, have obtained an opinion from an independent investment banking firm or an independent accounting firm that our initial business combination is fair to our company from a financial point of view.</w:t>
      </w:r>
    </w:p>
    <w:p>
      <w:pPr>
        <w:spacing w:after="0" w:line="201" w:lineRule="exact"/>
        <w:rPr>
          <w:sz w:val="20"/>
          <w:szCs w:val="20"/>
          <w:color w:val="auto"/>
        </w:rPr>
      </w:pPr>
    </w:p>
    <w:p>
      <w:pPr>
        <w:ind w:right="120" w:firstLine="324"/>
        <w:spacing w:after="0" w:line="287" w:lineRule="auto"/>
        <w:rPr>
          <w:sz w:val="20"/>
          <w:szCs w:val="20"/>
          <w:color w:val="auto"/>
        </w:rPr>
      </w:pPr>
      <w:r>
        <w:rPr>
          <w:rFonts w:ascii="Arial" w:cs="Arial" w:eastAsia="Arial" w:hAnsi="Arial"/>
          <w:sz w:val="19"/>
          <w:szCs w:val="19"/>
          <w:color w:val="auto"/>
        </w:rPr>
        <w:t>Furthermore, no finder’s fees, reimbursements or cash payments will be made by us to our sponsor, officers or directors, or our or any of their affiliates, for services rendered to us prior to or in connection with the completion of our initial business combination, other than the following payments, none of which will be made from the proceeds of our initial public offering and the sale of the private placement warrants held in the trust account prior to the completion of our initial business combination:</w:t>
      </w:r>
    </w:p>
    <w:p>
      <w:pPr>
        <w:spacing w:after="0" w:line="177" w:lineRule="exact"/>
        <w:rPr>
          <w:sz w:val="20"/>
          <w:szCs w:val="20"/>
          <w:color w:val="auto"/>
        </w:rPr>
      </w:pPr>
    </w:p>
    <w:p>
      <w:pPr>
        <w:ind w:left="660" w:hanging="328"/>
        <w:spacing w:after="0"/>
        <w:tabs>
          <w:tab w:leader="none" w:pos="6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Repayment of an aggregate of up to $250,000 in loans made to us by our sponsor to cover offering-related and organizational expenses;</w:t>
      </w:r>
    </w:p>
    <w:p>
      <w:pPr>
        <w:spacing w:after="0" w:line="263" w:lineRule="exact"/>
        <w:rPr>
          <w:rFonts w:ascii="Arial" w:cs="Arial" w:eastAsia="Arial" w:hAnsi="Arial"/>
          <w:sz w:val="17"/>
          <w:szCs w:val="17"/>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Payment to our sponsor of up to $20,000 per month for office space, administrative and support services;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Reimbursement for any out-of-pocket expenses related to identifying, investigating and completing an initial business combination; and</w:t>
      </w:r>
    </w:p>
    <w:p>
      <w:pPr>
        <w:spacing w:after="0" w:line="263" w:lineRule="exact"/>
        <w:rPr>
          <w:rFonts w:ascii="Arial" w:cs="Arial" w:eastAsia="Arial" w:hAnsi="Arial"/>
          <w:sz w:val="17"/>
          <w:szCs w:val="17"/>
          <w:color w:val="auto"/>
        </w:rPr>
      </w:pPr>
    </w:p>
    <w:p>
      <w:pPr>
        <w:ind w:left="660" w:right="80" w:hanging="328"/>
        <w:spacing w:after="0" w:line="259"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Repayment of loans which may be made by our sponsor or an affiliate of our sponsor or certain of our officers and directors to finance transaction costs in connection with an intended initial business combination, the terms of which have not been determined nor have any written agreements been executed with respect thereto. Up to $1,500,000 of such loans may be convertible into warrants, at a price of $1.00 per warrant at the option of the lender.</w:t>
      </w:r>
    </w:p>
    <w:p>
      <w:pPr>
        <w:spacing w:after="0" w:line="206" w:lineRule="exact"/>
        <w:rPr>
          <w:sz w:val="20"/>
          <w:szCs w:val="20"/>
          <w:color w:val="auto"/>
        </w:rPr>
      </w:pPr>
    </w:p>
    <w:p>
      <w:pPr>
        <w:jc w:val="both"/>
        <w:ind w:right="100" w:firstLine="324"/>
        <w:spacing w:after="0"/>
        <w:rPr>
          <w:sz w:val="20"/>
          <w:szCs w:val="20"/>
          <w:color w:val="auto"/>
        </w:rPr>
      </w:pPr>
      <w:r>
        <w:rPr>
          <w:rFonts w:ascii="Arial" w:cs="Arial" w:eastAsia="Arial" w:hAnsi="Arial"/>
          <w:sz w:val="22"/>
          <w:szCs w:val="22"/>
          <w:color w:val="auto"/>
        </w:rPr>
        <w:t>The above payments may be funded using the net proceeds of our initial public offering and the sale of the private placement warrants not held in the trust account or, upon completion of the initial business combination, from any amounts remaining from the proceeds of the trust account released to us in connection therewith.</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5" w:name="page86"/>
    <w:bookmarkEnd w:id="85"/>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Director Independence</w:t>
      </w:r>
    </w:p>
    <w:p>
      <w:pPr>
        <w:spacing w:after="0" w:line="239" w:lineRule="exact"/>
        <w:rPr>
          <w:sz w:val="20"/>
          <w:szCs w:val="20"/>
          <w:color w:val="auto"/>
        </w:rPr>
      </w:pPr>
    </w:p>
    <w:p>
      <w:pPr>
        <w:ind w:right="160" w:firstLine="324"/>
        <w:spacing w:after="0" w:line="246" w:lineRule="auto"/>
        <w:rPr>
          <w:sz w:val="20"/>
          <w:szCs w:val="20"/>
          <w:color w:val="auto"/>
        </w:rPr>
      </w:pPr>
      <w:r>
        <w:rPr>
          <w:rFonts w:ascii="Arial" w:cs="Arial" w:eastAsia="Arial" w:hAnsi="Arial"/>
          <w:sz w:val="21"/>
          <w:szCs w:val="21"/>
          <w:color w:val="auto"/>
        </w:rPr>
        <w:t>Nasdaq listing standards require that a majority of our board of directors be independent within one year of our initial public offering. An “independent director” is defined generally as a person other than an officer or employee of the company or its subsidiaries or any other individual having a relationship which in the opinion of the company’s board of directors, would interfere with the director’s exercise of independent judgment in carrying out the responsibilities of a director. Our board of directors has determined that Orrin Devinsky, Richard Goldman and Kenneth Landis are “independent directors” as defined in the Nasdaq listing standards and applicable SEC rules. Our independent directors will have regularly scheduled meetings at which only independent directors are present.</w:t>
      </w:r>
    </w:p>
    <w:p>
      <w:pPr>
        <w:spacing w:after="0" w:line="214"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Principal Accounting Fees and Services</w:t>
      </w:r>
    </w:p>
    <w:p>
      <w:pPr>
        <w:spacing w:after="0" w:line="249" w:lineRule="exact"/>
        <w:rPr>
          <w:sz w:val="20"/>
          <w:szCs w:val="20"/>
          <w:color w:val="auto"/>
        </w:rPr>
      </w:pPr>
    </w:p>
    <w:p>
      <w:pPr>
        <w:ind w:left="340"/>
        <w:spacing w:after="0"/>
        <w:rPr>
          <w:sz w:val="20"/>
          <w:szCs w:val="20"/>
          <w:color w:val="auto"/>
        </w:rPr>
      </w:pPr>
      <w:r>
        <w:rPr>
          <w:rFonts w:ascii="Arial" w:cs="Arial" w:eastAsia="Arial" w:hAnsi="Arial"/>
          <w:sz w:val="22"/>
          <w:szCs w:val="22"/>
          <w:color w:val="auto"/>
        </w:rPr>
        <w:t>The following is a summary of fees paid or to be paid to Marcum LLP, or Marcum, for services rendered.</w:t>
      </w:r>
    </w:p>
    <w:p>
      <w:pPr>
        <w:spacing w:after="0" w:line="233" w:lineRule="exact"/>
        <w:rPr>
          <w:sz w:val="20"/>
          <w:szCs w:val="20"/>
          <w:color w:val="auto"/>
        </w:rPr>
      </w:pPr>
    </w:p>
    <w:p>
      <w:pPr>
        <w:ind w:right="40" w:firstLine="324"/>
        <w:spacing w:after="0" w:line="248" w:lineRule="auto"/>
        <w:rPr>
          <w:sz w:val="20"/>
          <w:szCs w:val="20"/>
          <w:color w:val="auto"/>
        </w:rPr>
      </w:pPr>
      <w:r>
        <w:rPr>
          <w:rFonts w:ascii="Arial" w:cs="Arial" w:eastAsia="Arial" w:hAnsi="Arial"/>
          <w:sz w:val="21"/>
          <w:szCs w:val="21"/>
          <w:i w:val="1"/>
          <w:iCs w:val="1"/>
          <w:color w:val="auto"/>
        </w:rPr>
        <w:t>Audit Fees</w:t>
      </w:r>
      <w:r>
        <w:rPr>
          <w:rFonts w:ascii="Arial" w:cs="Arial" w:eastAsia="Arial" w:hAnsi="Arial"/>
          <w:sz w:val="21"/>
          <w:szCs w:val="21"/>
          <w:color w:val="auto"/>
        </w:rPr>
        <w:t>. Audit fees consist of fees billed for professional services rendered for the audit of our year-end financial</w:t>
      </w:r>
      <w:r>
        <w:rPr>
          <w:rFonts w:ascii="Arial" w:cs="Arial" w:eastAsia="Arial" w:hAnsi="Arial"/>
          <w:sz w:val="21"/>
          <w:szCs w:val="21"/>
          <w:i w:val="1"/>
          <w:iCs w:val="1"/>
          <w:color w:val="auto"/>
        </w:rPr>
        <w:t xml:space="preserve"> </w:t>
      </w:r>
      <w:r>
        <w:rPr>
          <w:rFonts w:ascii="Arial" w:cs="Arial" w:eastAsia="Arial" w:hAnsi="Arial"/>
          <w:sz w:val="21"/>
          <w:szCs w:val="21"/>
          <w:color w:val="auto"/>
        </w:rPr>
        <w:t>statements and services that are normally provided by Marcum in connection with regulatory filings. The aggregate fees billed by Marcum for professional services rendered for the audit of our annual financial statements, review of the financial information included in our Forms 10-Q for the respective periods and other required filings with the SEC for the period from June 7, 2019 (inception) through December 31, 2019 totaled $67,820. The above amounts include interim procedures and audit fees, as well as attendance at audit committee meetings.</w:t>
      </w:r>
    </w:p>
    <w:p>
      <w:pPr>
        <w:spacing w:after="0" w:line="204" w:lineRule="exact"/>
        <w:rPr>
          <w:sz w:val="20"/>
          <w:szCs w:val="20"/>
          <w:color w:val="auto"/>
        </w:rPr>
      </w:pPr>
    </w:p>
    <w:p>
      <w:pPr>
        <w:ind w:right="60" w:firstLine="324"/>
        <w:spacing w:after="0" w:line="249" w:lineRule="auto"/>
        <w:rPr>
          <w:sz w:val="20"/>
          <w:szCs w:val="20"/>
          <w:color w:val="auto"/>
        </w:rPr>
      </w:pPr>
      <w:r>
        <w:rPr>
          <w:rFonts w:ascii="Arial" w:cs="Arial" w:eastAsia="Arial" w:hAnsi="Arial"/>
          <w:sz w:val="21"/>
          <w:szCs w:val="21"/>
          <w:i w:val="1"/>
          <w:iCs w:val="1"/>
          <w:color w:val="auto"/>
        </w:rPr>
        <w:t xml:space="preserve">Audit-Related Fees. </w:t>
      </w:r>
      <w:r>
        <w:rPr>
          <w:rFonts w:ascii="Arial" w:cs="Arial" w:eastAsia="Arial" w:hAnsi="Arial"/>
          <w:sz w:val="21"/>
          <w:szCs w:val="21"/>
          <w:color w:val="auto"/>
        </w:rPr>
        <w:t>Audit-related services consist of fees billed for assurance and related services that are reasonably related</w:t>
      </w:r>
      <w:r>
        <w:rPr>
          <w:rFonts w:ascii="Arial" w:cs="Arial" w:eastAsia="Arial" w:hAnsi="Arial"/>
          <w:sz w:val="21"/>
          <w:szCs w:val="21"/>
          <w:i w:val="1"/>
          <w:iCs w:val="1"/>
          <w:color w:val="auto"/>
        </w:rPr>
        <w:t xml:space="preserve"> </w:t>
      </w:r>
      <w:r>
        <w:rPr>
          <w:rFonts w:ascii="Arial" w:cs="Arial" w:eastAsia="Arial" w:hAnsi="Arial"/>
          <w:sz w:val="21"/>
          <w:szCs w:val="21"/>
          <w:color w:val="auto"/>
        </w:rPr>
        <w:t>to performance of the audit or review of our financial statements and are not reported under “Audit Fees.” These services include attest services that are not required by statute or regulation and consultations concerning financial accounting and reporting standards. We did not pay Marcum for consultations concerning financial accounting and reporting standards for the period from June 7, 2019 (inception) through December 31, 2019.</w:t>
      </w:r>
    </w:p>
    <w:p>
      <w:pPr>
        <w:spacing w:after="0" w:line="205" w:lineRule="exact"/>
        <w:rPr>
          <w:sz w:val="20"/>
          <w:szCs w:val="20"/>
          <w:color w:val="auto"/>
        </w:rPr>
      </w:pPr>
    </w:p>
    <w:p>
      <w:pPr>
        <w:ind w:right="620" w:firstLine="324"/>
        <w:spacing w:after="0" w:line="250" w:lineRule="auto"/>
        <w:rPr>
          <w:sz w:val="20"/>
          <w:szCs w:val="20"/>
          <w:color w:val="auto"/>
        </w:rPr>
      </w:pPr>
      <w:r>
        <w:rPr>
          <w:rFonts w:ascii="Arial" w:cs="Arial" w:eastAsia="Arial" w:hAnsi="Arial"/>
          <w:sz w:val="22"/>
          <w:szCs w:val="22"/>
          <w:i w:val="1"/>
          <w:iCs w:val="1"/>
          <w:color w:val="auto"/>
        </w:rPr>
        <w:t>Tax Fees</w:t>
      </w:r>
      <w:r>
        <w:rPr>
          <w:rFonts w:ascii="Arial" w:cs="Arial" w:eastAsia="Arial" w:hAnsi="Arial"/>
          <w:sz w:val="22"/>
          <w:szCs w:val="22"/>
          <w:color w:val="auto"/>
        </w:rPr>
        <w:t>. We did not pay Marcum for tax planning and tax advice for the period from June 7, 2019 (inception) through</w:t>
      </w:r>
      <w:r>
        <w:rPr>
          <w:rFonts w:ascii="Arial" w:cs="Arial" w:eastAsia="Arial" w:hAnsi="Arial"/>
          <w:sz w:val="22"/>
          <w:szCs w:val="22"/>
          <w:i w:val="1"/>
          <w:iCs w:val="1"/>
          <w:color w:val="auto"/>
        </w:rPr>
        <w:t xml:space="preserve"> </w:t>
      </w:r>
      <w:r>
        <w:rPr>
          <w:rFonts w:ascii="Arial" w:cs="Arial" w:eastAsia="Arial" w:hAnsi="Arial"/>
          <w:sz w:val="22"/>
          <w:szCs w:val="22"/>
          <w:color w:val="auto"/>
        </w:rPr>
        <w:t>December 31, 2019.</w:t>
      </w:r>
    </w:p>
    <w:p>
      <w:pPr>
        <w:spacing w:after="0" w:line="202" w:lineRule="exact"/>
        <w:rPr>
          <w:sz w:val="20"/>
          <w:szCs w:val="20"/>
          <w:color w:val="auto"/>
        </w:rPr>
      </w:pPr>
    </w:p>
    <w:p>
      <w:pPr>
        <w:ind w:right="40" w:firstLine="324"/>
        <w:spacing w:after="0" w:line="250" w:lineRule="auto"/>
        <w:rPr>
          <w:sz w:val="20"/>
          <w:szCs w:val="20"/>
          <w:color w:val="auto"/>
        </w:rPr>
      </w:pPr>
      <w:r>
        <w:rPr>
          <w:rFonts w:ascii="Arial" w:cs="Arial" w:eastAsia="Arial" w:hAnsi="Arial"/>
          <w:sz w:val="22"/>
          <w:szCs w:val="22"/>
          <w:i w:val="1"/>
          <w:iCs w:val="1"/>
          <w:color w:val="auto"/>
        </w:rPr>
        <w:t>All Other Fees</w:t>
      </w:r>
      <w:r>
        <w:rPr>
          <w:rFonts w:ascii="Arial" w:cs="Arial" w:eastAsia="Arial" w:hAnsi="Arial"/>
          <w:sz w:val="22"/>
          <w:szCs w:val="22"/>
          <w:color w:val="auto"/>
        </w:rPr>
        <w:t>. We did not pay Marcum for other services for the period from June 7, 2019 (inception) through December 31,</w:t>
      </w:r>
      <w:r>
        <w:rPr>
          <w:rFonts w:ascii="Arial" w:cs="Arial" w:eastAsia="Arial" w:hAnsi="Arial"/>
          <w:sz w:val="22"/>
          <w:szCs w:val="22"/>
          <w:i w:val="1"/>
          <w:iCs w:val="1"/>
          <w:color w:val="auto"/>
        </w:rPr>
        <w:t xml:space="preserve"> </w:t>
      </w:r>
      <w:r>
        <w:rPr>
          <w:rFonts w:ascii="Arial" w:cs="Arial" w:eastAsia="Arial" w:hAnsi="Arial"/>
          <w:sz w:val="22"/>
          <w:szCs w:val="22"/>
          <w:color w:val="auto"/>
        </w:rPr>
        <w:t>2019.</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Pre-Approval Policy</w:t>
      </w:r>
    </w:p>
    <w:p>
      <w:pPr>
        <w:spacing w:after="0" w:line="239" w:lineRule="exact"/>
        <w:rPr>
          <w:sz w:val="20"/>
          <w:szCs w:val="20"/>
          <w:color w:val="auto"/>
        </w:rPr>
      </w:pPr>
    </w:p>
    <w:p>
      <w:pPr>
        <w:ind w:right="60" w:firstLine="324"/>
        <w:spacing w:after="0" w:line="279" w:lineRule="auto"/>
        <w:rPr>
          <w:sz w:val="20"/>
          <w:szCs w:val="20"/>
          <w:color w:val="auto"/>
        </w:rPr>
      </w:pPr>
      <w:r>
        <w:rPr>
          <w:rFonts w:ascii="Arial" w:cs="Arial" w:eastAsia="Arial" w:hAnsi="Arial"/>
          <w:sz w:val="19"/>
          <w:szCs w:val="19"/>
          <w:color w:val="auto"/>
        </w:rPr>
        <w:t>Our audit committee was formed upon the consummation of our Initial Public Offering. As a result, the audit committee did not pre-approve all of the foregoing services, although any services rendered prior to the formation of our audit committee were approved by our board of directors. Since the formation of our audit committee, and on a going-forward basis, the audit committee has and will pre-approve all auditing services and permitted non-audit services to be performed for us by our auditors, including the fees and terms thereof (subject to the de minimis exceptions for non-audit services described in the Exchange Act which are approved by the audit committee prior to the completion of the audit).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PART IV</w:t>
      </w:r>
    </w:p>
    <w:p>
      <w:pPr>
        <w:spacing w:after="0" w:line="242"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15</w:t>
      </w:r>
      <w:r>
        <w:rPr>
          <w:rFonts w:ascii="Arial" w:cs="Arial" w:eastAsia="Arial" w:hAnsi="Arial"/>
          <w:sz w:val="18"/>
          <w:szCs w:val="18"/>
          <w:b w:val="1"/>
          <w:bCs w:val="1"/>
          <w:i w:val="1"/>
          <w:iCs w:val="1"/>
          <w:color w:val="auto"/>
        </w:rPr>
        <w:t>.</w:t>
      </w:r>
      <w:r>
        <w:rPr>
          <w:sz w:val="20"/>
          <w:szCs w:val="20"/>
          <w:color w:val="auto"/>
        </w:rPr>
        <w:tab/>
      </w:r>
      <w:r>
        <w:rPr>
          <w:rFonts w:ascii="Arial" w:cs="Arial" w:eastAsia="Arial" w:hAnsi="Arial"/>
          <w:sz w:val="16"/>
          <w:szCs w:val="16"/>
          <w:b w:val="1"/>
          <w:bCs w:val="1"/>
          <w:color w:val="auto"/>
        </w:rPr>
        <w:t>Exhibits, Financial Statement Schedules</w:t>
      </w:r>
    </w:p>
    <w:p>
      <w:pPr>
        <w:spacing w:after="0" w:line="256" w:lineRule="exact"/>
        <w:rPr>
          <w:sz w:val="20"/>
          <w:szCs w:val="20"/>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following documents are filed as part of this Form 10-K:</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1"/>
          <w:numId w:val="39"/>
        </w:numPr>
        <w:rPr>
          <w:rFonts w:ascii="Arial" w:cs="Arial" w:eastAsia="Arial" w:hAnsi="Arial"/>
          <w:sz w:val="18"/>
          <w:szCs w:val="18"/>
          <w:color w:val="auto"/>
        </w:rPr>
      </w:pPr>
      <w:r>
        <w:rPr>
          <w:rFonts w:ascii="Arial" w:cs="Arial" w:eastAsia="Arial" w:hAnsi="Arial"/>
          <w:sz w:val="18"/>
          <w:szCs w:val="18"/>
          <w:color w:val="auto"/>
        </w:rPr>
        <w:t>Financial Statements: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9960" w:type="dxa"/>
            <w:vAlign w:val="bottom"/>
            <w:tcBorders>
              <w:bottom w:val="single" w:sz="8" w:color="CCEEFF"/>
            </w:tcBorders>
          </w:tcPr>
          <w:p>
            <w:pPr>
              <w:spacing w:after="0"/>
              <w:rPr>
                <w:sz w:val="22"/>
                <w:szCs w:val="22"/>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3"/>
              </w:rPr>
              <w:t>Page</w:t>
            </w:r>
          </w:p>
        </w:tc>
      </w:tr>
      <w:tr>
        <w:trPr>
          <w:trHeight w:val="210"/>
        </w:trPr>
        <w:tc>
          <w:tcPr>
            <w:tcW w:w="9960" w:type="dxa"/>
            <w:vAlign w:val="bottom"/>
            <w:shd w:val="clear" w:color="auto" w:fill="CCEEFF"/>
          </w:tcPr>
          <w:p>
            <w:pPr>
              <w:spacing w:after="0"/>
              <w:rPr>
                <w:sz w:val="20"/>
                <w:szCs w:val="20"/>
                <w:color w:val="auto"/>
              </w:rPr>
            </w:pPr>
            <w:r>
              <w:rPr>
                <w:rFonts w:ascii="Arial" w:cs="Arial" w:eastAsia="Arial" w:hAnsi="Arial"/>
                <w:sz w:val="18"/>
                <w:szCs w:val="18"/>
                <w:color w:val="auto"/>
              </w:rPr>
              <w:t>Report of Independent Registered Public Accounting Firm</w:t>
            </w: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F-2</w:t>
            </w:r>
          </w:p>
        </w:tc>
      </w:tr>
      <w:tr>
        <w:trPr>
          <w:trHeight w:val="216"/>
        </w:trPr>
        <w:tc>
          <w:tcPr>
            <w:tcW w:w="9960" w:type="dxa"/>
            <w:vAlign w:val="bottom"/>
          </w:tcPr>
          <w:p>
            <w:pPr>
              <w:spacing w:after="0"/>
              <w:rPr>
                <w:sz w:val="20"/>
                <w:szCs w:val="20"/>
                <w:color w:val="auto"/>
              </w:rPr>
            </w:pPr>
            <w:r>
              <w:rPr>
                <w:rFonts w:ascii="Arial" w:cs="Arial" w:eastAsia="Arial" w:hAnsi="Arial"/>
                <w:sz w:val="18"/>
                <w:szCs w:val="18"/>
                <w:color w:val="auto"/>
              </w:rPr>
              <w:t>Balance Sheet</w:t>
            </w:r>
          </w:p>
        </w:tc>
        <w:tc>
          <w:tcPr>
            <w:tcW w:w="1280" w:type="dxa"/>
            <w:vAlign w:val="bottom"/>
          </w:tcPr>
          <w:p>
            <w:pPr>
              <w:jc w:val="center"/>
              <w:spacing w:after="0"/>
              <w:rPr>
                <w:sz w:val="20"/>
                <w:szCs w:val="20"/>
                <w:color w:val="auto"/>
              </w:rPr>
            </w:pPr>
            <w:r>
              <w:rPr>
                <w:rFonts w:ascii="Arial" w:cs="Arial" w:eastAsia="Arial" w:hAnsi="Arial"/>
                <w:sz w:val="18"/>
                <w:szCs w:val="18"/>
                <w:color w:val="auto"/>
                <w:w w:val="88"/>
              </w:rPr>
              <w:t>F-3</w:t>
            </w:r>
          </w:p>
        </w:tc>
      </w:tr>
      <w:tr>
        <w:trPr>
          <w:trHeight w:val="216"/>
        </w:trPr>
        <w:tc>
          <w:tcPr>
            <w:tcW w:w="9960" w:type="dxa"/>
            <w:vAlign w:val="bottom"/>
            <w:shd w:val="clear" w:color="auto" w:fill="CCEEFF"/>
          </w:tcPr>
          <w:p>
            <w:pPr>
              <w:spacing w:after="0"/>
              <w:rPr>
                <w:sz w:val="20"/>
                <w:szCs w:val="20"/>
                <w:color w:val="auto"/>
              </w:rPr>
            </w:pPr>
            <w:r>
              <w:rPr>
                <w:rFonts w:ascii="Arial" w:cs="Arial" w:eastAsia="Arial" w:hAnsi="Arial"/>
                <w:sz w:val="18"/>
                <w:szCs w:val="18"/>
                <w:color w:val="auto"/>
              </w:rPr>
              <w:t>Statement of Operations</w:t>
            </w: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F-4</w:t>
            </w:r>
          </w:p>
        </w:tc>
      </w:tr>
      <w:tr>
        <w:trPr>
          <w:trHeight w:val="216"/>
        </w:trPr>
        <w:tc>
          <w:tcPr>
            <w:tcW w:w="9960" w:type="dxa"/>
            <w:vAlign w:val="bottom"/>
          </w:tcPr>
          <w:p>
            <w:pPr>
              <w:spacing w:after="0"/>
              <w:rPr>
                <w:sz w:val="20"/>
                <w:szCs w:val="20"/>
                <w:color w:val="auto"/>
              </w:rPr>
            </w:pPr>
            <w:r>
              <w:rPr>
                <w:rFonts w:ascii="Arial" w:cs="Arial" w:eastAsia="Arial" w:hAnsi="Arial"/>
                <w:sz w:val="18"/>
                <w:szCs w:val="18"/>
                <w:color w:val="auto"/>
              </w:rPr>
              <w:t>Statement of Changes in Shareholders’ Equity</w:t>
            </w:r>
          </w:p>
        </w:tc>
        <w:tc>
          <w:tcPr>
            <w:tcW w:w="1280" w:type="dxa"/>
            <w:vAlign w:val="bottom"/>
          </w:tcPr>
          <w:p>
            <w:pPr>
              <w:jc w:val="center"/>
              <w:spacing w:after="0"/>
              <w:rPr>
                <w:sz w:val="20"/>
                <w:szCs w:val="20"/>
                <w:color w:val="auto"/>
              </w:rPr>
            </w:pPr>
            <w:r>
              <w:rPr>
                <w:rFonts w:ascii="Arial" w:cs="Arial" w:eastAsia="Arial" w:hAnsi="Arial"/>
                <w:sz w:val="18"/>
                <w:szCs w:val="18"/>
                <w:color w:val="auto"/>
                <w:w w:val="88"/>
              </w:rPr>
              <w:t>F-5</w:t>
            </w:r>
          </w:p>
        </w:tc>
      </w:tr>
      <w:tr>
        <w:trPr>
          <w:trHeight w:val="216"/>
        </w:trPr>
        <w:tc>
          <w:tcPr>
            <w:tcW w:w="9960" w:type="dxa"/>
            <w:vAlign w:val="bottom"/>
            <w:shd w:val="clear" w:color="auto" w:fill="CCEEFF"/>
          </w:tcPr>
          <w:p>
            <w:pPr>
              <w:spacing w:after="0"/>
              <w:rPr>
                <w:sz w:val="20"/>
                <w:szCs w:val="20"/>
                <w:color w:val="auto"/>
              </w:rPr>
            </w:pPr>
            <w:r>
              <w:rPr>
                <w:rFonts w:ascii="Arial" w:cs="Arial" w:eastAsia="Arial" w:hAnsi="Arial"/>
                <w:sz w:val="18"/>
                <w:szCs w:val="18"/>
                <w:color w:val="auto"/>
              </w:rPr>
              <w:t>Statement of Cash Flows</w:t>
            </w: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F-6</w:t>
            </w:r>
          </w:p>
        </w:tc>
      </w:tr>
      <w:tr>
        <w:trPr>
          <w:trHeight w:val="230"/>
        </w:trPr>
        <w:tc>
          <w:tcPr>
            <w:tcW w:w="9960" w:type="dxa"/>
            <w:vAlign w:val="bottom"/>
          </w:tcPr>
          <w:p>
            <w:pPr>
              <w:spacing w:after="0"/>
              <w:rPr>
                <w:sz w:val="20"/>
                <w:szCs w:val="20"/>
                <w:color w:val="auto"/>
              </w:rPr>
            </w:pPr>
            <w:r>
              <w:rPr>
                <w:rFonts w:ascii="Arial" w:cs="Arial" w:eastAsia="Arial" w:hAnsi="Arial"/>
                <w:sz w:val="18"/>
                <w:szCs w:val="18"/>
                <w:color w:val="auto"/>
              </w:rPr>
              <w:t>Notes to Financial Statements</w:t>
            </w:r>
          </w:p>
        </w:tc>
        <w:tc>
          <w:tcPr>
            <w:tcW w:w="1280" w:type="dxa"/>
            <w:vAlign w:val="bottom"/>
          </w:tcPr>
          <w:p>
            <w:pPr>
              <w:jc w:val="center"/>
              <w:spacing w:after="0"/>
              <w:rPr>
                <w:sz w:val="20"/>
                <w:szCs w:val="20"/>
                <w:color w:val="auto"/>
              </w:rPr>
            </w:pPr>
            <w:r>
              <w:rPr>
                <w:rFonts w:ascii="Arial" w:cs="Arial" w:eastAsia="Arial" w:hAnsi="Arial"/>
                <w:sz w:val="18"/>
                <w:szCs w:val="18"/>
                <w:color w:val="auto"/>
                <w:w w:val="88"/>
              </w:rPr>
              <w:t>F-7</w:t>
            </w: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6" w:name="page87"/>
    <w:bookmarkEnd w:id="86"/>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(2)  Financial Statement Schedules:</w:t>
      </w:r>
    </w:p>
    <w:p>
      <w:pPr>
        <w:spacing w:after="0" w:line="245" w:lineRule="exact"/>
        <w:rPr>
          <w:sz w:val="20"/>
          <w:szCs w:val="20"/>
          <w:color w:val="auto"/>
        </w:rPr>
      </w:pPr>
    </w:p>
    <w:p>
      <w:pPr>
        <w:ind w:left="340"/>
        <w:spacing w:after="0"/>
        <w:rPr>
          <w:sz w:val="20"/>
          <w:szCs w:val="20"/>
          <w:color w:val="auto"/>
        </w:rPr>
      </w:pPr>
      <w:r>
        <w:rPr>
          <w:rFonts w:ascii="Arial" w:cs="Arial" w:eastAsia="Arial" w:hAnsi="Arial"/>
          <w:sz w:val="22"/>
          <w:szCs w:val="22"/>
          <w:color w:val="auto"/>
        </w:rPr>
        <w:t>None.</w:t>
      </w:r>
    </w:p>
    <w:p>
      <w:pPr>
        <w:spacing w:after="0" w:line="24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(3)  Exhibits</w:t>
      </w:r>
    </w:p>
    <w:p>
      <w:pPr>
        <w:spacing w:after="0" w:line="245" w:lineRule="exact"/>
        <w:rPr>
          <w:sz w:val="20"/>
          <w:szCs w:val="20"/>
          <w:color w:val="auto"/>
        </w:rPr>
      </w:pPr>
    </w:p>
    <w:p>
      <w:pPr>
        <w:ind w:firstLine="324"/>
        <w:spacing w:after="0" w:line="287" w:lineRule="auto"/>
        <w:rPr>
          <w:sz w:val="20"/>
          <w:szCs w:val="20"/>
          <w:color w:val="auto"/>
        </w:rPr>
      </w:pPr>
      <w:r>
        <w:rPr>
          <w:rFonts w:ascii="Arial" w:cs="Arial" w:eastAsia="Arial" w:hAnsi="Arial"/>
          <w:sz w:val="19"/>
          <w:szCs w:val="19"/>
          <w:color w:val="auto"/>
        </w:rPr>
        <w:t>We hereby file as part of this Report the exhibits listed in the attached Exhibit Index. Exhibits which are incorporated herein by reference can be inspected and copied at the public reference facilities maintained by the SEC, 100 F Street, N.E., Room 1580, Washington, D.C. 20549. Copies of such material can also be obtained from the Public Reference Section of the SEC, 100 F Street, N.E., Washington, D.C. 20549, at prescribed rates or on the SEC website at www.sec.gov.</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60" w:type="dxa"/>
            <w:vAlign w:val="bottom"/>
            <w:gridSpan w:val="4"/>
          </w:tcPr>
          <w:p>
            <w:pPr>
              <w:jc w:val="right"/>
              <w:ind w:right="500"/>
              <w:spacing w:after="0"/>
              <w:rPr>
                <w:sz w:val="20"/>
                <w:szCs w:val="20"/>
                <w:color w:val="auto"/>
              </w:rPr>
            </w:pPr>
            <w:r>
              <w:rPr>
                <w:rFonts w:ascii="Arial" w:cs="Arial" w:eastAsia="Arial" w:hAnsi="Arial"/>
                <w:sz w:val="18"/>
                <w:szCs w:val="18"/>
                <w:b w:val="1"/>
                <w:bCs w:val="1"/>
                <w:color w:val="auto"/>
              </w:rPr>
              <w:t>Exhibit</w:t>
            </w:r>
          </w:p>
        </w:tc>
        <w:tc>
          <w:tcPr>
            <w:tcW w:w="9880" w:type="dxa"/>
            <w:vAlign w:val="bottom"/>
          </w:tcPr>
          <w:p>
            <w:pPr>
              <w:spacing w:after="0"/>
              <w:rPr>
                <w:sz w:val="18"/>
                <w:szCs w:val="18"/>
                <w:color w:val="auto"/>
              </w:rPr>
            </w:pPr>
          </w:p>
        </w:tc>
      </w:tr>
      <w:tr>
        <w:trPr>
          <w:trHeight w:val="241"/>
        </w:trPr>
        <w:tc>
          <w:tcPr>
            <w:tcW w:w="1360" w:type="dxa"/>
            <w:vAlign w:val="bottom"/>
            <w:gridSpan w:val="4"/>
          </w:tcPr>
          <w:p>
            <w:pPr>
              <w:jc w:val="right"/>
              <w:ind w:right="660"/>
              <w:spacing w:after="0"/>
              <w:rPr>
                <w:sz w:val="20"/>
                <w:szCs w:val="20"/>
                <w:color w:val="auto"/>
              </w:rPr>
            </w:pPr>
            <w:r>
              <w:rPr>
                <w:rFonts w:ascii="Arial" w:cs="Arial" w:eastAsia="Arial" w:hAnsi="Arial"/>
                <w:sz w:val="18"/>
                <w:szCs w:val="18"/>
                <w:b w:val="1"/>
                <w:bCs w:val="1"/>
                <w:color w:val="auto"/>
              </w:rPr>
              <w:t>No.</w:t>
            </w:r>
          </w:p>
        </w:tc>
        <w:tc>
          <w:tcPr>
            <w:tcW w:w="9880" w:type="dxa"/>
            <w:vAlign w:val="bottom"/>
          </w:tcPr>
          <w:p>
            <w:pPr>
              <w:ind w:left="4500"/>
              <w:spacing w:after="0"/>
              <w:rPr>
                <w:sz w:val="20"/>
                <w:szCs w:val="20"/>
                <w:color w:val="auto"/>
              </w:rPr>
            </w:pPr>
            <w:r>
              <w:rPr>
                <w:rFonts w:ascii="Arial" w:cs="Arial" w:eastAsia="Arial" w:hAnsi="Arial"/>
                <w:sz w:val="18"/>
                <w:szCs w:val="18"/>
                <w:b w:val="1"/>
                <w:bCs w:val="1"/>
                <w:color w:val="auto"/>
              </w:rPr>
              <w:t>Description</w:t>
            </w:r>
          </w:p>
        </w:tc>
      </w:tr>
      <w:tr>
        <w:trPr>
          <w:trHeight w:val="175"/>
        </w:trPr>
        <w:tc>
          <w:tcPr>
            <w:tcW w:w="1140" w:type="dxa"/>
            <w:vAlign w:val="bottom"/>
            <w:tcBorders>
              <w:top w:val="single" w:sz="8" w:color="auto"/>
            </w:tcBorders>
            <w:gridSpan w:val="3"/>
            <w:shd w:val="clear" w:color="auto" w:fill="CCEEFF"/>
          </w:tcPr>
          <w:p>
            <w:pPr>
              <w:jc w:val="right"/>
              <w:spacing w:after="0" w:line="176" w:lineRule="exact"/>
              <w:rPr>
                <w:rFonts w:ascii="Arial" w:cs="Arial" w:eastAsia="Arial" w:hAnsi="Arial"/>
                <w:sz w:val="18"/>
                <w:szCs w:val="18"/>
                <w:color w:val="0000EE"/>
              </w:rPr>
            </w:pPr>
            <w:hyperlink r:id="rId99">
              <w:r>
                <w:rPr>
                  <w:rFonts w:ascii="Arial" w:cs="Arial" w:eastAsia="Arial" w:hAnsi="Arial"/>
                  <w:sz w:val="18"/>
                  <w:szCs w:val="18"/>
                  <w:color w:val="0000EE"/>
                </w:rPr>
                <w:t>3.</w:t>
              </w:r>
              <w:r>
                <w:rPr>
                  <w:rFonts w:ascii="Arial" w:cs="Arial" w:eastAsia="Arial" w:hAnsi="Arial"/>
                  <w:sz w:val="18"/>
                  <w:szCs w:val="18"/>
                  <w:u w:val="single" w:color="auto"/>
                  <w:color w:val="0000EE"/>
                </w:rPr>
                <w:t>1</w:t>
              </w:r>
            </w:hyperlink>
          </w:p>
        </w:tc>
        <w:tc>
          <w:tcPr>
            <w:tcW w:w="220" w:type="dxa"/>
            <w:vAlign w:val="bottom"/>
            <w:tcBorders>
              <w:top w:val="single" w:sz="8" w:color="CCEEFF"/>
            </w:tcBorders>
            <w:shd w:val="clear" w:color="auto" w:fill="CCEEFF"/>
          </w:tcPr>
          <w:p>
            <w:pPr>
              <w:spacing w:after="0"/>
              <w:rPr>
                <w:sz w:val="15"/>
                <w:szCs w:val="15"/>
                <w:color w:val="auto"/>
              </w:rPr>
            </w:pPr>
          </w:p>
        </w:tc>
        <w:tc>
          <w:tcPr>
            <w:tcW w:w="9880" w:type="dxa"/>
            <w:vAlign w:val="bottom"/>
            <w:tcBorders>
              <w:top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94"/>
              </w:rPr>
              <w:t>Amended and Restated Memorandum and Articles of Association (incorporated herein by reference to Exhibit 3.2 of the Company’s</w:t>
            </w:r>
          </w:p>
        </w:tc>
      </w:tr>
      <w:tr>
        <w:trPr>
          <w:trHeight w:val="237"/>
        </w:trPr>
        <w:tc>
          <w:tcPr>
            <w:tcW w:w="82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0000EE"/>
            </w:tcBorders>
            <w:shd w:val="clear" w:color="auto" w:fill="CCEEFF"/>
          </w:tcPr>
          <w:p>
            <w:pPr>
              <w:spacing w:after="0"/>
              <w:rPr>
                <w:sz w:val="20"/>
                <w:szCs w:val="20"/>
                <w:color w:val="auto"/>
              </w:rPr>
            </w:pPr>
          </w:p>
        </w:tc>
        <w:tc>
          <w:tcPr>
            <w:tcW w:w="220" w:type="dxa"/>
            <w:vAlign w:val="bottom"/>
            <w:tcBorders>
              <w:top w:val="single" w:sz="8" w:color="CCEEFF"/>
            </w:tcBorders>
            <w:shd w:val="clear" w:color="auto" w:fill="CCEEFF"/>
          </w:tcPr>
          <w:p>
            <w:pPr>
              <w:spacing w:after="0"/>
              <w:rPr>
                <w:sz w:val="20"/>
                <w:szCs w:val="20"/>
                <w:color w:val="auto"/>
              </w:rPr>
            </w:pPr>
          </w:p>
        </w:tc>
        <w:tc>
          <w:tcPr>
            <w:tcW w:w="9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Registration Statement on Form S-1 (File No. 333-235447) filed with the SEC on July 26, 2019)</w:t>
            </w:r>
          </w:p>
        </w:tc>
      </w:tr>
      <w:tr>
        <w:trPr>
          <w:trHeight w:val="176"/>
        </w:trPr>
        <w:tc>
          <w:tcPr>
            <w:tcW w:w="1360" w:type="dxa"/>
            <w:vAlign w:val="bottom"/>
            <w:gridSpan w:val="4"/>
          </w:tcPr>
          <w:p>
            <w:pPr>
              <w:jc w:val="right"/>
              <w:ind w:right="220"/>
              <w:spacing w:after="0" w:line="176" w:lineRule="exact"/>
              <w:rPr>
                <w:rFonts w:ascii="Arial" w:cs="Arial" w:eastAsia="Arial" w:hAnsi="Arial"/>
                <w:sz w:val="18"/>
                <w:szCs w:val="18"/>
                <w:color w:val="0000EE"/>
              </w:rPr>
            </w:pPr>
            <w:hyperlink w:anchor="page106">
              <w:r>
                <w:rPr>
                  <w:rFonts w:ascii="Arial" w:cs="Arial" w:eastAsia="Arial" w:hAnsi="Arial"/>
                  <w:sz w:val="18"/>
                  <w:szCs w:val="18"/>
                  <w:color w:val="0000EE"/>
                </w:rPr>
                <w:t>4.</w:t>
              </w:r>
              <w:r>
                <w:rPr>
                  <w:rFonts w:ascii="Arial" w:cs="Arial" w:eastAsia="Arial" w:hAnsi="Arial"/>
                  <w:sz w:val="18"/>
                  <w:szCs w:val="18"/>
                  <w:u w:val="single" w:color="auto"/>
                  <w:color w:val="0000EE"/>
                </w:rPr>
                <w:t>1</w:t>
              </w:r>
            </w:hyperlink>
          </w:p>
        </w:tc>
        <w:tc>
          <w:tcPr>
            <w:tcW w:w="9880" w:type="dxa"/>
            <w:vAlign w:val="bottom"/>
          </w:tcPr>
          <w:p>
            <w:pPr>
              <w:spacing w:after="0" w:line="176" w:lineRule="exact"/>
              <w:rPr>
                <w:sz w:val="20"/>
                <w:szCs w:val="20"/>
                <w:color w:val="auto"/>
              </w:rPr>
            </w:pPr>
            <w:r>
              <w:rPr>
                <w:rFonts w:ascii="Arial" w:cs="Arial" w:eastAsia="Arial" w:hAnsi="Arial"/>
                <w:sz w:val="18"/>
                <w:szCs w:val="18"/>
                <w:color w:val="auto"/>
              </w:rPr>
              <w:t>Description of Securities Registered Pursuant to Section 12 of the Securities Exchange Act of 1934, As Amended*</w:t>
            </w:r>
          </w:p>
        </w:tc>
      </w:tr>
      <w:tr>
        <w:trPr>
          <w:trHeight w:val="20"/>
        </w:trPr>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80" w:type="dxa"/>
            <w:vAlign w:val="bottom"/>
          </w:tcPr>
          <w:p>
            <w:pPr>
              <w:spacing w:after="0" w:line="20" w:lineRule="exact"/>
              <w:rPr>
                <w:sz w:val="1"/>
                <w:szCs w:val="1"/>
                <w:color w:val="auto"/>
              </w:rPr>
            </w:pPr>
          </w:p>
        </w:tc>
      </w:tr>
      <w:tr>
        <w:trPr>
          <w:trHeight w:val="176"/>
        </w:trPr>
        <w:tc>
          <w:tcPr>
            <w:tcW w:w="1360" w:type="dxa"/>
            <w:vAlign w:val="bottom"/>
            <w:gridSpan w:val="4"/>
            <w:shd w:val="clear" w:color="auto" w:fill="CCEEFF"/>
          </w:tcPr>
          <w:p>
            <w:pPr>
              <w:jc w:val="right"/>
              <w:ind w:right="220"/>
              <w:spacing w:after="0" w:line="176" w:lineRule="exact"/>
              <w:rPr>
                <w:rFonts w:ascii="Arial" w:cs="Arial" w:eastAsia="Arial" w:hAnsi="Arial"/>
                <w:sz w:val="18"/>
                <w:szCs w:val="18"/>
                <w:color w:val="0000EE"/>
              </w:rPr>
            </w:pPr>
            <w:hyperlink r:id="rId100">
              <w:r>
                <w:rPr>
                  <w:rFonts w:ascii="Arial" w:cs="Arial" w:eastAsia="Arial" w:hAnsi="Arial"/>
                  <w:sz w:val="18"/>
                  <w:szCs w:val="18"/>
                  <w:color w:val="0000EE"/>
                </w:rPr>
                <w:t>4.</w:t>
              </w:r>
              <w:r>
                <w:rPr>
                  <w:rFonts w:ascii="Arial" w:cs="Arial" w:eastAsia="Arial" w:hAnsi="Arial"/>
                  <w:sz w:val="18"/>
                  <w:szCs w:val="18"/>
                  <w:u w:val="single" w:color="auto"/>
                  <w:color w:val="0000EE"/>
                </w:rPr>
                <w:t>2</w:t>
              </w:r>
            </w:hyperlink>
          </w:p>
        </w:tc>
        <w:tc>
          <w:tcPr>
            <w:tcW w:w="98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w w:val="92"/>
              </w:rPr>
              <w:t>Warrant Agreement, dated August 7, 2019, between the Company and Continental Stock Transfer &amp; Trust Company, as warrant agent</w:t>
            </w:r>
          </w:p>
        </w:tc>
      </w:tr>
      <w:tr>
        <w:trPr>
          <w:trHeight w:val="237"/>
        </w:trPr>
        <w:tc>
          <w:tcPr>
            <w:tcW w:w="82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0000EE"/>
            </w:tcBorders>
            <w:shd w:val="clear" w:color="auto" w:fill="CCEEFF"/>
          </w:tcPr>
          <w:p>
            <w:pPr>
              <w:spacing w:after="0"/>
              <w:rPr>
                <w:sz w:val="20"/>
                <w:szCs w:val="20"/>
                <w:color w:val="auto"/>
              </w:rPr>
            </w:pPr>
          </w:p>
        </w:tc>
        <w:tc>
          <w:tcPr>
            <w:tcW w:w="220" w:type="dxa"/>
            <w:vAlign w:val="bottom"/>
            <w:tcBorders>
              <w:top w:val="single" w:sz="8" w:color="CCEEFF"/>
            </w:tcBorders>
            <w:shd w:val="clear" w:color="auto" w:fill="CCEEFF"/>
          </w:tcPr>
          <w:p>
            <w:pPr>
              <w:spacing w:after="0"/>
              <w:rPr>
                <w:sz w:val="20"/>
                <w:szCs w:val="20"/>
                <w:color w:val="auto"/>
              </w:rPr>
            </w:pPr>
          </w:p>
        </w:tc>
        <w:tc>
          <w:tcPr>
            <w:tcW w:w="9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2"/>
              </w:rPr>
              <w:t>(incorporated herein by reference to Exhibit 4.1 of the Company’s Current Report on Form 8-K filed with the SEC on August 12, 2019)</w:t>
            </w:r>
          </w:p>
        </w:tc>
      </w:tr>
      <w:tr>
        <w:trPr>
          <w:trHeight w:val="175"/>
        </w:trPr>
        <w:tc>
          <w:tcPr>
            <w:tcW w:w="1360" w:type="dxa"/>
            <w:vAlign w:val="bottom"/>
            <w:gridSpan w:val="4"/>
          </w:tcPr>
          <w:p>
            <w:pPr>
              <w:jc w:val="right"/>
              <w:ind w:right="220"/>
              <w:spacing w:after="0" w:line="176" w:lineRule="exact"/>
              <w:rPr>
                <w:rFonts w:ascii="Arial" w:cs="Arial" w:eastAsia="Arial" w:hAnsi="Arial"/>
                <w:sz w:val="18"/>
                <w:szCs w:val="18"/>
                <w:color w:val="0000EE"/>
              </w:rPr>
            </w:pPr>
            <w:hyperlink r:id="rId101">
              <w:r>
                <w:rPr>
                  <w:rFonts w:ascii="Arial" w:cs="Arial" w:eastAsia="Arial" w:hAnsi="Arial"/>
                  <w:sz w:val="18"/>
                  <w:szCs w:val="18"/>
                  <w:color w:val="0000EE"/>
                </w:rPr>
                <w:t>10.</w:t>
              </w:r>
              <w:r>
                <w:rPr>
                  <w:rFonts w:ascii="Arial" w:cs="Arial" w:eastAsia="Arial" w:hAnsi="Arial"/>
                  <w:sz w:val="18"/>
                  <w:szCs w:val="18"/>
                  <w:u w:val="single" w:color="auto"/>
                  <w:color w:val="0000EE"/>
                </w:rPr>
                <w:t>1</w:t>
              </w:r>
            </w:hyperlink>
          </w:p>
        </w:tc>
        <w:tc>
          <w:tcPr>
            <w:tcW w:w="9880" w:type="dxa"/>
            <w:vAlign w:val="bottom"/>
          </w:tcPr>
          <w:p>
            <w:pPr>
              <w:spacing w:after="0" w:line="176" w:lineRule="exact"/>
              <w:rPr>
                <w:sz w:val="20"/>
                <w:szCs w:val="20"/>
                <w:color w:val="auto"/>
              </w:rPr>
            </w:pPr>
            <w:r>
              <w:rPr>
                <w:rFonts w:ascii="Arial" w:cs="Arial" w:eastAsia="Arial" w:hAnsi="Arial"/>
                <w:sz w:val="18"/>
                <w:szCs w:val="18"/>
                <w:color w:val="auto"/>
              </w:rPr>
              <w:t>Letter Agreement, dated August 7, 2019, among the Company and its officers and directors and Silver Spike Sponsor, LLC</w:t>
            </w:r>
          </w:p>
        </w:tc>
      </w:tr>
      <w:tr>
        <w:trPr>
          <w:trHeight w:val="237"/>
        </w:trPr>
        <w:tc>
          <w:tcPr>
            <w:tcW w:w="820" w:type="dxa"/>
            <w:vAlign w:val="bottom"/>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220" w:type="dxa"/>
            <w:vAlign w:val="bottom"/>
            <w:tcBorders>
              <w:top w:val="single" w:sz="8" w:color="0000EE"/>
            </w:tcBorders>
          </w:tcPr>
          <w:p>
            <w:pPr>
              <w:spacing w:after="0"/>
              <w:rPr>
                <w:sz w:val="20"/>
                <w:szCs w:val="20"/>
                <w:color w:val="auto"/>
              </w:rPr>
            </w:pPr>
          </w:p>
        </w:tc>
        <w:tc>
          <w:tcPr>
            <w:tcW w:w="220" w:type="dxa"/>
            <w:vAlign w:val="bottom"/>
          </w:tcPr>
          <w:p>
            <w:pPr>
              <w:spacing w:after="0"/>
              <w:rPr>
                <w:sz w:val="20"/>
                <w:szCs w:val="20"/>
                <w:color w:val="auto"/>
              </w:rPr>
            </w:pPr>
          </w:p>
        </w:tc>
        <w:tc>
          <w:tcPr>
            <w:tcW w:w="9880" w:type="dxa"/>
            <w:vAlign w:val="bottom"/>
          </w:tcPr>
          <w:p>
            <w:pPr>
              <w:spacing w:after="0"/>
              <w:rPr>
                <w:sz w:val="20"/>
                <w:szCs w:val="20"/>
                <w:color w:val="auto"/>
              </w:rPr>
            </w:pPr>
            <w:r>
              <w:rPr>
                <w:rFonts w:ascii="Arial" w:cs="Arial" w:eastAsia="Arial" w:hAnsi="Arial"/>
                <w:sz w:val="18"/>
                <w:szCs w:val="18"/>
                <w:color w:val="auto"/>
                <w:w w:val="91"/>
              </w:rPr>
              <w:t>(incorporated herein by reference to Exhibit 10.1 of the Company’s Current Report on Form 8-K filed with the SEC on August 12, 2019)</w:t>
            </w:r>
          </w:p>
        </w:tc>
      </w:tr>
      <w:tr>
        <w:trPr>
          <w:trHeight w:val="176"/>
        </w:trPr>
        <w:tc>
          <w:tcPr>
            <w:tcW w:w="1360" w:type="dxa"/>
            <w:vAlign w:val="bottom"/>
            <w:gridSpan w:val="4"/>
            <w:shd w:val="clear" w:color="auto" w:fill="CCEEFF"/>
          </w:tcPr>
          <w:p>
            <w:pPr>
              <w:jc w:val="right"/>
              <w:ind w:right="220"/>
              <w:spacing w:after="0" w:line="176" w:lineRule="exact"/>
              <w:rPr>
                <w:rFonts w:ascii="Arial" w:cs="Arial" w:eastAsia="Arial" w:hAnsi="Arial"/>
                <w:sz w:val="18"/>
                <w:szCs w:val="18"/>
                <w:color w:val="0000EE"/>
              </w:rPr>
            </w:pPr>
            <w:hyperlink r:id="rId102">
              <w:r>
                <w:rPr>
                  <w:rFonts w:ascii="Arial" w:cs="Arial" w:eastAsia="Arial" w:hAnsi="Arial"/>
                  <w:sz w:val="18"/>
                  <w:szCs w:val="18"/>
                  <w:color w:val="0000EE"/>
                </w:rPr>
                <w:t>10.</w:t>
              </w:r>
              <w:r>
                <w:rPr>
                  <w:rFonts w:ascii="Arial" w:cs="Arial" w:eastAsia="Arial" w:hAnsi="Arial"/>
                  <w:sz w:val="18"/>
                  <w:szCs w:val="18"/>
                  <w:u w:val="single" w:color="auto"/>
                  <w:color w:val="0000EE"/>
                </w:rPr>
                <w:t>2</w:t>
              </w:r>
            </w:hyperlink>
          </w:p>
        </w:tc>
        <w:tc>
          <w:tcPr>
            <w:tcW w:w="98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w w:val="92"/>
              </w:rPr>
              <w:t>Investment Management Trust Agreement, dated December 10, 2019, between the Company and Continental Stock Transfer &amp; Trust</w:t>
            </w:r>
          </w:p>
        </w:tc>
      </w:tr>
      <w:tr>
        <w:trPr>
          <w:trHeight w:val="222"/>
        </w:trPr>
        <w:tc>
          <w:tcPr>
            <w:tcW w:w="8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0000EE"/>
            </w:tcBorders>
            <w:shd w:val="clear" w:color="auto" w:fill="CCEEFF"/>
          </w:tcPr>
          <w:p>
            <w:pPr>
              <w:spacing w:after="0"/>
              <w:rPr>
                <w:sz w:val="19"/>
                <w:szCs w:val="19"/>
                <w:color w:val="auto"/>
              </w:rPr>
            </w:pPr>
          </w:p>
        </w:tc>
        <w:tc>
          <w:tcPr>
            <w:tcW w:w="220" w:type="dxa"/>
            <w:vAlign w:val="bottom"/>
            <w:tcBorders>
              <w:top w:val="single" w:sz="8" w:color="0000EE"/>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9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1"/>
              </w:rPr>
              <w:t>Company, as trustee (incorporated herein by reference to Exhibit 10.2 of the Company’s Current Report on Form 8-K filed with the SEC</w:t>
            </w:r>
          </w:p>
        </w:tc>
      </w:tr>
      <w:tr>
        <w:trPr>
          <w:trHeight w:val="230"/>
        </w:trPr>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880" w:type="dxa"/>
            <w:vAlign w:val="bottom"/>
            <w:shd w:val="clear" w:color="auto" w:fill="CCEEFF"/>
          </w:tcPr>
          <w:p>
            <w:pPr>
              <w:spacing w:after="0"/>
              <w:rPr>
                <w:sz w:val="20"/>
                <w:szCs w:val="20"/>
                <w:color w:val="auto"/>
              </w:rPr>
            </w:pPr>
            <w:r>
              <w:rPr>
                <w:rFonts w:ascii="Arial" w:cs="Arial" w:eastAsia="Arial" w:hAnsi="Arial"/>
                <w:sz w:val="18"/>
                <w:szCs w:val="18"/>
                <w:color w:val="auto"/>
              </w:rPr>
              <w:t>on August 12, 2019)</w:t>
            </w:r>
          </w:p>
        </w:tc>
      </w:tr>
      <w:tr>
        <w:trPr>
          <w:trHeight w:val="175"/>
        </w:trPr>
        <w:tc>
          <w:tcPr>
            <w:tcW w:w="1360" w:type="dxa"/>
            <w:vAlign w:val="bottom"/>
            <w:gridSpan w:val="4"/>
          </w:tcPr>
          <w:p>
            <w:pPr>
              <w:jc w:val="right"/>
              <w:ind w:right="220"/>
              <w:spacing w:after="0" w:line="176" w:lineRule="exact"/>
              <w:rPr>
                <w:rFonts w:ascii="Arial" w:cs="Arial" w:eastAsia="Arial" w:hAnsi="Arial"/>
                <w:sz w:val="18"/>
                <w:szCs w:val="18"/>
                <w:color w:val="0000EE"/>
              </w:rPr>
            </w:pPr>
            <w:hyperlink r:id="rId103">
              <w:r>
                <w:rPr>
                  <w:rFonts w:ascii="Arial" w:cs="Arial" w:eastAsia="Arial" w:hAnsi="Arial"/>
                  <w:sz w:val="18"/>
                  <w:szCs w:val="18"/>
                  <w:color w:val="0000EE"/>
                </w:rPr>
                <w:t>10.</w:t>
              </w:r>
              <w:r>
                <w:rPr>
                  <w:rFonts w:ascii="Arial" w:cs="Arial" w:eastAsia="Arial" w:hAnsi="Arial"/>
                  <w:sz w:val="18"/>
                  <w:szCs w:val="18"/>
                  <w:u w:val="single" w:color="auto"/>
                  <w:color w:val="0000EE"/>
                </w:rPr>
                <w:t>3</w:t>
              </w:r>
            </w:hyperlink>
          </w:p>
        </w:tc>
        <w:tc>
          <w:tcPr>
            <w:tcW w:w="9880" w:type="dxa"/>
            <w:vAlign w:val="bottom"/>
          </w:tcPr>
          <w:p>
            <w:pPr>
              <w:spacing w:after="0" w:line="176" w:lineRule="exact"/>
              <w:rPr>
                <w:sz w:val="20"/>
                <w:szCs w:val="20"/>
                <w:color w:val="auto"/>
              </w:rPr>
            </w:pPr>
            <w:r>
              <w:rPr>
                <w:rFonts w:ascii="Arial" w:cs="Arial" w:eastAsia="Arial" w:hAnsi="Arial"/>
                <w:sz w:val="18"/>
                <w:szCs w:val="18"/>
                <w:color w:val="auto"/>
                <w:w w:val="92"/>
              </w:rPr>
              <w:t>Registration Rights Agreement, dated December 10, 2019, between the Company and certain security holders (incorporated herein by</w:t>
            </w:r>
          </w:p>
        </w:tc>
      </w:tr>
      <w:tr>
        <w:trPr>
          <w:trHeight w:val="237"/>
        </w:trPr>
        <w:tc>
          <w:tcPr>
            <w:tcW w:w="820" w:type="dxa"/>
            <w:vAlign w:val="bottom"/>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220" w:type="dxa"/>
            <w:vAlign w:val="bottom"/>
            <w:tcBorders>
              <w:top w:val="single" w:sz="8" w:color="0000EE"/>
            </w:tcBorders>
          </w:tcPr>
          <w:p>
            <w:pPr>
              <w:spacing w:after="0"/>
              <w:rPr>
                <w:sz w:val="20"/>
                <w:szCs w:val="20"/>
                <w:color w:val="auto"/>
              </w:rPr>
            </w:pPr>
          </w:p>
        </w:tc>
        <w:tc>
          <w:tcPr>
            <w:tcW w:w="220" w:type="dxa"/>
            <w:vAlign w:val="bottom"/>
          </w:tcPr>
          <w:p>
            <w:pPr>
              <w:spacing w:after="0"/>
              <w:rPr>
                <w:sz w:val="20"/>
                <w:szCs w:val="20"/>
                <w:color w:val="auto"/>
              </w:rPr>
            </w:pPr>
          </w:p>
        </w:tc>
        <w:tc>
          <w:tcPr>
            <w:tcW w:w="9880" w:type="dxa"/>
            <w:vAlign w:val="bottom"/>
          </w:tcPr>
          <w:p>
            <w:pPr>
              <w:spacing w:after="0"/>
              <w:rPr>
                <w:sz w:val="20"/>
                <w:szCs w:val="20"/>
                <w:color w:val="auto"/>
              </w:rPr>
            </w:pPr>
            <w:r>
              <w:rPr>
                <w:rFonts w:ascii="Arial" w:cs="Arial" w:eastAsia="Arial" w:hAnsi="Arial"/>
                <w:sz w:val="18"/>
                <w:szCs w:val="18"/>
                <w:color w:val="auto"/>
              </w:rPr>
              <w:t>reference to Exhibit 10.3 of the Company’s Current Report on Form 8-K filed with the SEC on August 12, 2019)</w:t>
            </w:r>
          </w:p>
        </w:tc>
      </w:tr>
      <w:tr>
        <w:trPr>
          <w:trHeight w:val="176"/>
        </w:trPr>
        <w:tc>
          <w:tcPr>
            <w:tcW w:w="1360" w:type="dxa"/>
            <w:vAlign w:val="bottom"/>
            <w:gridSpan w:val="4"/>
            <w:shd w:val="clear" w:color="auto" w:fill="CCEEFF"/>
          </w:tcPr>
          <w:p>
            <w:pPr>
              <w:jc w:val="right"/>
              <w:ind w:right="220"/>
              <w:spacing w:after="0" w:line="176" w:lineRule="exact"/>
              <w:rPr>
                <w:rFonts w:ascii="Arial" w:cs="Arial" w:eastAsia="Arial" w:hAnsi="Arial"/>
                <w:sz w:val="18"/>
                <w:szCs w:val="18"/>
                <w:color w:val="0000EE"/>
              </w:rPr>
            </w:pPr>
            <w:hyperlink r:id="rId104">
              <w:r>
                <w:rPr>
                  <w:rFonts w:ascii="Arial" w:cs="Arial" w:eastAsia="Arial" w:hAnsi="Arial"/>
                  <w:sz w:val="18"/>
                  <w:szCs w:val="18"/>
                  <w:color w:val="0000EE"/>
                </w:rPr>
                <w:t>10.</w:t>
              </w:r>
              <w:r>
                <w:rPr>
                  <w:rFonts w:ascii="Arial" w:cs="Arial" w:eastAsia="Arial" w:hAnsi="Arial"/>
                  <w:sz w:val="18"/>
                  <w:szCs w:val="18"/>
                  <w:u w:val="single" w:color="auto"/>
                  <w:color w:val="0000EE"/>
                </w:rPr>
                <w:t>4</w:t>
              </w:r>
            </w:hyperlink>
          </w:p>
        </w:tc>
        <w:tc>
          <w:tcPr>
            <w:tcW w:w="98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w w:val="93"/>
              </w:rPr>
              <w:t>Administrative Services Agreement, dated December 10, 2019, between the Company and Silver Spike Sponsor, LLC (incorporated</w:t>
            </w:r>
          </w:p>
        </w:tc>
      </w:tr>
      <w:tr>
        <w:trPr>
          <w:trHeight w:val="236"/>
        </w:trPr>
        <w:tc>
          <w:tcPr>
            <w:tcW w:w="82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0000EE"/>
            </w:tcBorders>
            <w:shd w:val="clear" w:color="auto" w:fill="CCEEFF"/>
          </w:tcPr>
          <w:p>
            <w:pPr>
              <w:spacing w:after="0"/>
              <w:rPr>
                <w:sz w:val="20"/>
                <w:szCs w:val="20"/>
                <w:color w:val="auto"/>
              </w:rPr>
            </w:pPr>
          </w:p>
        </w:tc>
        <w:tc>
          <w:tcPr>
            <w:tcW w:w="220" w:type="dxa"/>
            <w:vAlign w:val="bottom"/>
            <w:tcBorders>
              <w:top w:val="single" w:sz="8" w:color="0000EE"/>
            </w:tcBorders>
            <w:shd w:val="clear" w:color="auto" w:fill="CCEEFF"/>
          </w:tcPr>
          <w:p>
            <w:pPr>
              <w:spacing w:after="0"/>
              <w:rPr>
                <w:sz w:val="20"/>
                <w:szCs w:val="20"/>
                <w:color w:val="auto"/>
              </w:rPr>
            </w:pPr>
          </w:p>
        </w:tc>
        <w:tc>
          <w:tcPr>
            <w:tcW w:w="220" w:type="dxa"/>
            <w:vAlign w:val="bottom"/>
            <w:tcBorders>
              <w:top w:val="single" w:sz="8" w:color="CCEEFF"/>
            </w:tcBorders>
            <w:shd w:val="clear" w:color="auto" w:fill="CCEEFF"/>
          </w:tcPr>
          <w:p>
            <w:pPr>
              <w:spacing w:after="0"/>
              <w:rPr>
                <w:sz w:val="20"/>
                <w:szCs w:val="20"/>
                <w:color w:val="auto"/>
              </w:rPr>
            </w:pPr>
          </w:p>
        </w:tc>
        <w:tc>
          <w:tcPr>
            <w:tcW w:w="9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herein by reference to Exhibit 10.4 of the Company’s Current Report on Form 8-K filed with the SEC on August 12, 2019)</w:t>
            </w:r>
          </w:p>
        </w:tc>
      </w:tr>
      <w:tr>
        <w:trPr>
          <w:trHeight w:val="176"/>
        </w:trPr>
        <w:tc>
          <w:tcPr>
            <w:tcW w:w="1360" w:type="dxa"/>
            <w:vAlign w:val="bottom"/>
            <w:gridSpan w:val="4"/>
          </w:tcPr>
          <w:p>
            <w:pPr>
              <w:jc w:val="right"/>
              <w:ind w:right="220"/>
              <w:spacing w:after="0" w:line="176" w:lineRule="exact"/>
              <w:rPr>
                <w:rFonts w:ascii="Arial" w:cs="Arial" w:eastAsia="Arial" w:hAnsi="Arial"/>
                <w:sz w:val="18"/>
                <w:szCs w:val="18"/>
                <w:color w:val="0000EE"/>
              </w:rPr>
            </w:pPr>
            <w:hyperlink r:id="rId105">
              <w:r>
                <w:rPr>
                  <w:rFonts w:ascii="Arial" w:cs="Arial" w:eastAsia="Arial" w:hAnsi="Arial"/>
                  <w:sz w:val="18"/>
                  <w:szCs w:val="18"/>
                  <w:color w:val="0000EE"/>
                </w:rPr>
                <w:t>10.</w:t>
              </w:r>
              <w:r>
                <w:rPr>
                  <w:rFonts w:ascii="Arial" w:cs="Arial" w:eastAsia="Arial" w:hAnsi="Arial"/>
                  <w:sz w:val="18"/>
                  <w:szCs w:val="18"/>
                  <w:u w:val="single" w:color="auto"/>
                  <w:color w:val="0000EE"/>
                </w:rPr>
                <w:t>5</w:t>
              </w:r>
            </w:hyperlink>
          </w:p>
        </w:tc>
        <w:tc>
          <w:tcPr>
            <w:tcW w:w="9880" w:type="dxa"/>
            <w:vAlign w:val="bottom"/>
          </w:tcPr>
          <w:p>
            <w:pPr>
              <w:spacing w:after="0" w:line="176" w:lineRule="exact"/>
              <w:rPr>
                <w:sz w:val="20"/>
                <w:szCs w:val="20"/>
                <w:color w:val="auto"/>
              </w:rPr>
            </w:pPr>
            <w:r>
              <w:rPr>
                <w:rFonts w:ascii="Arial" w:cs="Arial" w:eastAsia="Arial" w:hAnsi="Arial"/>
                <w:sz w:val="18"/>
                <w:szCs w:val="18"/>
                <w:color w:val="auto"/>
                <w:w w:val="90"/>
              </w:rPr>
              <w:t>Sponsor Warrants Purchase Agreement, dated December 10, 2019, between the Company and Silver Spike Sponsor, LLC (incorporated</w:t>
            </w:r>
          </w:p>
        </w:tc>
      </w:tr>
      <w:tr>
        <w:trPr>
          <w:trHeight w:val="236"/>
        </w:trPr>
        <w:tc>
          <w:tcPr>
            <w:tcW w:w="820" w:type="dxa"/>
            <w:vAlign w:val="bottom"/>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220" w:type="dxa"/>
            <w:vAlign w:val="bottom"/>
            <w:tcBorders>
              <w:top w:val="single" w:sz="8" w:color="0000EE"/>
            </w:tcBorders>
          </w:tcPr>
          <w:p>
            <w:pPr>
              <w:spacing w:after="0"/>
              <w:rPr>
                <w:sz w:val="20"/>
                <w:szCs w:val="20"/>
                <w:color w:val="auto"/>
              </w:rPr>
            </w:pPr>
          </w:p>
        </w:tc>
        <w:tc>
          <w:tcPr>
            <w:tcW w:w="220" w:type="dxa"/>
            <w:vAlign w:val="bottom"/>
          </w:tcPr>
          <w:p>
            <w:pPr>
              <w:spacing w:after="0"/>
              <w:rPr>
                <w:sz w:val="20"/>
                <w:szCs w:val="20"/>
                <w:color w:val="auto"/>
              </w:rPr>
            </w:pPr>
          </w:p>
        </w:tc>
        <w:tc>
          <w:tcPr>
            <w:tcW w:w="9880" w:type="dxa"/>
            <w:vAlign w:val="bottom"/>
          </w:tcPr>
          <w:p>
            <w:pPr>
              <w:spacing w:after="0"/>
              <w:rPr>
                <w:sz w:val="20"/>
                <w:szCs w:val="20"/>
                <w:color w:val="auto"/>
              </w:rPr>
            </w:pPr>
            <w:r>
              <w:rPr>
                <w:rFonts w:ascii="Arial" w:cs="Arial" w:eastAsia="Arial" w:hAnsi="Arial"/>
                <w:sz w:val="18"/>
                <w:szCs w:val="18"/>
                <w:color w:val="auto"/>
              </w:rPr>
              <w:t>herein by reference to Exhibit 10.5 of the Company’s Current Report on Form 8-K filed with the SEC on August 12, 2019)</w:t>
            </w:r>
          </w:p>
        </w:tc>
      </w:tr>
      <w:tr>
        <w:trPr>
          <w:trHeight w:val="176"/>
        </w:trPr>
        <w:tc>
          <w:tcPr>
            <w:tcW w:w="1360" w:type="dxa"/>
            <w:vAlign w:val="bottom"/>
            <w:gridSpan w:val="4"/>
            <w:shd w:val="clear" w:color="auto" w:fill="CCEEFF"/>
          </w:tcPr>
          <w:p>
            <w:pPr>
              <w:jc w:val="right"/>
              <w:ind w:right="220"/>
              <w:spacing w:after="0" w:line="176" w:lineRule="exact"/>
              <w:rPr>
                <w:rFonts w:ascii="Arial" w:cs="Arial" w:eastAsia="Arial" w:hAnsi="Arial"/>
                <w:sz w:val="18"/>
                <w:szCs w:val="18"/>
                <w:color w:val="0000EE"/>
              </w:rPr>
            </w:pPr>
            <w:hyperlink w:anchor="page122">
              <w:r>
                <w:rPr>
                  <w:rFonts w:ascii="Arial" w:cs="Arial" w:eastAsia="Arial" w:hAnsi="Arial"/>
                  <w:sz w:val="18"/>
                  <w:szCs w:val="18"/>
                  <w:color w:val="0000EE"/>
                </w:rPr>
                <w:t>31.</w:t>
              </w:r>
              <w:r>
                <w:rPr>
                  <w:rFonts w:ascii="Arial" w:cs="Arial" w:eastAsia="Arial" w:hAnsi="Arial"/>
                  <w:sz w:val="18"/>
                  <w:szCs w:val="18"/>
                  <w:u w:val="single" w:color="auto"/>
                  <w:color w:val="0000EE"/>
                </w:rPr>
                <w:t>1</w:t>
              </w:r>
            </w:hyperlink>
          </w:p>
        </w:tc>
        <w:tc>
          <w:tcPr>
            <w:tcW w:w="98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w w:val="92"/>
              </w:rPr>
              <w:t>Certification of the Registrant’s Chief Executive Officer (Principal Executive Officer) Pursuant to Rules 13a-14(a) and 15d-14(a) under</w:t>
            </w:r>
          </w:p>
        </w:tc>
      </w:tr>
      <w:tr>
        <w:trPr>
          <w:trHeight w:val="236"/>
        </w:trPr>
        <w:tc>
          <w:tcPr>
            <w:tcW w:w="82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0000EE"/>
            </w:tcBorders>
            <w:shd w:val="clear" w:color="auto" w:fill="CCEEFF"/>
          </w:tcPr>
          <w:p>
            <w:pPr>
              <w:spacing w:after="0"/>
              <w:rPr>
                <w:sz w:val="20"/>
                <w:szCs w:val="20"/>
                <w:color w:val="auto"/>
              </w:rPr>
            </w:pPr>
          </w:p>
        </w:tc>
        <w:tc>
          <w:tcPr>
            <w:tcW w:w="220" w:type="dxa"/>
            <w:vAlign w:val="bottom"/>
            <w:tcBorders>
              <w:top w:val="single" w:sz="8" w:color="0000EE"/>
            </w:tcBorders>
            <w:shd w:val="clear" w:color="auto" w:fill="CCEEFF"/>
          </w:tcPr>
          <w:p>
            <w:pPr>
              <w:spacing w:after="0"/>
              <w:rPr>
                <w:sz w:val="20"/>
                <w:szCs w:val="20"/>
                <w:color w:val="auto"/>
              </w:rPr>
            </w:pPr>
          </w:p>
        </w:tc>
        <w:tc>
          <w:tcPr>
            <w:tcW w:w="220" w:type="dxa"/>
            <w:vAlign w:val="bottom"/>
            <w:tcBorders>
              <w:top w:val="single" w:sz="8" w:color="CCEEFF"/>
            </w:tcBorders>
            <w:shd w:val="clear" w:color="auto" w:fill="CCEEFF"/>
          </w:tcPr>
          <w:p>
            <w:pPr>
              <w:spacing w:after="0"/>
              <w:rPr>
                <w:sz w:val="20"/>
                <w:szCs w:val="20"/>
                <w:color w:val="auto"/>
              </w:rPr>
            </w:pPr>
          </w:p>
        </w:tc>
        <w:tc>
          <w:tcPr>
            <w:tcW w:w="9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the Securities Exchange Act of 1934, as Adopted Pursuant to Section 302 of the Sarbanes-Oxley Act of 2002.*</w:t>
            </w:r>
          </w:p>
        </w:tc>
      </w:tr>
      <w:tr>
        <w:trPr>
          <w:trHeight w:val="175"/>
        </w:trPr>
        <w:tc>
          <w:tcPr>
            <w:tcW w:w="1360" w:type="dxa"/>
            <w:vAlign w:val="bottom"/>
            <w:gridSpan w:val="4"/>
          </w:tcPr>
          <w:p>
            <w:pPr>
              <w:jc w:val="right"/>
              <w:ind w:right="220"/>
              <w:spacing w:after="0" w:line="176" w:lineRule="exact"/>
              <w:rPr>
                <w:rFonts w:ascii="Arial" w:cs="Arial" w:eastAsia="Arial" w:hAnsi="Arial"/>
                <w:sz w:val="18"/>
                <w:szCs w:val="18"/>
                <w:color w:val="0000EE"/>
              </w:rPr>
            </w:pPr>
            <w:hyperlink w:anchor="page123">
              <w:r>
                <w:rPr>
                  <w:rFonts w:ascii="Arial" w:cs="Arial" w:eastAsia="Arial" w:hAnsi="Arial"/>
                  <w:sz w:val="18"/>
                  <w:szCs w:val="18"/>
                  <w:color w:val="0000EE"/>
                </w:rPr>
                <w:t>31.</w:t>
              </w:r>
              <w:r>
                <w:rPr>
                  <w:rFonts w:ascii="Arial" w:cs="Arial" w:eastAsia="Arial" w:hAnsi="Arial"/>
                  <w:sz w:val="18"/>
                  <w:szCs w:val="18"/>
                  <w:u w:val="single" w:color="auto"/>
                  <w:color w:val="0000EE"/>
                </w:rPr>
                <w:t>2</w:t>
              </w:r>
            </w:hyperlink>
          </w:p>
        </w:tc>
        <w:tc>
          <w:tcPr>
            <w:tcW w:w="9880" w:type="dxa"/>
            <w:vAlign w:val="bottom"/>
          </w:tcPr>
          <w:p>
            <w:pPr>
              <w:spacing w:after="0" w:line="176" w:lineRule="exact"/>
              <w:rPr>
                <w:sz w:val="20"/>
                <w:szCs w:val="20"/>
                <w:color w:val="auto"/>
              </w:rPr>
            </w:pPr>
            <w:r>
              <w:rPr>
                <w:rFonts w:ascii="Arial" w:cs="Arial" w:eastAsia="Arial" w:hAnsi="Arial"/>
                <w:sz w:val="18"/>
                <w:szCs w:val="18"/>
                <w:color w:val="auto"/>
                <w:w w:val="94"/>
              </w:rPr>
              <w:t>Certification of the Registrant’s Chief Financial Officer (Principal Financial and Accounting Officer) Pursuant to Rules 13a-14(a) and</w:t>
            </w:r>
          </w:p>
        </w:tc>
      </w:tr>
      <w:tr>
        <w:trPr>
          <w:trHeight w:val="237"/>
        </w:trPr>
        <w:tc>
          <w:tcPr>
            <w:tcW w:w="820" w:type="dxa"/>
            <w:vAlign w:val="bottom"/>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220" w:type="dxa"/>
            <w:vAlign w:val="bottom"/>
            <w:tcBorders>
              <w:top w:val="single" w:sz="8" w:color="0000EE"/>
            </w:tcBorders>
          </w:tcPr>
          <w:p>
            <w:pPr>
              <w:spacing w:after="0"/>
              <w:rPr>
                <w:sz w:val="20"/>
                <w:szCs w:val="20"/>
                <w:color w:val="auto"/>
              </w:rPr>
            </w:pPr>
          </w:p>
        </w:tc>
        <w:tc>
          <w:tcPr>
            <w:tcW w:w="220" w:type="dxa"/>
            <w:vAlign w:val="bottom"/>
          </w:tcPr>
          <w:p>
            <w:pPr>
              <w:spacing w:after="0"/>
              <w:rPr>
                <w:sz w:val="20"/>
                <w:szCs w:val="20"/>
                <w:color w:val="auto"/>
              </w:rPr>
            </w:pPr>
          </w:p>
        </w:tc>
        <w:tc>
          <w:tcPr>
            <w:tcW w:w="9880" w:type="dxa"/>
            <w:vAlign w:val="bottom"/>
          </w:tcPr>
          <w:p>
            <w:pPr>
              <w:spacing w:after="0"/>
              <w:rPr>
                <w:sz w:val="20"/>
                <w:szCs w:val="20"/>
                <w:color w:val="auto"/>
              </w:rPr>
            </w:pPr>
            <w:r>
              <w:rPr>
                <w:rFonts w:ascii="Arial" w:cs="Arial" w:eastAsia="Arial" w:hAnsi="Arial"/>
                <w:sz w:val="18"/>
                <w:szCs w:val="18"/>
                <w:color w:val="auto"/>
                <w:w w:val="97"/>
              </w:rPr>
              <w:t>15d-14(a) under the Securities Exchange Act of 1934, as Adopted Pursuant to Section 302 of the Sarbanes-Oxley Act of 2002.*</w:t>
            </w:r>
          </w:p>
        </w:tc>
      </w:tr>
      <w:tr>
        <w:trPr>
          <w:trHeight w:val="175"/>
        </w:trPr>
        <w:tc>
          <w:tcPr>
            <w:tcW w:w="1360" w:type="dxa"/>
            <w:vAlign w:val="bottom"/>
            <w:gridSpan w:val="4"/>
            <w:shd w:val="clear" w:color="auto" w:fill="CCEEFF"/>
          </w:tcPr>
          <w:p>
            <w:pPr>
              <w:jc w:val="right"/>
              <w:ind w:right="220"/>
              <w:spacing w:after="0" w:line="176" w:lineRule="exact"/>
              <w:rPr>
                <w:rFonts w:ascii="Arial" w:cs="Arial" w:eastAsia="Arial" w:hAnsi="Arial"/>
                <w:sz w:val="18"/>
                <w:szCs w:val="18"/>
                <w:color w:val="0000EE"/>
              </w:rPr>
            </w:pPr>
            <w:hyperlink w:anchor="page124">
              <w:r>
                <w:rPr>
                  <w:rFonts w:ascii="Arial" w:cs="Arial" w:eastAsia="Arial" w:hAnsi="Arial"/>
                  <w:sz w:val="18"/>
                  <w:szCs w:val="18"/>
                  <w:color w:val="0000EE"/>
                </w:rPr>
                <w:t>32.</w:t>
              </w:r>
              <w:r>
                <w:rPr>
                  <w:rFonts w:ascii="Arial" w:cs="Arial" w:eastAsia="Arial" w:hAnsi="Arial"/>
                  <w:sz w:val="18"/>
                  <w:szCs w:val="18"/>
                  <w:u w:val="single" w:color="auto"/>
                  <w:color w:val="0000EE"/>
                </w:rPr>
                <w:t>1</w:t>
              </w:r>
            </w:hyperlink>
          </w:p>
        </w:tc>
        <w:tc>
          <w:tcPr>
            <w:tcW w:w="98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w w:val="93"/>
              </w:rPr>
              <w:t>Certification of the Registrant’s Chief Executive Officer (Principal Executive Officer) Pursuant to 18 U.S.C. Section 1350, as Adopted</w:t>
            </w:r>
          </w:p>
        </w:tc>
      </w:tr>
      <w:tr>
        <w:trPr>
          <w:trHeight w:val="237"/>
        </w:trPr>
        <w:tc>
          <w:tcPr>
            <w:tcW w:w="82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0000EE"/>
            </w:tcBorders>
            <w:shd w:val="clear" w:color="auto" w:fill="CCEEFF"/>
          </w:tcPr>
          <w:p>
            <w:pPr>
              <w:spacing w:after="0"/>
              <w:rPr>
                <w:sz w:val="20"/>
                <w:szCs w:val="20"/>
                <w:color w:val="auto"/>
              </w:rPr>
            </w:pPr>
          </w:p>
        </w:tc>
        <w:tc>
          <w:tcPr>
            <w:tcW w:w="220" w:type="dxa"/>
            <w:vAlign w:val="bottom"/>
            <w:tcBorders>
              <w:top w:val="single" w:sz="8" w:color="0000EE"/>
            </w:tcBorders>
            <w:shd w:val="clear" w:color="auto" w:fill="CCEEFF"/>
          </w:tcPr>
          <w:p>
            <w:pPr>
              <w:spacing w:after="0"/>
              <w:rPr>
                <w:sz w:val="20"/>
                <w:szCs w:val="20"/>
                <w:color w:val="auto"/>
              </w:rPr>
            </w:pPr>
          </w:p>
        </w:tc>
        <w:tc>
          <w:tcPr>
            <w:tcW w:w="220" w:type="dxa"/>
            <w:vAlign w:val="bottom"/>
            <w:tcBorders>
              <w:top w:val="single" w:sz="8" w:color="CCEEFF"/>
            </w:tcBorders>
            <w:shd w:val="clear" w:color="auto" w:fill="CCEEFF"/>
          </w:tcPr>
          <w:p>
            <w:pPr>
              <w:spacing w:after="0"/>
              <w:rPr>
                <w:sz w:val="20"/>
                <w:szCs w:val="20"/>
                <w:color w:val="auto"/>
              </w:rPr>
            </w:pPr>
          </w:p>
        </w:tc>
        <w:tc>
          <w:tcPr>
            <w:tcW w:w="9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Pursuant to Section 906 of the Sarbanes-Oxley Act of 2002.*</w:t>
            </w:r>
          </w:p>
        </w:tc>
      </w:tr>
      <w:tr>
        <w:trPr>
          <w:trHeight w:val="175"/>
        </w:trPr>
        <w:tc>
          <w:tcPr>
            <w:tcW w:w="1360" w:type="dxa"/>
            <w:vAlign w:val="bottom"/>
            <w:gridSpan w:val="4"/>
          </w:tcPr>
          <w:p>
            <w:pPr>
              <w:jc w:val="right"/>
              <w:ind w:right="220"/>
              <w:spacing w:after="0" w:line="176" w:lineRule="exact"/>
              <w:rPr>
                <w:rFonts w:ascii="Arial" w:cs="Arial" w:eastAsia="Arial" w:hAnsi="Arial"/>
                <w:sz w:val="18"/>
                <w:szCs w:val="18"/>
                <w:color w:val="0000EE"/>
              </w:rPr>
            </w:pPr>
            <w:hyperlink w:anchor="page125">
              <w:r>
                <w:rPr>
                  <w:rFonts w:ascii="Arial" w:cs="Arial" w:eastAsia="Arial" w:hAnsi="Arial"/>
                  <w:sz w:val="18"/>
                  <w:szCs w:val="18"/>
                  <w:color w:val="0000EE"/>
                </w:rPr>
                <w:t>32.</w:t>
              </w:r>
              <w:r>
                <w:rPr>
                  <w:rFonts w:ascii="Arial" w:cs="Arial" w:eastAsia="Arial" w:hAnsi="Arial"/>
                  <w:sz w:val="18"/>
                  <w:szCs w:val="18"/>
                  <w:u w:val="single" w:color="auto"/>
                  <w:color w:val="0000EE"/>
                </w:rPr>
                <w:t>2</w:t>
              </w:r>
            </w:hyperlink>
          </w:p>
        </w:tc>
        <w:tc>
          <w:tcPr>
            <w:tcW w:w="9880" w:type="dxa"/>
            <w:vAlign w:val="bottom"/>
          </w:tcPr>
          <w:p>
            <w:pPr>
              <w:spacing w:after="0" w:line="176" w:lineRule="exact"/>
              <w:rPr>
                <w:sz w:val="20"/>
                <w:szCs w:val="20"/>
                <w:color w:val="auto"/>
              </w:rPr>
            </w:pPr>
            <w:r>
              <w:rPr>
                <w:rFonts w:ascii="Arial" w:cs="Arial" w:eastAsia="Arial" w:hAnsi="Arial"/>
                <w:sz w:val="18"/>
                <w:szCs w:val="18"/>
                <w:color w:val="auto"/>
                <w:w w:val="96"/>
              </w:rPr>
              <w:t>Certification of the Registrant’s Chief Financial Officer (Principal Financial and Accounting Officer) Pursuant to 18 U.S.C. Section</w:t>
            </w:r>
          </w:p>
        </w:tc>
      </w:tr>
      <w:tr>
        <w:trPr>
          <w:trHeight w:val="236"/>
        </w:trPr>
        <w:tc>
          <w:tcPr>
            <w:tcW w:w="820" w:type="dxa"/>
            <w:vAlign w:val="bottom"/>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220" w:type="dxa"/>
            <w:vAlign w:val="bottom"/>
            <w:tcBorders>
              <w:top w:val="single" w:sz="8" w:color="0000EE"/>
            </w:tcBorders>
          </w:tcPr>
          <w:p>
            <w:pPr>
              <w:spacing w:after="0"/>
              <w:rPr>
                <w:sz w:val="20"/>
                <w:szCs w:val="20"/>
                <w:color w:val="auto"/>
              </w:rPr>
            </w:pPr>
          </w:p>
        </w:tc>
        <w:tc>
          <w:tcPr>
            <w:tcW w:w="220" w:type="dxa"/>
            <w:vAlign w:val="bottom"/>
          </w:tcPr>
          <w:p>
            <w:pPr>
              <w:spacing w:after="0"/>
              <w:rPr>
                <w:sz w:val="20"/>
                <w:szCs w:val="20"/>
                <w:color w:val="auto"/>
              </w:rPr>
            </w:pPr>
          </w:p>
        </w:tc>
        <w:tc>
          <w:tcPr>
            <w:tcW w:w="9880" w:type="dxa"/>
            <w:vAlign w:val="bottom"/>
          </w:tcPr>
          <w:p>
            <w:pPr>
              <w:spacing w:after="0"/>
              <w:rPr>
                <w:sz w:val="20"/>
                <w:szCs w:val="20"/>
                <w:color w:val="auto"/>
              </w:rPr>
            </w:pPr>
            <w:r>
              <w:rPr>
                <w:rFonts w:ascii="Arial" w:cs="Arial" w:eastAsia="Arial" w:hAnsi="Arial"/>
                <w:sz w:val="18"/>
                <w:szCs w:val="18"/>
                <w:color w:val="auto"/>
              </w:rPr>
              <w:t>1350, as Adopted Pursuant to Section 906 of the Sarbanes-Oxley Act of 2002.*</w:t>
            </w:r>
          </w:p>
        </w:tc>
      </w:tr>
      <w:tr>
        <w:trPr>
          <w:trHeight w:val="216"/>
        </w:trPr>
        <w:tc>
          <w:tcPr>
            <w:tcW w:w="136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101.INS</w:t>
            </w:r>
          </w:p>
        </w:tc>
        <w:tc>
          <w:tcPr>
            <w:tcW w:w="9880" w:type="dxa"/>
            <w:vAlign w:val="bottom"/>
            <w:shd w:val="clear" w:color="auto" w:fill="CCEEFF"/>
          </w:tcPr>
          <w:p>
            <w:pPr>
              <w:spacing w:after="0"/>
              <w:rPr>
                <w:sz w:val="20"/>
                <w:szCs w:val="20"/>
                <w:color w:val="auto"/>
              </w:rPr>
            </w:pPr>
            <w:r>
              <w:rPr>
                <w:rFonts w:ascii="Arial" w:cs="Arial" w:eastAsia="Arial" w:hAnsi="Arial"/>
                <w:sz w:val="18"/>
                <w:szCs w:val="18"/>
                <w:color w:val="auto"/>
              </w:rPr>
              <w:t>XBRL Instance Document</w:t>
            </w:r>
          </w:p>
        </w:tc>
      </w:tr>
      <w:tr>
        <w:trPr>
          <w:trHeight w:val="216"/>
        </w:trPr>
        <w:tc>
          <w:tcPr>
            <w:tcW w:w="1360" w:type="dxa"/>
            <w:vAlign w:val="bottom"/>
            <w:gridSpan w:val="4"/>
          </w:tcPr>
          <w:p>
            <w:pPr>
              <w:jc w:val="right"/>
              <w:ind w:right="220"/>
              <w:spacing w:after="0"/>
              <w:rPr>
                <w:sz w:val="20"/>
                <w:szCs w:val="20"/>
                <w:color w:val="auto"/>
              </w:rPr>
            </w:pPr>
            <w:r>
              <w:rPr>
                <w:rFonts w:ascii="Arial" w:cs="Arial" w:eastAsia="Arial" w:hAnsi="Arial"/>
                <w:sz w:val="18"/>
                <w:szCs w:val="18"/>
                <w:color w:val="auto"/>
              </w:rPr>
              <w:t>101.SCH</w:t>
            </w:r>
          </w:p>
        </w:tc>
        <w:tc>
          <w:tcPr>
            <w:tcW w:w="9880" w:type="dxa"/>
            <w:vAlign w:val="bottom"/>
          </w:tcPr>
          <w:p>
            <w:pPr>
              <w:spacing w:after="0"/>
              <w:rPr>
                <w:sz w:val="20"/>
                <w:szCs w:val="20"/>
                <w:color w:val="auto"/>
              </w:rPr>
            </w:pPr>
            <w:r>
              <w:rPr>
                <w:rFonts w:ascii="Arial" w:cs="Arial" w:eastAsia="Arial" w:hAnsi="Arial"/>
                <w:sz w:val="18"/>
                <w:szCs w:val="18"/>
                <w:color w:val="auto"/>
              </w:rPr>
              <w:t>XBRL Taxonomy Extension Schema</w:t>
            </w:r>
          </w:p>
        </w:tc>
      </w:tr>
      <w:tr>
        <w:trPr>
          <w:trHeight w:val="216"/>
        </w:trPr>
        <w:tc>
          <w:tcPr>
            <w:tcW w:w="136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101.CAL</w:t>
            </w:r>
          </w:p>
        </w:tc>
        <w:tc>
          <w:tcPr>
            <w:tcW w:w="9880" w:type="dxa"/>
            <w:vAlign w:val="bottom"/>
            <w:shd w:val="clear" w:color="auto" w:fill="CCEEFF"/>
          </w:tcPr>
          <w:p>
            <w:pPr>
              <w:spacing w:after="0"/>
              <w:rPr>
                <w:sz w:val="20"/>
                <w:szCs w:val="20"/>
                <w:color w:val="auto"/>
              </w:rPr>
            </w:pPr>
            <w:r>
              <w:rPr>
                <w:rFonts w:ascii="Arial" w:cs="Arial" w:eastAsia="Arial" w:hAnsi="Arial"/>
                <w:sz w:val="18"/>
                <w:szCs w:val="18"/>
                <w:color w:val="auto"/>
              </w:rPr>
              <w:t>XBRL Taxonomy Extension Calculation Linkbase</w:t>
            </w:r>
          </w:p>
        </w:tc>
      </w:tr>
      <w:tr>
        <w:trPr>
          <w:trHeight w:val="216"/>
        </w:trPr>
        <w:tc>
          <w:tcPr>
            <w:tcW w:w="1360" w:type="dxa"/>
            <w:vAlign w:val="bottom"/>
            <w:gridSpan w:val="4"/>
          </w:tcPr>
          <w:p>
            <w:pPr>
              <w:jc w:val="right"/>
              <w:ind w:right="220"/>
              <w:spacing w:after="0"/>
              <w:rPr>
                <w:sz w:val="20"/>
                <w:szCs w:val="20"/>
                <w:color w:val="auto"/>
              </w:rPr>
            </w:pPr>
            <w:r>
              <w:rPr>
                <w:rFonts w:ascii="Arial" w:cs="Arial" w:eastAsia="Arial" w:hAnsi="Arial"/>
                <w:sz w:val="18"/>
                <w:szCs w:val="18"/>
                <w:color w:val="auto"/>
              </w:rPr>
              <w:t>101.DEF</w:t>
            </w:r>
          </w:p>
        </w:tc>
        <w:tc>
          <w:tcPr>
            <w:tcW w:w="9880" w:type="dxa"/>
            <w:vAlign w:val="bottom"/>
          </w:tcPr>
          <w:p>
            <w:pPr>
              <w:spacing w:after="0"/>
              <w:rPr>
                <w:sz w:val="20"/>
                <w:szCs w:val="20"/>
                <w:color w:val="auto"/>
              </w:rPr>
            </w:pPr>
            <w:r>
              <w:rPr>
                <w:rFonts w:ascii="Arial" w:cs="Arial" w:eastAsia="Arial" w:hAnsi="Arial"/>
                <w:sz w:val="18"/>
                <w:szCs w:val="18"/>
                <w:color w:val="auto"/>
              </w:rPr>
              <w:t>XBRL Taxonomy Extension Definition Linkbase</w:t>
            </w:r>
          </w:p>
        </w:tc>
      </w:tr>
      <w:tr>
        <w:trPr>
          <w:trHeight w:val="216"/>
        </w:trPr>
        <w:tc>
          <w:tcPr>
            <w:tcW w:w="136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101.LAB</w:t>
            </w:r>
          </w:p>
        </w:tc>
        <w:tc>
          <w:tcPr>
            <w:tcW w:w="9880" w:type="dxa"/>
            <w:vAlign w:val="bottom"/>
            <w:shd w:val="clear" w:color="auto" w:fill="CCEEFF"/>
          </w:tcPr>
          <w:p>
            <w:pPr>
              <w:spacing w:after="0"/>
              <w:rPr>
                <w:sz w:val="20"/>
                <w:szCs w:val="20"/>
                <w:color w:val="auto"/>
              </w:rPr>
            </w:pPr>
            <w:r>
              <w:rPr>
                <w:rFonts w:ascii="Arial" w:cs="Arial" w:eastAsia="Arial" w:hAnsi="Arial"/>
                <w:sz w:val="18"/>
                <w:szCs w:val="18"/>
                <w:color w:val="auto"/>
              </w:rPr>
              <w:t>XBRL Taxonomy Extension Label Linkbase</w:t>
            </w:r>
          </w:p>
        </w:tc>
      </w:tr>
      <w:tr>
        <w:trPr>
          <w:trHeight w:val="230"/>
        </w:trPr>
        <w:tc>
          <w:tcPr>
            <w:tcW w:w="1360" w:type="dxa"/>
            <w:vAlign w:val="bottom"/>
            <w:gridSpan w:val="4"/>
          </w:tcPr>
          <w:p>
            <w:pPr>
              <w:jc w:val="right"/>
              <w:ind w:right="220"/>
              <w:spacing w:after="0"/>
              <w:rPr>
                <w:sz w:val="20"/>
                <w:szCs w:val="20"/>
                <w:color w:val="auto"/>
              </w:rPr>
            </w:pPr>
            <w:r>
              <w:rPr>
                <w:rFonts w:ascii="Arial" w:cs="Arial" w:eastAsia="Arial" w:hAnsi="Arial"/>
                <w:sz w:val="18"/>
                <w:szCs w:val="18"/>
                <w:color w:val="auto"/>
              </w:rPr>
              <w:t>101.PRE</w:t>
            </w:r>
          </w:p>
        </w:tc>
        <w:tc>
          <w:tcPr>
            <w:tcW w:w="9880" w:type="dxa"/>
            <w:vAlign w:val="bottom"/>
          </w:tcPr>
          <w:p>
            <w:pPr>
              <w:spacing w:after="0"/>
              <w:rPr>
                <w:sz w:val="20"/>
                <w:szCs w:val="20"/>
                <w:color w:val="auto"/>
              </w:rPr>
            </w:pPr>
            <w:r>
              <w:rPr>
                <w:rFonts w:ascii="Arial" w:cs="Arial" w:eastAsia="Arial" w:hAnsi="Arial"/>
                <w:sz w:val="18"/>
                <w:szCs w:val="18"/>
                <w:color w:val="auto"/>
              </w:rPr>
              <w:t>XBRL Taxonomy Extension Presentation Linkbase</w:t>
            </w:r>
          </w:p>
        </w:tc>
      </w:tr>
    </w:tbl>
    <w:p>
      <w:pPr>
        <w:spacing w:after="0" w:line="214" w:lineRule="exact"/>
        <w:rPr>
          <w:sz w:val="20"/>
          <w:szCs w:val="20"/>
          <w:color w:val="auto"/>
        </w:rPr>
      </w:pPr>
    </w:p>
    <w:p>
      <w:pPr>
        <w:ind w:left="340" w:hanging="332"/>
        <w:spacing w:after="0"/>
        <w:tabs>
          <w:tab w:leader="none" w:pos="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48"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6"/>
          <w:szCs w:val="16"/>
          <w:b w:val="1"/>
          <w:bCs w:val="1"/>
          <w:color w:val="auto"/>
        </w:rPr>
        <w:t>Form 10-K Summary</w:t>
      </w:r>
    </w:p>
    <w:p>
      <w:pPr>
        <w:spacing w:after="0" w:line="249" w:lineRule="exact"/>
        <w:rPr>
          <w:sz w:val="20"/>
          <w:szCs w:val="20"/>
          <w:color w:val="auto"/>
        </w:rPr>
      </w:pPr>
    </w:p>
    <w:p>
      <w:pPr>
        <w:ind w:left="340"/>
        <w:spacing w:after="0"/>
        <w:rPr>
          <w:sz w:val="20"/>
          <w:szCs w:val="20"/>
          <w:color w:val="auto"/>
        </w:rPr>
      </w:pPr>
      <w:r>
        <w:rPr>
          <w:rFonts w:ascii="Arial" w:cs="Arial" w:eastAsia="Arial" w:hAnsi="Arial"/>
          <w:sz w:val="22"/>
          <w:szCs w:val="22"/>
          <w:color w:val="auto"/>
        </w:rPr>
        <w:t>Not applicable.</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7" w:name="page88"/>
    <w:bookmarkEnd w:id="87"/>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SIGNATURES</w:t>
      </w:r>
    </w:p>
    <w:p>
      <w:pPr>
        <w:spacing w:after="0" w:line="239" w:lineRule="exact"/>
        <w:rPr>
          <w:sz w:val="20"/>
          <w:szCs w:val="20"/>
          <w:color w:val="auto"/>
        </w:rPr>
      </w:pPr>
    </w:p>
    <w:p>
      <w:pPr>
        <w:ind w:right="140" w:firstLine="324"/>
        <w:spacing w:after="0" w:line="328" w:lineRule="auto"/>
        <w:rPr>
          <w:sz w:val="20"/>
          <w:szCs w:val="20"/>
          <w:color w:val="auto"/>
        </w:rPr>
      </w:pPr>
      <w:r>
        <w:rPr>
          <w:rFonts w:ascii="Arial" w:cs="Arial" w:eastAsia="Arial" w:hAnsi="Arial"/>
          <w:sz w:val="19"/>
          <w:szCs w:val="19"/>
          <w:color w:val="auto"/>
        </w:rPr>
        <w:t>Pursuant to the requirements of Section 13 or 15(d) of the Securities Act of 1934, as amended, the registrant has duly caused this Annual Report on Form 10-K to be signed on its behalf by the undersigned, thereunto duly authorized, on March 30, 2020.</w:t>
      </w:r>
    </w:p>
    <w:p>
      <w:pPr>
        <w:spacing w:after="0" w:line="135"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Silver Spike Acquisition Corp.</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Scott Gordon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23495</wp:posOffset>
            </wp:positionV>
            <wp:extent cx="249428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7">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0"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Scott Gordon</w:t>
      </w:r>
    </w:p>
    <w:p>
      <w:pPr>
        <w:spacing w:after="0" w:line="23" w:lineRule="exact"/>
        <w:rPr>
          <w:sz w:val="20"/>
          <w:szCs w:val="20"/>
          <w:color w:val="auto"/>
        </w:rPr>
      </w:pPr>
    </w:p>
    <w:p>
      <w:pPr>
        <w:ind w:left="5980"/>
        <w:spacing w:after="0"/>
        <w:tabs>
          <w:tab w:leader="none" w:pos="6520" w:val="left"/>
        </w:tabs>
        <w:rPr>
          <w:sz w:val="20"/>
          <w:szCs w:val="20"/>
          <w:color w:val="auto"/>
        </w:rPr>
      </w:pPr>
      <w:r>
        <w:rPr>
          <w:rFonts w:ascii="Arial" w:cs="Arial" w:eastAsia="Arial" w:hAnsi="Arial"/>
          <w:sz w:val="18"/>
          <w:szCs w:val="18"/>
          <w:color w:val="auto"/>
        </w:rPr>
        <w:t>Title:</w:t>
        <w:tab/>
        <w:t>Chief Executive Officer and Chairman</w:t>
      </w:r>
    </w:p>
    <w:p>
      <w:pPr>
        <w:spacing w:after="0" w:line="231" w:lineRule="exact"/>
        <w:rPr>
          <w:sz w:val="20"/>
          <w:szCs w:val="20"/>
          <w:color w:val="auto"/>
        </w:rPr>
      </w:pPr>
    </w:p>
    <w:p>
      <w:pPr>
        <w:ind w:right="20" w:firstLine="324"/>
        <w:spacing w:after="0" w:line="250" w:lineRule="auto"/>
        <w:rPr>
          <w:sz w:val="20"/>
          <w:szCs w:val="20"/>
          <w:color w:val="auto"/>
        </w:rPr>
      </w:pPr>
      <w:r>
        <w:rPr>
          <w:rFonts w:ascii="Arial" w:cs="Arial" w:eastAsia="Arial" w:hAnsi="Arial"/>
          <w:sz w:val="22"/>
          <w:szCs w:val="22"/>
          <w:color w:val="auto"/>
        </w:rPr>
        <w:t>Pursuant to the requirements of the Securities Exchange Act of 1934, as amended, this Annual Report on Form 10-K has been signed by the following persons in the capacity and on the dates indicated.</w:t>
      </w:r>
    </w:p>
    <w:p>
      <w:pPr>
        <w:sectPr>
          <w:pgSz w:w="11900" w:h="16838" w:orient="portrait"/>
          <w:cols w:equalWidth="0" w:num="1">
            <w:col w:w="11240"/>
          </w:cols>
          <w:pgMar w:left="320" w:top="121" w:right="339" w:bottom="1440" w:gutter="0" w:footer="0" w:header="0"/>
        </w:sectPr>
      </w:pPr>
    </w:p>
    <w:p>
      <w:pPr>
        <w:spacing w:after="0" w:line="205" w:lineRule="exact"/>
        <w:rPr>
          <w:sz w:val="20"/>
          <w:szCs w:val="20"/>
          <w:color w:val="auto"/>
        </w:rPr>
      </w:pPr>
    </w:p>
    <w:p>
      <w:pPr>
        <w:ind w:left="1180"/>
        <w:spacing w:after="0"/>
        <w:rPr>
          <w:sz w:val="20"/>
          <w:szCs w:val="20"/>
          <w:color w:val="auto"/>
        </w:rPr>
      </w:pPr>
      <w:r>
        <w:rPr>
          <w:rFonts w:ascii="Arial" w:cs="Arial" w:eastAsia="Arial" w:hAnsi="Arial"/>
          <w:sz w:val="18"/>
          <w:szCs w:val="18"/>
          <w:b w:val="1"/>
          <w:bCs w:val="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1765935"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8">
                      <a:extLst>
                        <a:ext uri="{28A0092B-C50C-407E-A947-70E740481C1C}"/>
                      </a:extLst>
                    </a:blip>
                    <a:srcRect/>
                    <a:stretch>
                      <a:fillRect/>
                    </a:stretch>
                  </pic:blipFill>
                  <pic:spPr bwMode="auto">
                    <a:xfrm>
                      <a:off x="0" y="0"/>
                      <a:ext cx="1765935" cy="17145"/>
                    </a:xfrm>
                    <a:prstGeom prst="rect">
                      <a:avLst/>
                    </a:prstGeom>
                    <a:noFill/>
                  </pic:spPr>
                </pic:pic>
              </a:graphicData>
            </a:graphic>
          </wp:anchor>
        </w:drawing>
      </w:r>
    </w:p>
    <w:p>
      <w:pPr>
        <w:spacing w:after="0" w:line="25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 Scott Gordon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1765935"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9">
                      <a:extLst>
                        <a:ext uri="{28A0092B-C50C-407E-A947-70E740481C1C}"/>
                      </a:extLst>
                    </a:blip>
                    <a:srcRect/>
                    <a:stretch>
                      <a:fillRect/>
                    </a:stretch>
                  </pic:blipFill>
                  <pic:spPr bwMode="auto">
                    <a:xfrm>
                      <a:off x="0" y="0"/>
                      <a:ext cx="1765935" cy="17145"/>
                    </a:xfrm>
                    <a:prstGeom prst="rect">
                      <a:avLst/>
                    </a:prstGeom>
                    <a:noFill/>
                  </pic:spPr>
                </pic:pic>
              </a:graphicData>
            </a:graphic>
          </wp:anchor>
        </w:drawing>
      </w:r>
    </w:p>
    <w:p>
      <w:pPr>
        <w:spacing w:after="0" w:line="3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Scott Gordon</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 William Healy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1765935"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0">
                      <a:extLst>
                        <a:ext uri="{28A0092B-C50C-407E-A947-70E740481C1C}"/>
                      </a:extLst>
                    </a:blip>
                    <a:srcRect/>
                    <a:stretch>
                      <a:fillRect/>
                    </a:stretch>
                  </pic:blipFill>
                  <pic:spPr bwMode="auto">
                    <a:xfrm>
                      <a:off x="0" y="0"/>
                      <a:ext cx="1765935" cy="17145"/>
                    </a:xfrm>
                    <a:prstGeom prst="rect">
                      <a:avLst/>
                    </a:prstGeom>
                    <a:noFill/>
                  </pic:spPr>
                </pic:pic>
              </a:graphicData>
            </a:graphic>
          </wp:anchor>
        </w:drawing>
      </w:r>
    </w:p>
    <w:p>
      <w:pPr>
        <w:spacing w:after="0" w:line="3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William Healy</w:t>
      </w:r>
    </w:p>
    <w:p>
      <w:pPr>
        <w:spacing w:after="0" w:line="225" w:lineRule="exact"/>
        <w:rPr>
          <w:sz w:val="20"/>
          <w:szCs w:val="20"/>
          <w:color w:val="auto"/>
        </w:rPr>
      </w:pPr>
    </w:p>
    <w:p>
      <w:pPr>
        <w:ind w:left="180" w:right="320"/>
        <w:spacing w:after="0" w:line="357" w:lineRule="auto"/>
        <w:rPr>
          <w:sz w:val="20"/>
          <w:szCs w:val="20"/>
          <w:color w:val="auto"/>
        </w:rPr>
      </w:pPr>
      <w:r>
        <w:rPr>
          <w:rFonts w:ascii="Arial" w:cs="Arial" w:eastAsia="Arial" w:hAnsi="Arial"/>
          <w:sz w:val="17"/>
          <w:szCs w:val="17"/>
          <w:color w:val="auto"/>
        </w:rPr>
        <w:t>/s/ Gregory M. Gentile Gregory M. Gentile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1765935"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1">
                      <a:extLst>
                        <a:ext uri="{28A0092B-C50C-407E-A947-70E740481C1C}"/>
                      </a:extLst>
                    </a:blip>
                    <a:srcRect/>
                    <a:stretch>
                      <a:fillRect/>
                    </a:stretch>
                  </pic:blipFill>
                  <pic:spPr bwMode="auto">
                    <a:xfrm>
                      <a:off x="0" y="0"/>
                      <a:ext cx="1765935" cy="17145"/>
                    </a:xfrm>
                    <a:prstGeom prst="rect">
                      <a:avLst/>
                    </a:prstGeom>
                    <a:noFill/>
                  </pic:spPr>
                </pic:pic>
              </a:graphicData>
            </a:graphic>
          </wp:anchor>
        </w:drawing>
      </w:r>
    </w:p>
    <w:p>
      <w:pPr>
        <w:spacing w:after="0" w:line="8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 Orrin Devinsky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1765935"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2">
                      <a:extLst>
                        <a:ext uri="{28A0092B-C50C-407E-A947-70E740481C1C}"/>
                      </a:extLst>
                    </a:blip>
                    <a:srcRect/>
                    <a:stretch>
                      <a:fillRect/>
                    </a:stretch>
                  </pic:blipFill>
                  <pic:spPr bwMode="auto">
                    <a:xfrm>
                      <a:off x="0" y="0"/>
                      <a:ext cx="1765935" cy="17145"/>
                    </a:xfrm>
                    <a:prstGeom prst="rect">
                      <a:avLst/>
                    </a:prstGeom>
                    <a:noFill/>
                  </pic:spPr>
                </pic:pic>
              </a:graphicData>
            </a:graphic>
          </wp:anchor>
        </w:drawing>
      </w:r>
    </w:p>
    <w:p>
      <w:pPr>
        <w:spacing w:after="0" w:line="3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Orrin Devinsky</w:t>
      </w:r>
    </w:p>
    <w:p>
      <w:pPr>
        <w:spacing w:after="0" w:line="225" w:lineRule="exact"/>
        <w:rPr>
          <w:sz w:val="20"/>
          <w:szCs w:val="20"/>
          <w:color w:val="auto"/>
        </w:rPr>
      </w:pPr>
    </w:p>
    <w:p>
      <w:pPr>
        <w:ind w:left="180" w:right="220"/>
        <w:spacing w:after="0" w:line="395" w:lineRule="auto"/>
        <w:rPr>
          <w:sz w:val="20"/>
          <w:szCs w:val="20"/>
          <w:color w:val="auto"/>
        </w:rPr>
      </w:pPr>
      <w:r>
        <w:rPr>
          <w:rFonts w:ascii="Arial" w:cs="Arial" w:eastAsia="Arial" w:hAnsi="Arial"/>
          <w:sz w:val="16"/>
          <w:szCs w:val="16"/>
          <w:color w:val="auto"/>
        </w:rPr>
        <w:t>/s/ Richard M. Goldman Richard M. Goldman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1765935"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3">
                      <a:extLst>
                        <a:ext uri="{28A0092B-C50C-407E-A947-70E740481C1C}"/>
                      </a:extLst>
                    </a:blip>
                    <a:srcRect/>
                    <a:stretch>
                      <a:fillRect/>
                    </a:stretch>
                  </pic:blipFill>
                  <pic:spPr bwMode="auto">
                    <a:xfrm>
                      <a:off x="0" y="0"/>
                      <a:ext cx="1765935" cy="17145"/>
                    </a:xfrm>
                    <a:prstGeom prst="rect">
                      <a:avLst/>
                    </a:prstGeom>
                    <a:noFill/>
                  </pic:spPr>
                </pic:pic>
              </a:graphicData>
            </a:graphic>
          </wp:anchor>
        </w:drawing>
      </w:r>
    </w:p>
    <w:p>
      <w:pPr>
        <w:spacing w:after="0" w:line="76" w:lineRule="exact"/>
        <w:rPr>
          <w:sz w:val="20"/>
          <w:szCs w:val="20"/>
          <w:color w:val="auto"/>
        </w:rPr>
      </w:pPr>
    </w:p>
    <w:p>
      <w:pPr>
        <w:ind w:left="180" w:right="440"/>
        <w:spacing w:after="0" w:line="377" w:lineRule="auto"/>
        <w:rPr>
          <w:sz w:val="20"/>
          <w:szCs w:val="20"/>
          <w:color w:val="auto"/>
        </w:rPr>
      </w:pPr>
      <w:r>
        <w:rPr>
          <w:rFonts w:ascii="Arial" w:cs="Arial" w:eastAsia="Arial" w:hAnsi="Arial"/>
          <w:sz w:val="16"/>
          <w:szCs w:val="16"/>
          <w:color w:val="auto"/>
        </w:rPr>
        <w:t>/s/ Kenneth H. Landis Kenneth H. Landis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1765935"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4">
                      <a:extLst>
                        <a:ext uri="{28A0092B-C50C-407E-A947-70E740481C1C}"/>
                      </a:extLst>
                    </a:blip>
                    <a:srcRect/>
                    <a:stretch>
                      <a:fillRect/>
                    </a:stretch>
                  </pic:blipFill>
                  <pic:spPr bwMode="auto">
                    <a:xfrm>
                      <a:off x="0" y="0"/>
                      <a:ext cx="1765935"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5"/>
        </w:trPr>
        <w:tc>
          <w:tcPr>
            <w:tcW w:w="6980" w:type="dxa"/>
            <w:vAlign w:val="bottom"/>
            <w:tcBorders>
              <w:bottom w:val="single" w:sz="8" w:color="auto"/>
            </w:tcBorders>
          </w:tcPr>
          <w:p>
            <w:pPr>
              <w:ind w:left="3200"/>
              <w:spacing w:after="0"/>
              <w:rPr>
                <w:sz w:val="20"/>
                <w:szCs w:val="20"/>
                <w:color w:val="auto"/>
              </w:rPr>
            </w:pPr>
            <w:r>
              <w:rPr>
                <w:rFonts w:ascii="Arial" w:cs="Arial" w:eastAsia="Arial" w:hAnsi="Arial"/>
                <w:sz w:val="18"/>
                <w:szCs w:val="18"/>
                <w:b w:val="1"/>
                <w:bCs w:val="1"/>
                <w:color w:val="auto"/>
              </w:rPr>
              <w:t>Positon</w:t>
            </w:r>
          </w:p>
        </w:tc>
        <w:tc>
          <w:tcPr>
            <w:tcW w:w="120" w:type="dxa"/>
            <w:vAlign w:val="bottom"/>
          </w:tcPr>
          <w:p>
            <w:pPr>
              <w:spacing w:after="0"/>
              <w:rPr>
                <w:sz w:val="22"/>
                <w:szCs w:val="22"/>
                <w:color w:val="auto"/>
              </w:rPr>
            </w:pPr>
          </w:p>
        </w:tc>
        <w:tc>
          <w:tcPr>
            <w:tcW w:w="1240" w:type="dxa"/>
            <w:vAlign w:val="bottom"/>
            <w:tcBorders>
              <w:bottom w:val="single" w:sz="8" w:color="auto"/>
            </w:tcBorders>
          </w:tcPr>
          <w:p>
            <w:pPr>
              <w:ind w:left="440"/>
              <w:spacing w:after="0"/>
              <w:rPr>
                <w:sz w:val="20"/>
                <w:szCs w:val="20"/>
                <w:color w:val="auto"/>
              </w:rPr>
            </w:pPr>
            <w:r>
              <w:rPr>
                <w:rFonts w:ascii="Arial" w:cs="Arial" w:eastAsia="Arial" w:hAnsi="Arial"/>
                <w:sz w:val="18"/>
                <w:szCs w:val="18"/>
                <w:b w:val="1"/>
                <w:bCs w:val="1"/>
                <w:color w:val="auto"/>
              </w:rPr>
              <w:t>Date</w:t>
            </w:r>
          </w:p>
        </w:tc>
      </w:tr>
      <w:tr>
        <w:trPr>
          <w:trHeight w:val="540"/>
        </w:trPr>
        <w:tc>
          <w:tcPr>
            <w:tcW w:w="7100" w:type="dxa"/>
            <w:vAlign w:val="bottom"/>
            <w:gridSpan w:val="2"/>
          </w:tcPr>
          <w:p>
            <w:pPr>
              <w:spacing w:after="0"/>
              <w:rPr>
                <w:sz w:val="20"/>
                <w:szCs w:val="20"/>
                <w:color w:val="auto"/>
              </w:rPr>
            </w:pPr>
            <w:r>
              <w:rPr>
                <w:rFonts w:ascii="Arial" w:cs="Arial" w:eastAsia="Arial" w:hAnsi="Arial"/>
                <w:sz w:val="18"/>
                <w:szCs w:val="18"/>
                <w:color w:val="auto"/>
              </w:rPr>
              <w:t>Chief Executive Officer and Chairman (Principal Executive Officer)</w:t>
            </w:r>
          </w:p>
        </w:tc>
        <w:tc>
          <w:tcPr>
            <w:tcW w:w="1240" w:type="dxa"/>
            <w:vAlign w:val="bottom"/>
          </w:tcPr>
          <w:p>
            <w:pPr>
              <w:ind w:left="100"/>
              <w:spacing w:after="0"/>
              <w:rPr>
                <w:sz w:val="20"/>
                <w:szCs w:val="20"/>
                <w:color w:val="auto"/>
              </w:rPr>
            </w:pPr>
            <w:r>
              <w:rPr>
                <w:rFonts w:ascii="Arial" w:cs="Arial" w:eastAsia="Arial" w:hAnsi="Arial"/>
                <w:sz w:val="18"/>
                <w:szCs w:val="18"/>
                <w:color w:val="auto"/>
                <w:w w:val="89"/>
              </w:rPr>
              <w:t>March 30, 2020</w:t>
            </w:r>
          </w:p>
        </w:tc>
      </w:tr>
      <w:tr>
        <w:trPr>
          <w:trHeight w:val="688"/>
        </w:trPr>
        <w:tc>
          <w:tcPr>
            <w:tcW w:w="7100" w:type="dxa"/>
            <w:vAlign w:val="bottom"/>
            <w:gridSpan w:val="2"/>
          </w:tcPr>
          <w:p>
            <w:pPr>
              <w:spacing w:after="0"/>
              <w:rPr>
                <w:sz w:val="20"/>
                <w:szCs w:val="20"/>
                <w:color w:val="auto"/>
              </w:rPr>
            </w:pPr>
            <w:r>
              <w:rPr>
                <w:rFonts w:ascii="Arial" w:cs="Arial" w:eastAsia="Arial" w:hAnsi="Arial"/>
                <w:sz w:val="18"/>
                <w:szCs w:val="18"/>
                <w:color w:val="auto"/>
              </w:rPr>
              <w:t>President and Director</w:t>
            </w:r>
          </w:p>
        </w:tc>
        <w:tc>
          <w:tcPr>
            <w:tcW w:w="1240" w:type="dxa"/>
            <w:vAlign w:val="bottom"/>
          </w:tcPr>
          <w:p>
            <w:pPr>
              <w:ind w:left="100"/>
              <w:spacing w:after="0"/>
              <w:rPr>
                <w:sz w:val="20"/>
                <w:szCs w:val="20"/>
                <w:color w:val="auto"/>
              </w:rPr>
            </w:pPr>
            <w:r>
              <w:rPr>
                <w:rFonts w:ascii="Arial" w:cs="Arial" w:eastAsia="Arial" w:hAnsi="Arial"/>
                <w:sz w:val="18"/>
                <w:szCs w:val="18"/>
                <w:color w:val="auto"/>
                <w:w w:val="89"/>
              </w:rPr>
              <w:t>March 30, 2020</w:t>
            </w:r>
          </w:p>
        </w:tc>
      </w:tr>
      <w:tr>
        <w:trPr>
          <w:trHeight w:val="688"/>
        </w:trPr>
        <w:tc>
          <w:tcPr>
            <w:tcW w:w="7100" w:type="dxa"/>
            <w:vAlign w:val="bottom"/>
            <w:gridSpan w:val="2"/>
          </w:tcPr>
          <w:p>
            <w:pPr>
              <w:spacing w:after="0"/>
              <w:rPr>
                <w:sz w:val="20"/>
                <w:szCs w:val="20"/>
                <w:color w:val="auto"/>
              </w:rPr>
            </w:pPr>
            <w:r>
              <w:rPr>
                <w:rFonts w:ascii="Arial" w:cs="Arial" w:eastAsia="Arial" w:hAnsi="Arial"/>
                <w:sz w:val="18"/>
                <w:szCs w:val="18"/>
                <w:color w:val="auto"/>
              </w:rPr>
              <w:t>Chief Financial Officer (Principal Financial and Accounting Officer)</w:t>
            </w:r>
          </w:p>
        </w:tc>
        <w:tc>
          <w:tcPr>
            <w:tcW w:w="1240" w:type="dxa"/>
            <w:vAlign w:val="bottom"/>
          </w:tcPr>
          <w:p>
            <w:pPr>
              <w:ind w:left="100"/>
              <w:spacing w:after="0"/>
              <w:rPr>
                <w:sz w:val="20"/>
                <w:szCs w:val="20"/>
                <w:color w:val="auto"/>
              </w:rPr>
            </w:pPr>
            <w:r>
              <w:rPr>
                <w:rFonts w:ascii="Arial" w:cs="Arial" w:eastAsia="Arial" w:hAnsi="Arial"/>
                <w:sz w:val="18"/>
                <w:szCs w:val="18"/>
                <w:color w:val="auto"/>
                <w:w w:val="89"/>
              </w:rPr>
              <w:t>March 30, 2020</w:t>
            </w:r>
          </w:p>
        </w:tc>
      </w:tr>
      <w:tr>
        <w:trPr>
          <w:trHeight w:val="689"/>
        </w:trPr>
        <w:tc>
          <w:tcPr>
            <w:tcW w:w="710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240" w:type="dxa"/>
            <w:vAlign w:val="bottom"/>
          </w:tcPr>
          <w:p>
            <w:pPr>
              <w:ind w:left="100"/>
              <w:spacing w:after="0"/>
              <w:rPr>
                <w:sz w:val="20"/>
                <w:szCs w:val="20"/>
                <w:color w:val="auto"/>
              </w:rPr>
            </w:pPr>
            <w:r>
              <w:rPr>
                <w:rFonts w:ascii="Arial" w:cs="Arial" w:eastAsia="Arial" w:hAnsi="Arial"/>
                <w:sz w:val="18"/>
                <w:szCs w:val="18"/>
                <w:color w:val="auto"/>
                <w:w w:val="89"/>
              </w:rPr>
              <w:t>March 30, 2020</w:t>
            </w:r>
          </w:p>
        </w:tc>
      </w:tr>
      <w:tr>
        <w:trPr>
          <w:trHeight w:val="688"/>
        </w:trPr>
        <w:tc>
          <w:tcPr>
            <w:tcW w:w="710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240" w:type="dxa"/>
            <w:vAlign w:val="bottom"/>
          </w:tcPr>
          <w:p>
            <w:pPr>
              <w:ind w:left="100"/>
              <w:spacing w:after="0"/>
              <w:rPr>
                <w:sz w:val="20"/>
                <w:szCs w:val="20"/>
                <w:color w:val="auto"/>
              </w:rPr>
            </w:pPr>
            <w:r>
              <w:rPr>
                <w:rFonts w:ascii="Arial" w:cs="Arial" w:eastAsia="Arial" w:hAnsi="Arial"/>
                <w:sz w:val="18"/>
                <w:szCs w:val="18"/>
                <w:color w:val="auto"/>
                <w:w w:val="89"/>
              </w:rPr>
              <w:t>March 30, 2020</w:t>
            </w:r>
          </w:p>
        </w:tc>
      </w:tr>
      <w:tr>
        <w:trPr>
          <w:trHeight w:val="689"/>
        </w:trPr>
        <w:tc>
          <w:tcPr>
            <w:tcW w:w="710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240" w:type="dxa"/>
            <w:vAlign w:val="bottom"/>
          </w:tcPr>
          <w:p>
            <w:pPr>
              <w:ind w:left="100"/>
              <w:spacing w:after="0"/>
              <w:rPr>
                <w:sz w:val="20"/>
                <w:szCs w:val="20"/>
                <w:color w:val="auto"/>
              </w:rPr>
            </w:pPr>
            <w:r>
              <w:rPr>
                <w:rFonts w:ascii="Arial" w:cs="Arial" w:eastAsia="Arial" w:hAnsi="Arial"/>
                <w:sz w:val="18"/>
                <w:szCs w:val="18"/>
                <w:color w:val="auto"/>
                <w:w w:val="89"/>
              </w:rPr>
              <w:t>March 30, 2020</w:t>
            </w:r>
          </w:p>
        </w:tc>
      </w:tr>
    </w:tbl>
    <w:p>
      <w:pPr>
        <w:spacing w:after="0" w:line="453" w:lineRule="exact"/>
        <w:rPr>
          <w:sz w:val="20"/>
          <w:szCs w:val="20"/>
          <w:color w:val="auto"/>
        </w:rPr>
      </w:pPr>
    </w:p>
    <w:p>
      <w:pPr>
        <w:sectPr>
          <w:pgSz w:w="11900" w:h="16838" w:orient="portrait"/>
          <w:cols w:equalWidth="0" w:num="2">
            <w:col w:w="2180" w:space="720"/>
            <w:col w:w="8340"/>
          </w:cols>
          <w:pgMar w:left="320" w:top="121" w:right="339" w:bottom="1440" w:gutter="0" w:footer="0" w:header="0"/>
          <w:type w:val="continuous"/>
        </w:sectPr>
      </w:pP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8" w:name="page89"/>
    <w:bookmarkEnd w:id="88"/>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SILVER SPIKE ACQUISITION CORP.</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INDEX TO FINANCIAL STATEMENTS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Report of Independent Registered Public Accounting Firm</w:t>
            </w:r>
          </w:p>
        </w:tc>
        <w:tc>
          <w:tcPr>
            <w:tcW w:w="6360" w:type="dxa"/>
            <w:vAlign w:val="bottom"/>
            <w:shd w:val="clear" w:color="auto" w:fill="CCEEFF"/>
          </w:tcPr>
          <w:p>
            <w:pPr>
              <w:jc w:val="center"/>
              <w:ind w:left="5373"/>
              <w:spacing w:after="0"/>
              <w:rPr>
                <w:sz w:val="20"/>
                <w:szCs w:val="20"/>
                <w:color w:val="auto"/>
              </w:rPr>
            </w:pPr>
            <w:r>
              <w:rPr>
                <w:rFonts w:ascii="Arial" w:cs="Arial" w:eastAsia="Arial" w:hAnsi="Arial"/>
                <w:sz w:val="18"/>
                <w:szCs w:val="18"/>
                <w:color w:val="auto"/>
                <w:w w:val="96"/>
              </w:rPr>
              <w:t>F-2</w:t>
            </w: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Financial Statements:</w:t>
            </w:r>
          </w:p>
        </w:tc>
        <w:tc>
          <w:tcPr>
            <w:tcW w:w="6360" w:type="dxa"/>
            <w:vAlign w:val="bottom"/>
          </w:tcPr>
          <w:p>
            <w:pPr>
              <w:spacing w:after="0"/>
              <w:rPr>
                <w:sz w:val="18"/>
                <w:szCs w:val="18"/>
                <w:color w:val="auto"/>
              </w:rPr>
            </w:pPr>
          </w:p>
        </w:tc>
      </w:tr>
      <w:tr>
        <w:trPr>
          <w:trHeight w:val="216"/>
        </w:trPr>
        <w:tc>
          <w:tcPr>
            <w:tcW w:w="4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Balance Sheet</w:t>
            </w:r>
          </w:p>
        </w:tc>
        <w:tc>
          <w:tcPr>
            <w:tcW w:w="6360" w:type="dxa"/>
            <w:vAlign w:val="bottom"/>
            <w:shd w:val="clear" w:color="auto" w:fill="CCEEFF"/>
          </w:tcPr>
          <w:p>
            <w:pPr>
              <w:jc w:val="center"/>
              <w:ind w:left="5373"/>
              <w:spacing w:after="0"/>
              <w:rPr>
                <w:sz w:val="20"/>
                <w:szCs w:val="20"/>
                <w:color w:val="auto"/>
              </w:rPr>
            </w:pPr>
            <w:r>
              <w:rPr>
                <w:rFonts w:ascii="Arial" w:cs="Arial" w:eastAsia="Arial" w:hAnsi="Arial"/>
                <w:sz w:val="18"/>
                <w:szCs w:val="18"/>
                <w:color w:val="auto"/>
                <w:w w:val="96"/>
              </w:rPr>
              <w:t>F-3</w:t>
            </w:r>
          </w:p>
        </w:tc>
      </w:tr>
      <w:tr>
        <w:trPr>
          <w:trHeight w:val="216"/>
        </w:trPr>
        <w:tc>
          <w:tcPr>
            <w:tcW w:w="4880" w:type="dxa"/>
            <w:vAlign w:val="bottom"/>
          </w:tcPr>
          <w:p>
            <w:pPr>
              <w:ind w:left="340"/>
              <w:spacing w:after="0"/>
              <w:rPr>
                <w:sz w:val="20"/>
                <w:szCs w:val="20"/>
                <w:color w:val="auto"/>
              </w:rPr>
            </w:pPr>
            <w:r>
              <w:rPr>
                <w:rFonts w:ascii="Arial" w:cs="Arial" w:eastAsia="Arial" w:hAnsi="Arial"/>
                <w:sz w:val="18"/>
                <w:szCs w:val="18"/>
                <w:color w:val="auto"/>
              </w:rPr>
              <w:t>Statement of Operations</w:t>
            </w:r>
          </w:p>
        </w:tc>
        <w:tc>
          <w:tcPr>
            <w:tcW w:w="6360" w:type="dxa"/>
            <w:vAlign w:val="bottom"/>
          </w:tcPr>
          <w:p>
            <w:pPr>
              <w:jc w:val="center"/>
              <w:ind w:left="5373"/>
              <w:spacing w:after="0"/>
              <w:rPr>
                <w:sz w:val="20"/>
                <w:szCs w:val="20"/>
                <w:color w:val="auto"/>
              </w:rPr>
            </w:pPr>
            <w:r>
              <w:rPr>
                <w:rFonts w:ascii="Arial" w:cs="Arial" w:eastAsia="Arial" w:hAnsi="Arial"/>
                <w:sz w:val="18"/>
                <w:szCs w:val="18"/>
                <w:color w:val="auto"/>
                <w:w w:val="96"/>
              </w:rPr>
              <w:t>F-4</w:t>
            </w:r>
          </w:p>
        </w:tc>
      </w:tr>
      <w:tr>
        <w:trPr>
          <w:trHeight w:val="216"/>
        </w:trPr>
        <w:tc>
          <w:tcPr>
            <w:tcW w:w="4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Statement of Changes in Shareholders’ Equity</w:t>
            </w:r>
          </w:p>
        </w:tc>
        <w:tc>
          <w:tcPr>
            <w:tcW w:w="6360" w:type="dxa"/>
            <w:vAlign w:val="bottom"/>
            <w:shd w:val="clear" w:color="auto" w:fill="CCEEFF"/>
          </w:tcPr>
          <w:p>
            <w:pPr>
              <w:jc w:val="center"/>
              <w:ind w:left="5373"/>
              <w:spacing w:after="0"/>
              <w:rPr>
                <w:sz w:val="20"/>
                <w:szCs w:val="20"/>
                <w:color w:val="auto"/>
              </w:rPr>
            </w:pPr>
            <w:r>
              <w:rPr>
                <w:rFonts w:ascii="Arial" w:cs="Arial" w:eastAsia="Arial" w:hAnsi="Arial"/>
                <w:sz w:val="18"/>
                <w:szCs w:val="18"/>
                <w:color w:val="auto"/>
                <w:w w:val="96"/>
              </w:rPr>
              <w:t>F-5</w:t>
            </w:r>
          </w:p>
        </w:tc>
      </w:tr>
      <w:tr>
        <w:trPr>
          <w:trHeight w:val="216"/>
        </w:trPr>
        <w:tc>
          <w:tcPr>
            <w:tcW w:w="4880" w:type="dxa"/>
            <w:vAlign w:val="bottom"/>
          </w:tcPr>
          <w:p>
            <w:pPr>
              <w:ind w:left="340"/>
              <w:spacing w:after="0"/>
              <w:rPr>
                <w:sz w:val="20"/>
                <w:szCs w:val="20"/>
                <w:color w:val="auto"/>
              </w:rPr>
            </w:pPr>
            <w:r>
              <w:rPr>
                <w:rFonts w:ascii="Arial" w:cs="Arial" w:eastAsia="Arial" w:hAnsi="Arial"/>
                <w:sz w:val="18"/>
                <w:szCs w:val="18"/>
                <w:color w:val="auto"/>
              </w:rPr>
              <w:t>Statement of Cash Flows</w:t>
            </w:r>
          </w:p>
        </w:tc>
        <w:tc>
          <w:tcPr>
            <w:tcW w:w="6360" w:type="dxa"/>
            <w:vAlign w:val="bottom"/>
          </w:tcPr>
          <w:p>
            <w:pPr>
              <w:jc w:val="center"/>
              <w:ind w:left="5373"/>
              <w:spacing w:after="0"/>
              <w:rPr>
                <w:sz w:val="20"/>
                <w:szCs w:val="20"/>
                <w:color w:val="auto"/>
              </w:rPr>
            </w:pPr>
            <w:r>
              <w:rPr>
                <w:rFonts w:ascii="Arial" w:cs="Arial" w:eastAsia="Arial" w:hAnsi="Arial"/>
                <w:sz w:val="18"/>
                <w:szCs w:val="18"/>
                <w:color w:val="auto"/>
                <w:w w:val="96"/>
              </w:rPr>
              <w:t>F-6</w:t>
            </w:r>
          </w:p>
        </w:tc>
      </w:tr>
      <w:tr>
        <w:trPr>
          <w:trHeight w:val="216"/>
        </w:trPr>
        <w:tc>
          <w:tcPr>
            <w:tcW w:w="4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Notes to Financial Statements</w:t>
            </w:r>
          </w:p>
        </w:tc>
        <w:tc>
          <w:tcPr>
            <w:tcW w:w="6360" w:type="dxa"/>
            <w:vAlign w:val="bottom"/>
            <w:shd w:val="clear" w:color="auto" w:fill="CCEEFF"/>
          </w:tcPr>
          <w:p>
            <w:pPr>
              <w:jc w:val="center"/>
              <w:ind w:left="5373"/>
              <w:spacing w:after="0"/>
              <w:rPr>
                <w:sz w:val="20"/>
                <w:szCs w:val="20"/>
                <w:color w:val="auto"/>
              </w:rPr>
            </w:pPr>
            <w:r>
              <w:rPr>
                <w:rFonts w:ascii="Arial" w:cs="Arial" w:eastAsia="Arial" w:hAnsi="Arial"/>
                <w:sz w:val="18"/>
                <w:szCs w:val="18"/>
                <w:color w:val="auto"/>
                <w:w w:val="92"/>
              </w:rPr>
              <w:t>F-7 to F-16</w:t>
            </w:r>
          </w:p>
        </w:tc>
      </w:tr>
      <w:tr>
        <w:trPr>
          <w:trHeight w:val="595"/>
        </w:trPr>
        <w:tc>
          <w:tcPr>
            <w:tcW w:w="4880" w:type="dxa"/>
            <w:vAlign w:val="bottom"/>
          </w:tcPr>
          <w:p>
            <w:pPr>
              <w:spacing w:after="0"/>
              <w:rPr>
                <w:sz w:val="24"/>
                <w:szCs w:val="24"/>
                <w:color w:val="auto"/>
              </w:rPr>
            </w:pPr>
          </w:p>
        </w:tc>
        <w:tc>
          <w:tcPr>
            <w:tcW w:w="6360" w:type="dxa"/>
            <w:vAlign w:val="bottom"/>
          </w:tcPr>
          <w:p>
            <w:pPr>
              <w:ind w:left="640"/>
              <w:spacing w:after="0"/>
              <w:rPr>
                <w:sz w:val="20"/>
                <w:szCs w:val="20"/>
                <w:color w:val="auto"/>
              </w:rPr>
            </w:pPr>
            <w:r>
              <w:rPr>
                <w:rFonts w:ascii="Arial" w:cs="Arial" w:eastAsia="Arial" w:hAnsi="Arial"/>
                <w:sz w:val="14"/>
                <w:szCs w:val="14"/>
                <w:color w:val="auto"/>
              </w:rPr>
              <w:t>F-1</w:t>
            </w:r>
          </w:p>
        </w:tc>
      </w:tr>
      <w:tr>
        <w:trPr>
          <w:trHeight w:val="46"/>
        </w:trPr>
        <w:tc>
          <w:tcPr>
            <w:tcW w:w="4880" w:type="dxa"/>
            <w:vAlign w:val="bottom"/>
            <w:tcBorders>
              <w:bottom w:val="single" w:sz="8" w:color="auto"/>
            </w:tcBorders>
          </w:tcPr>
          <w:p>
            <w:pPr>
              <w:spacing w:after="0"/>
              <w:rPr>
                <w:sz w:val="4"/>
                <w:szCs w:val="4"/>
                <w:color w:val="auto"/>
              </w:rPr>
            </w:pPr>
          </w:p>
        </w:tc>
        <w:tc>
          <w:tcPr>
            <w:tcW w:w="636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21" w:right="339" w:bottom="1440" w:gutter="0" w:footer="0" w:header="0"/>
        </w:sectPr>
      </w:pPr>
    </w:p>
    <w:bookmarkStart w:id="89" w:name="page90"/>
    <w:bookmarkEnd w:id="89"/>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ind w:left="1920"/>
        <w:spacing w:after="0"/>
        <w:rPr>
          <w:sz w:val="20"/>
          <w:szCs w:val="20"/>
          <w:color w:val="auto"/>
        </w:rPr>
      </w:pPr>
      <w:r>
        <w:rPr>
          <w:rFonts w:ascii="Arial" w:cs="Arial" w:eastAsia="Arial" w:hAnsi="Arial"/>
          <w:sz w:val="22"/>
          <w:szCs w:val="22"/>
          <w:b w:val="1"/>
          <w:bCs w:val="1"/>
          <w:color w:val="auto"/>
        </w:rPr>
        <w:t>REPORT OF INDEPENDENT REGISTERED PUBLIC ACCOUNTING FIRM</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To the Shareholders and Board of Directors of</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Silver Spike Acquisition Corp.</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Opinion on the Financial Statements</w:t>
      </w:r>
    </w:p>
    <w:p>
      <w:pPr>
        <w:spacing w:after="0" w:line="239" w:lineRule="exact"/>
        <w:rPr>
          <w:sz w:val="20"/>
          <w:szCs w:val="20"/>
          <w:color w:val="auto"/>
        </w:rPr>
      </w:pPr>
    </w:p>
    <w:p>
      <w:pPr>
        <w:ind w:firstLine="648"/>
        <w:spacing w:after="0" w:line="279" w:lineRule="auto"/>
        <w:rPr>
          <w:sz w:val="20"/>
          <w:szCs w:val="20"/>
          <w:color w:val="auto"/>
        </w:rPr>
      </w:pPr>
      <w:r>
        <w:rPr>
          <w:rFonts w:ascii="Arial" w:cs="Arial" w:eastAsia="Arial" w:hAnsi="Arial"/>
          <w:sz w:val="19"/>
          <w:szCs w:val="19"/>
          <w:color w:val="auto"/>
        </w:rPr>
        <w:t>We have audited the accompanying balance sheet of Silver Spike Acquisition Corp. (the “Company”) as of December 31, 2019, the related statements of operations, changes in shareholders’ equity and cash flows for the period from June 7, 2019 (inception) through December 31, 2019, and the related notes (collectively referred to as the “financial statements”). In our opinion, the financial statements present fairly, in all material respects, the financial position of the Company as of December 31, 2019, and the results of its operations and its cash flows for the period from June 7, 2019 (inception) through December 31, 2019, in conformity with accounting principles generally accepted in the United States of America.</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Basis for Opinion</w:t>
      </w:r>
    </w:p>
    <w:p>
      <w:pPr>
        <w:spacing w:after="0" w:line="239" w:lineRule="exact"/>
        <w:rPr>
          <w:sz w:val="20"/>
          <w:szCs w:val="20"/>
          <w:color w:val="auto"/>
        </w:rPr>
      </w:pPr>
    </w:p>
    <w:p>
      <w:pPr>
        <w:ind w:right="340" w:firstLine="648"/>
        <w:spacing w:after="0" w:line="236" w:lineRule="auto"/>
        <w:rPr>
          <w:sz w:val="20"/>
          <w:szCs w:val="20"/>
          <w:color w:val="auto"/>
        </w:rPr>
      </w:pPr>
      <w:r>
        <w:rPr>
          <w:rFonts w:ascii="Arial" w:cs="Arial" w:eastAsia="Arial" w:hAnsi="Arial"/>
          <w:sz w:val="22"/>
          <w:szCs w:val="22"/>
          <w:color w:val="auto"/>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(the “PCAOB”) and are required to be independent with respect to the Company in accordance with the U.S. federal securities laws and the applicable rules and regulations of the Securities and Exchange Commission and the PCAOB.</w:t>
      </w:r>
    </w:p>
    <w:p>
      <w:pPr>
        <w:spacing w:after="0" w:line="214" w:lineRule="exact"/>
        <w:rPr>
          <w:sz w:val="20"/>
          <w:szCs w:val="20"/>
          <w:color w:val="auto"/>
        </w:rPr>
      </w:pPr>
    </w:p>
    <w:p>
      <w:pPr>
        <w:ind w:right="40" w:firstLine="648"/>
        <w:spacing w:after="0" w:line="235" w:lineRule="auto"/>
        <w:rPr>
          <w:sz w:val="20"/>
          <w:szCs w:val="20"/>
          <w:color w:val="auto"/>
        </w:rPr>
      </w:pPr>
      <w:r>
        <w:rPr>
          <w:rFonts w:ascii="Arial" w:cs="Arial" w:eastAsia="Arial" w:hAnsi="Arial"/>
          <w:sz w:val="22"/>
          <w:szCs w:val="22"/>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215" w:lineRule="exact"/>
        <w:rPr>
          <w:sz w:val="20"/>
          <w:szCs w:val="20"/>
          <w:color w:val="auto"/>
        </w:rPr>
      </w:pPr>
    </w:p>
    <w:p>
      <w:pPr>
        <w:ind w:right="20" w:firstLine="648"/>
        <w:spacing w:after="0" w:line="282" w:lineRule="auto"/>
        <w:rPr>
          <w:sz w:val="20"/>
          <w:szCs w:val="20"/>
          <w:color w:val="auto"/>
        </w:rPr>
      </w:pPr>
      <w:r>
        <w:rPr>
          <w:rFonts w:ascii="Arial" w:cs="Arial" w:eastAsia="Arial" w:hAnsi="Arial"/>
          <w:sz w:val="19"/>
          <w:szCs w:val="19"/>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color w:val="auto"/>
        </w:rPr>
        <w:t>/s/ Marcum LLP</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Marcum LLP</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We have served as the Company’s auditor since 2019.</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New York, NY</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March 30, 2020</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0" w:name="page91"/>
    <w:bookmarkEnd w:id="90"/>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020" w:type="dxa"/>
            <w:vAlign w:val="bottom"/>
          </w:tcPr>
          <w:p>
            <w:pPr>
              <w:jc w:val="center"/>
              <w:ind w:left="1128"/>
              <w:spacing w:after="0"/>
              <w:rPr>
                <w:sz w:val="20"/>
                <w:szCs w:val="20"/>
                <w:color w:val="auto"/>
              </w:rPr>
            </w:pPr>
            <w:r>
              <w:rPr>
                <w:rFonts w:ascii="Arial" w:cs="Arial" w:eastAsia="Arial" w:hAnsi="Arial"/>
                <w:sz w:val="22"/>
                <w:szCs w:val="22"/>
                <w:b w:val="1"/>
                <w:bCs w:val="1"/>
                <w:color w:val="auto"/>
                <w:w w:val="98"/>
              </w:rPr>
              <w:t>SILVER SPIKE ACQUISITION CORP.</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10020" w:type="dxa"/>
            <w:vAlign w:val="bottom"/>
          </w:tcPr>
          <w:p>
            <w:pPr>
              <w:jc w:val="center"/>
              <w:ind w:left="1128"/>
              <w:spacing w:after="0" w:line="243" w:lineRule="exact"/>
              <w:rPr>
                <w:sz w:val="20"/>
                <w:szCs w:val="20"/>
                <w:color w:val="auto"/>
              </w:rPr>
            </w:pPr>
            <w:r>
              <w:rPr>
                <w:rFonts w:ascii="Arial" w:cs="Arial" w:eastAsia="Arial" w:hAnsi="Arial"/>
                <w:sz w:val="22"/>
                <w:szCs w:val="22"/>
                <w:b w:val="1"/>
                <w:bCs w:val="1"/>
                <w:color w:val="auto"/>
                <w:w w:val="98"/>
              </w:rPr>
              <w:t>BALANCE SHEET</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80"/>
        </w:trPr>
        <w:tc>
          <w:tcPr>
            <w:tcW w:w="10020" w:type="dxa"/>
            <w:vAlign w:val="bottom"/>
          </w:tcPr>
          <w:p>
            <w:pPr>
              <w:jc w:val="center"/>
              <w:ind w:left="1148"/>
              <w:spacing w:after="0"/>
              <w:rPr>
                <w:sz w:val="20"/>
                <w:szCs w:val="20"/>
                <w:color w:val="auto"/>
              </w:rPr>
            </w:pPr>
            <w:r>
              <w:rPr>
                <w:rFonts w:ascii="Arial" w:cs="Arial" w:eastAsia="Arial" w:hAnsi="Arial"/>
                <w:sz w:val="22"/>
                <w:szCs w:val="22"/>
                <w:b w:val="1"/>
                <w:bCs w:val="1"/>
                <w:color w:val="auto"/>
                <w:w w:val="94"/>
              </w:rPr>
              <w:t>DECEMBER 31, 2019</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678"/>
        </w:trPr>
        <w:tc>
          <w:tcPr>
            <w:tcW w:w="10020" w:type="dxa"/>
            <w:vAlign w:val="bottom"/>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0"/>
        </w:trPr>
        <w:tc>
          <w:tcPr>
            <w:tcW w:w="1002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10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894,589</w:t>
            </w:r>
          </w:p>
        </w:tc>
        <w:tc>
          <w:tcPr>
            <w:tcW w:w="100" w:type="dxa"/>
            <w:vAlign w:val="bottom"/>
            <w:shd w:val="clear" w:color="auto" w:fill="CCEEFF"/>
          </w:tcPr>
          <w:p>
            <w:pPr>
              <w:spacing w:after="0"/>
              <w:rPr>
                <w:sz w:val="18"/>
                <w:szCs w:val="18"/>
                <w:color w:val="auto"/>
              </w:rPr>
            </w:pPr>
          </w:p>
        </w:tc>
      </w:tr>
      <w:tr>
        <w:trPr>
          <w:trHeight w:val="223"/>
        </w:trPr>
        <w:tc>
          <w:tcPr>
            <w:tcW w:w="10020" w:type="dxa"/>
            <w:vAlign w:val="bottom"/>
          </w:tcPr>
          <w:p>
            <w:pPr>
              <w:ind w:left="180"/>
              <w:spacing w:after="0"/>
              <w:rPr>
                <w:sz w:val="20"/>
                <w:szCs w:val="20"/>
                <w:color w:val="auto"/>
              </w:rPr>
            </w:pPr>
            <w:r>
              <w:rPr>
                <w:rFonts w:ascii="Arial" w:cs="Arial" w:eastAsia="Arial" w:hAnsi="Arial"/>
                <w:sz w:val="18"/>
                <w:szCs w:val="18"/>
                <w:color w:val="auto"/>
              </w:rPr>
              <w:t>Prepaid expenses</w:t>
            </w:r>
          </w:p>
        </w:tc>
        <w:tc>
          <w:tcPr>
            <w:tcW w:w="1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257,110</w:t>
            </w:r>
          </w:p>
        </w:tc>
      </w:tr>
      <w:tr>
        <w:trPr>
          <w:trHeight w:val="216"/>
        </w:trPr>
        <w:tc>
          <w:tcPr>
            <w:tcW w:w="10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Current Assets</w:t>
            </w: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1,151,699</w:t>
            </w:r>
          </w:p>
        </w:tc>
        <w:tc>
          <w:tcPr>
            <w:tcW w:w="100" w:type="dxa"/>
            <w:vAlign w:val="bottom"/>
            <w:shd w:val="clear" w:color="auto" w:fill="CCEEFF"/>
          </w:tcPr>
          <w:p>
            <w:pPr>
              <w:spacing w:after="0"/>
              <w:rPr>
                <w:sz w:val="18"/>
                <w:szCs w:val="18"/>
                <w:color w:val="auto"/>
              </w:rPr>
            </w:pPr>
          </w:p>
        </w:tc>
      </w:tr>
      <w:tr>
        <w:trPr>
          <w:trHeight w:val="223"/>
        </w:trPr>
        <w:tc>
          <w:tcPr>
            <w:tcW w:w="10020" w:type="dxa"/>
            <w:vAlign w:val="bottom"/>
          </w:tcPr>
          <w:p>
            <w:pPr>
              <w:spacing w:after="0"/>
              <w:rPr>
                <w:sz w:val="20"/>
                <w:szCs w:val="20"/>
                <w:color w:val="auto"/>
              </w:rPr>
            </w:pPr>
            <w:r>
              <w:rPr>
                <w:rFonts w:ascii="Arial" w:cs="Arial" w:eastAsia="Arial" w:hAnsi="Arial"/>
                <w:sz w:val="18"/>
                <w:szCs w:val="18"/>
                <w:color w:val="auto"/>
              </w:rPr>
              <w:t>Marketable securities held in Trust Account</w:t>
            </w: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251,924,993</w:t>
            </w:r>
          </w:p>
        </w:tc>
        <w:tc>
          <w:tcPr>
            <w:tcW w:w="100" w:type="dxa"/>
            <w:vAlign w:val="bottom"/>
          </w:tcPr>
          <w:p>
            <w:pPr>
              <w:spacing w:after="0"/>
              <w:rPr>
                <w:sz w:val="19"/>
                <w:szCs w:val="19"/>
                <w:color w:val="auto"/>
              </w:rPr>
            </w:pPr>
          </w:p>
        </w:tc>
      </w:tr>
      <w:tr>
        <w:trPr>
          <w:trHeight w:val="257"/>
        </w:trPr>
        <w:tc>
          <w:tcPr>
            <w:tcW w:w="10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253,076,692</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10"/>
        </w:trPr>
        <w:tc>
          <w:tcPr>
            <w:tcW w:w="10020" w:type="dxa"/>
            <w:vAlign w:val="bottom"/>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 – Accrued expenses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96,895</w:t>
            </w:r>
          </w:p>
        </w:tc>
      </w:tr>
      <w:tr>
        <w:trPr>
          <w:trHeight w:val="223"/>
        </w:trPr>
        <w:tc>
          <w:tcPr>
            <w:tcW w:w="10020" w:type="dxa"/>
            <w:vAlign w:val="bottom"/>
          </w:tcPr>
          <w:p>
            <w:pPr>
              <w:spacing w:after="0"/>
              <w:rPr>
                <w:sz w:val="20"/>
                <w:szCs w:val="20"/>
                <w:color w:val="auto"/>
              </w:rPr>
            </w:pPr>
            <w:r>
              <w:rPr>
                <w:rFonts w:ascii="Arial" w:cs="Arial" w:eastAsia="Arial" w:hAnsi="Arial"/>
                <w:sz w:val="18"/>
                <w:szCs w:val="18"/>
                <w:color w:val="auto"/>
              </w:rPr>
              <w:t>Deferred underwriting fee payable</w:t>
            </w: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8,750,000</w:t>
            </w:r>
          </w:p>
        </w:tc>
        <w:tc>
          <w:tcPr>
            <w:tcW w:w="100" w:type="dxa"/>
            <w:vAlign w:val="bottom"/>
          </w:tcPr>
          <w:p>
            <w:pPr>
              <w:spacing w:after="0"/>
              <w:rPr>
                <w:sz w:val="19"/>
                <w:szCs w:val="19"/>
                <w:color w:val="auto"/>
              </w:rPr>
            </w:pPr>
          </w:p>
        </w:tc>
      </w:tr>
      <w:tr>
        <w:trPr>
          <w:trHeight w:val="223"/>
        </w:trPr>
        <w:tc>
          <w:tcPr>
            <w:tcW w:w="10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8,846,895</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10020" w:type="dxa"/>
            <w:vAlign w:val="bottom"/>
          </w:tcPr>
          <w:p>
            <w:pPr>
              <w:spacing w:after="0"/>
              <w:rPr>
                <w:sz w:val="20"/>
                <w:szCs w:val="20"/>
                <w:color w:val="auto"/>
              </w:rPr>
            </w:pPr>
            <w:r>
              <w:rPr>
                <w:rFonts w:ascii="Arial" w:cs="Arial" w:eastAsia="Arial" w:hAnsi="Arial"/>
                <w:sz w:val="18"/>
                <w:szCs w:val="18"/>
                <w:b w:val="1"/>
                <w:bCs w:val="1"/>
                <w:color w:val="auto"/>
              </w:rPr>
              <w:t>Commitments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10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Class A ordinary shares subject to possible redemption, 23,740,181 shares at redemption value</w:t>
            </w: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239,229,796</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10020" w:type="dxa"/>
            <w:vAlign w:val="bottom"/>
          </w:tcPr>
          <w:p>
            <w:pPr>
              <w:spacing w:after="0"/>
              <w:rPr>
                <w:sz w:val="20"/>
                <w:szCs w:val="20"/>
                <w:color w:val="auto"/>
              </w:rPr>
            </w:pPr>
            <w:r>
              <w:rPr>
                <w:rFonts w:ascii="Arial" w:cs="Arial" w:eastAsia="Arial" w:hAnsi="Arial"/>
                <w:sz w:val="18"/>
                <w:szCs w:val="18"/>
                <w:b w:val="1"/>
                <w:bCs w:val="1"/>
                <w:color w:val="auto"/>
              </w:rPr>
              <w:t>Shareholders’ Equity</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Preference shares, $0.0001 par value; 1,000,000 shares authorized; none issued and outstanding</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10020" w:type="dxa"/>
            <w:vAlign w:val="bottom"/>
          </w:tcPr>
          <w:p>
            <w:pPr>
              <w:ind w:left="180"/>
              <w:spacing w:after="0" w:line="201" w:lineRule="exact"/>
              <w:rPr>
                <w:sz w:val="20"/>
                <w:szCs w:val="20"/>
                <w:color w:val="auto"/>
              </w:rPr>
            </w:pPr>
            <w:r>
              <w:rPr>
                <w:rFonts w:ascii="Arial" w:cs="Arial" w:eastAsia="Arial" w:hAnsi="Arial"/>
                <w:sz w:val="18"/>
                <w:szCs w:val="18"/>
                <w:color w:val="auto"/>
                <w:w w:val="95"/>
              </w:rPr>
              <w:t>Class A ordinary shares, $0.0001 par value; 200,000,000 shares authorized; 1,259,819 shares issued and outstanding (excluding</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10020" w:type="dxa"/>
            <w:vAlign w:val="bottom"/>
          </w:tcPr>
          <w:p>
            <w:pPr>
              <w:ind w:left="340"/>
              <w:spacing w:after="0"/>
              <w:rPr>
                <w:sz w:val="20"/>
                <w:szCs w:val="20"/>
                <w:color w:val="auto"/>
              </w:rPr>
            </w:pPr>
            <w:r>
              <w:rPr>
                <w:rFonts w:ascii="Arial" w:cs="Arial" w:eastAsia="Arial" w:hAnsi="Arial"/>
                <w:sz w:val="18"/>
                <w:szCs w:val="18"/>
                <w:color w:val="auto"/>
              </w:rPr>
              <w:t>23,740,181 shares subject to possible redemption)</w:t>
            </w:r>
          </w:p>
        </w:tc>
        <w:tc>
          <w:tcPr>
            <w:tcW w:w="10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126</w:t>
            </w:r>
          </w:p>
        </w:tc>
      </w:tr>
      <w:tr>
        <w:trPr>
          <w:trHeight w:val="216"/>
        </w:trPr>
        <w:tc>
          <w:tcPr>
            <w:tcW w:w="10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Class B ordinary shares, $0.0001 par value; 20,000,000 shares authorized; 6,250,000 shares issued and outstanding</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625</w:t>
            </w:r>
          </w:p>
        </w:tc>
      </w:tr>
      <w:tr>
        <w:trPr>
          <w:trHeight w:val="216"/>
        </w:trPr>
        <w:tc>
          <w:tcPr>
            <w:tcW w:w="10020" w:type="dxa"/>
            <w:vAlign w:val="bottom"/>
          </w:tcPr>
          <w:p>
            <w:pPr>
              <w:ind w:left="180"/>
              <w:spacing w:after="0"/>
              <w:rPr>
                <w:sz w:val="20"/>
                <w:szCs w:val="20"/>
                <w:color w:val="auto"/>
              </w:rPr>
            </w:pPr>
            <w:r>
              <w:rPr>
                <w:rFonts w:ascii="Arial" w:cs="Arial" w:eastAsia="Arial" w:hAnsi="Arial"/>
                <w:sz w:val="18"/>
                <w:szCs w:val="18"/>
                <w:color w:val="auto"/>
              </w:rPr>
              <w:t>Additional paid in capital</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3,381,091</w:t>
            </w:r>
          </w:p>
        </w:tc>
        <w:tc>
          <w:tcPr>
            <w:tcW w:w="100" w:type="dxa"/>
            <w:vAlign w:val="bottom"/>
          </w:tcPr>
          <w:p>
            <w:pPr>
              <w:spacing w:after="0"/>
              <w:rPr>
                <w:sz w:val="18"/>
                <w:szCs w:val="18"/>
                <w:color w:val="auto"/>
              </w:rPr>
            </w:pPr>
          </w:p>
        </w:tc>
      </w:tr>
      <w:tr>
        <w:trPr>
          <w:trHeight w:val="223"/>
        </w:trPr>
        <w:tc>
          <w:tcPr>
            <w:tcW w:w="10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Retained earnings</w:t>
            </w: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1,618,159</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10020" w:type="dxa"/>
            <w:vAlign w:val="bottom"/>
          </w:tcPr>
          <w:p>
            <w:pPr>
              <w:spacing w:after="0"/>
              <w:rPr>
                <w:sz w:val="20"/>
                <w:szCs w:val="20"/>
                <w:color w:val="auto"/>
              </w:rPr>
            </w:pPr>
            <w:r>
              <w:rPr>
                <w:rFonts w:ascii="Arial" w:cs="Arial" w:eastAsia="Arial" w:hAnsi="Arial"/>
                <w:sz w:val="18"/>
                <w:szCs w:val="18"/>
                <w:b w:val="1"/>
                <w:bCs w:val="1"/>
                <w:color w:val="auto"/>
              </w:rPr>
              <w:t>Total Shareholders’ Equity</w:t>
            </w: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5,000,001</w:t>
            </w:r>
          </w:p>
        </w:tc>
        <w:tc>
          <w:tcPr>
            <w:tcW w:w="100" w:type="dxa"/>
            <w:vAlign w:val="bottom"/>
          </w:tcPr>
          <w:p>
            <w:pPr>
              <w:spacing w:after="0"/>
              <w:rPr>
                <w:sz w:val="19"/>
                <w:szCs w:val="19"/>
                <w:color w:val="auto"/>
              </w:rPr>
            </w:pPr>
          </w:p>
        </w:tc>
      </w:tr>
      <w:tr>
        <w:trPr>
          <w:trHeight w:val="256"/>
        </w:trPr>
        <w:tc>
          <w:tcPr>
            <w:tcW w:w="10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Liabilities and Shareholders’ Equity</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253,076,692</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The accompanying notes are an integral part of the financial statements.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1" w:name="page92"/>
    <w:bookmarkEnd w:id="91"/>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SILVER SPIKE ACQUISITION CORP.</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STATEMENT OF OPERATIONS</w:t>
      </w:r>
    </w:p>
    <w:p>
      <w:pPr>
        <w:jc w:val="center"/>
        <w:spacing w:after="0"/>
        <w:rPr>
          <w:sz w:val="20"/>
          <w:szCs w:val="20"/>
          <w:color w:val="auto"/>
        </w:rPr>
      </w:pPr>
      <w:r>
        <w:rPr>
          <w:rFonts w:ascii="Arial" w:cs="Arial" w:eastAsia="Arial" w:hAnsi="Arial"/>
          <w:sz w:val="22"/>
          <w:szCs w:val="22"/>
          <w:b w:val="1"/>
          <w:bCs w:val="1"/>
          <w:color w:val="auto"/>
        </w:rPr>
        <w:t>FOR THE PERIOD FROM JUNE 7, 2019 (INCEPTION) THROUGH DECEMBER 31, 2019</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00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Operating and formation costs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306,834</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r>
      <w:tr>
        <w:trPr>
          <w:trHeight w:val="216"/>
        </w:trPr>
        <w:tc>
          <w:tcPr>
            <w:tcW w:w="10020" w:type="dxa"/>
            <w:vAlign w:val="bottom"/>
            <w:gridSpan w:val="2"/>
          </w:tcPr>
          <w:p>
            <w:pPr>
              <w:ind w:left="180"/>
              <w:spacing w:after="0"/>
              <w:rPr>
                <w:sz w:val="20"/>
                <w:szCs w:val="20"/>
                <w:color w:val="auto"/>
              </w:rPr>
            </w:pPr>
            <w:r>
              <w:rPr>
                <w:rFonts w:ascii="Arial" w:cs="Arial" w:eastAsia="Arial" w:hAnsi="Arial"/>
                <w:sz w:val="18"/>
                <w:szCs w:val="18"/>
                <w:b w:val="1"/>
                <w:bCs w:val="1"/>
                <w:color w:val="auto"/>
              </w:rPr>
              <w:t>Loss from operations</w:t>
            </w:r>
          </w:p>
        </w:tc>
        <w:tc>
          <w:tcPr>
            <w:tcW w:w="240" w:type="dxa"/>
            <w:vAlign w:val="bottom"/>
          </w:tcPr>
          <w:p>
            <w:pPr>
              <w:spacing w:after="0"/>
              <w:rPr>
                <w:sz w:val="18"/>
                <w:szCs w:val="18"/>
                <w:color w:val="auto"/>
              </w:rPr>
            </w:pP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(306,834)</w:t>
            </w:r>
          </w:p>
        </w:tc>
      </w:tr>
      <w:tr>
        <w:trPr>
          <w:trHeight w:val="216"/>
        </w:trPr>
        <w:tc>
          <w:tcPr>
            <w:tcW w:w="10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10020" w:type="dxa"/>
            <w:vAlign w:val="bottom"/>
            <w:gridSpan w:val="2"/>
          </w:tcPr>
          <w:p>
            <w:pPr>
              <w:ind w:left="180"/>
              <w:spacing w:after="0"/>
              <w:rPr>
                <w:sz w:val="20"/>
                <w:szCs w:val="20"/>
                <w:color w:val="auto"/>
              </w:rPr>
            </w:pPr>
            <w:r>
              <w:rPr>
                <w:rFonts w:ascii="Arial" w:cs="Arial" w:eastAsia="Arial" w:hAnsi="Arial"/>
                <w:sz w:val="18"/>
                <w:szCs w:val="18"/>
                <w:color w:val="auto"/>
              </w:rPr>
              <w:t>Interest income</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1,812,577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3"/>
        </w:trPr>
        <w:tc>
          <w:tcPr>
            <w:tcW w:w="100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Unrealized gain on marketable securities held in Trust Account</w:t>
            </w:r>
          </w:p>
        </w:tc>
        <w:tc>
          <w:tcPr>
            <w:tcW w:w="2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112,416</w:t>
            </w:r>
          </w:p>
        </w:tc>
        <w:tc>
          <w:tcPr>
            <w:tcW w:w="80" w:type="dxa"/>
            <w:vAlign w:val="bottom"/>
            <w:shd w:val="clear" w:color="auto" w:fill="CCEEFF"/>
          </w:tcPr>
          <w:p>
            <w:pPr>
              <w:spacing w:after="0"/>
              <w:rPr>
                <w:sz w:val="19"/>
                <w:szCs w:val="19"/>
                <w:color w:val="auto"/>
              </w:rPr>
            </w:pPr>
          </w:p>
        </w:tc>
      </w:tr>
      <w:tr>
        <w:trPr>
          <w:trHeight w:val="223"/>
        </w:trPr>
        <w:tc>
          <w:tcPr>
            <w:tcW w:w="10020" w:type="dxa"/>
            <w:vAlign w:val="bottom"/>
            <w:tcBorders>
              <w:top w:val="single" w:sz="8" w:color="CCEEFF"/>
            </w:tcBorders>
            <w:gridSpan w:val="2"/>
          </w:tcPr>
          <w:p>
            <w:pPr>
              <w:ind w:left="180"/>
              <w:spacing w:after="0"/>
              <w:rPr>
                <w:sz w:val="20"/>
                <w:szCs w:val="20"/>
                <w:color w:val="auto"/>
              </w:rPr>
            </w:pPr>
            <w:r>
              <w:rPr>
                <w:rFonts w:ascii="Arial" w:cs="Arial" w:eastAsia="Arial" w:hAnsi="Arial"/>
                <w:sz w:val="18"/>
                <w:szCs w:val="18"/>
                <w:color w:val="auto"/>
              </w:rPr>
              <w:t>Other income</w:t>
            </w: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1,924,993</w:t>
            </w:r>
          </w:p>
        </w:tc>
        <w:tc>
          <w:tcPr>
            <w:tcW w:w="20" w:type="dxa"/>
            <w:vAlign w:val="bottom"/>
            <w:tcBorders>
              <w:top w:val="single" w:sz="8" w:color="CCEEFF"/>
              <w:bottom w:val="single" w:sz="8" w:color="auto"/>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r>
      <w:tr>
        <w:trPr>
          <w:trHeight w:val="257"/>
        </w:trPr>
        <w:tc>
          <w:tcPr>
            <w:tcW w:w="100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Net income</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1,618,159</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r>
      <w:tr>
        <w:trPr>
          <w:trHeight w:val="209"/>
        </w:trPr>
        <w:tc>
          <w:tcPr>
            <w:tcW w:w="10020" w:type="dxa"/>
            <w:vAlign w:val="bottom"/>
            <w:gridSpan w:val="2"/>
          </w:tcPr>
          <w:p>
            <w:pPr>
              <w:spacing w:after="0"/>
              <w:rPr>
                <w:sz w:val="20"/>
                <w:szCs w:val="20"/>
                <w:color w:val="auto"/>
              </w:rPr>
            </w:pPr>
            <w:r>
              <w:rPr>
                <w:rFonts w:ascii="Arial" w:cs="Arial" w:eastAsia="Arial" w:hAnsi="Arial"/>
                <w:sz w:val="18"/>
                <w:szCs w:val="18"/>
                <w:color w:val="auto"/>
              </w:rPr>
              <w:t>Weighted average shares outstanding, basic and diluted(1)</w:t>
            </w: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7,111,079</w:t>
            </w:r>
          </w:p>
        </w:tc>
        <w:tc>
          <w:tcPr>
            <w:tcW w:w="80" w:type="dxa"/>
            <w:vAlign w:val="bottom"/>
          </w:tcPr>
          <w:p>
            <w:pPr>
              <w:spacing w:after="0"/>
              <w:rPr>
                <w:sz w:val="18"/>
                <w:szCs w:val="18"/>
                <w:color w:val="auto"/>
              </w:rPr>
            </w:pPr>
          </w:p>
        </w:tc>
      </w:tr>
      <w:tr>
        <w:trPr>
          <w:trHeight w:val="21"/>
        </w:trPr>
        <w:tc>
          <w:tcPr>
            <w:tcW w:w="1700" w:type="dxa"/>
            <w:vAlign w:val="bottom"/>
          </w:tcPr>
          <w:p>
            <w:pPr>
              <w:spacing w:after="0" w:line="20" w:lineRule="exact"/>
              <w:rPr>
                <w:sz w:val="1"/>
                <w:szCs w:val="1"/>
                <w:color w:val="auto"/>
              </w:rPr>
            </w:pPr>
          </w:p>
        </w:tc>
        <w:tc>
          <w:tcPr>
            <w:tcW w:w="8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250"/>
        </w:trPr>
        <w:tc>
          <w:tcPr>
            <w:tcW w:w="100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Basic and diluted net loss per ordinary share(2)</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00" w:type="dxa"/>
            <w:vAlign w:val="bottom"/>
            <w:tcBorders>
              <w:bottom w:val="single" w:sz="8" w:color="CCEEFF"/>
            </w:tcBorders>
            <w:gridSpan w:val="2"/>
            <w:shd w:val="clear" w:color="auto" w:fill="CCEEFF"/>
          </w:tcPr>
          <w:p>
            <w:pPr>
              <w:spacing w:after="0"/>
              <w:rPr>
                <w:sz w:val="21"/>
                <w:szCs w:val="21"/>
                <w:color w:val="auto"/>
              </w:rPr>
            </w:pPr>
          </w:p>
        </w:tc>
      </w:tr>
      <w:tr>
        <w:trPr>
          <w:trHeight w:val="243"/>
        </w:trPr>
        <w:tc>
          <w:tcPr>
            <w:tcW w:w="1700" w:type="dxa"/>
            <w:vAlign w:val="bottom"/>
            <w:tcBorders>
              <w:bottom w:val="single" w:sz="8" w:color="auto"/>
            </w:tcBorders>
          </w:tcPr>
          <w:p>
            <w:pPr>
              <w:spacing w:after="0"/>
              <w:rPr>
                <w:sz w:val="21"/>
                <w:szCs w:val="21"/>
                <w:color w:val="auto"/>
              </w:rPr>
            </w:pPr>
          </w:p>
        </w:tc>
        <w:tc>
          <w:tcPr>
            <w:tcW w:w="8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bl>
    <w:p>
      <w:pPr>
        <w:spacing w:after="0" w:line="229" w:lineRule="exact"/>
        <w:rPr>
          <w:sz w:val="20"/>
          <w:szCs w:val="20"/>
          <w:color w:val="auto"/>
        </w:rPr>
      </w:pPr>
    </w:p>
    <w:p>
      <w:pPr>
        <w:ind w:left="340" w:hanging="332"/>
        <w:spacing w:after="0"/>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Excludes an aggregate of 23,740,181 shares subject to possible redemption at December 31, 2019</w:t>
      </w:r>
    </w:p>
    <w:p>
      <w:pPr>
        <w:spacing w:after="0" w:line="252" w:lineRule="exact"/>
        <w:rPr>
          <w:rFonts w:ascii="Arial" w:cs="Arial" w:eastAsia="Arial" w:hAnsi="Arial"/>
          <w:sz w:val="18"/>
          <w:szCs w:val="18"/>
          <w:color w:val="auto"/>
        </w:rPr>
      </w:pPr>
    </w:p>
    <w:p>
      <w:pPr>
        <w:ind w:left="340" w:right="320" w:hanging="332"/>
        <w:spacing w:after="0" w:line="277" w:lineRule="auto"/>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Net loss per ordinary share – basic and diluted excludes income attributable to ordinary shares subject to possible redemption of $1,827,973 for the period from June 7, 2019 (inception) through December 31, 2019, respectively (see Note 2).</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The accompanying notes are an integral part of the financial statements.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2" w:name="page93"/>
    <w:bookmarkEnd w:id="92"/>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SILVER SPIKE ACQUISITION CORP.</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STATEMENT OF CHANGES IN SHAREHOLDERS’ EQUITY</w:t>
      </w:r>
    </w:p>
    <w:p>
      <w:pPr>
        <w:jc w:val="center"/>
        <w:spacing w:after="0"/>
        <w:rPr>
          <w:sz w:val="20"/>
          <w:szCs w:val="20"/>
          <w:color w:val="auto"/>
        </w:rPr>
      </w:pPr>
      <w:r>
        <w:rPr>
          <w:rFonts w:ascii="Arial" w:cs="Arial" w:eastAsia="Arial" w:hAnsi="Arial"/>
          <w:sz w:val="22"/>
          <w:szCs w:val="22"/>
          <w:b w:val="1"/>
          <w:bCs w:val="1"/>
          <w:color w:val="auto"/>
        </w:rPr>
        <w:t>FOR THE PERIOD FROM JUNE 7, 2019 (INCEPTION) THROUGH DECEMBER 31, 2019</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Total</w:t>
            </w:r>
          </w:p>
        </w:tc>
      </w:tr>
      <w:tr>
        <w:trPr>
          <w:trHeight w:val="241"/>
        </w:trPr>
        <w:tc>
          <w:tcPr>
            <w:tcW w:w="3040" w:type="dxa"/>
            <w:vAlign w:val="bottom"/>
          </w:tcPr>
          <w:p>
            <w:pPr>
              <w:spacing w:after="0"/>
              <w:rPr>
                <w:sz w:val="20"/>
                <w:szCs w:val="20"/>
                <w:color w:val="auto"/>
              </w:rPr>
            </w:pPr>
          </w:p>
        </w:tc>
        <w:tc>
          <w:tcPr>
            <w:tcW w:w="2300" w:type="dxa"/>
            <w:vAlign w:val="bottom"/>
            <w:gridSpan w:val="6"/>
          </w:tcPr>
          <w:p>
            <w:pPr>
              <w:jc w:val="right"/>
              <w:ind w:right="300"/>
              <w:spacing w:after="0"/>
              <w:rPr>
                <w:sz w:val="20"/>
                <w:szCs w:val="20"/>
                <w:color w:val="auto"/>
              </w:rPr>
            </w:pPr>
            <w:r>
              <w:rPr>
                <w:rFonts w:ascii="Arial" w:cs="Arial" w:eastAsia="Arial" w:hAnsi="Arial"/>
                <w:sz w:val="18"/>
                <w:szCs w:val="18"/>
                <w:b w:val="1"/>
                <w:bCs w:val="1"/>
                <w:color w:val="auto"/>
                <w:w w:val="93"/>
              </w:rPr>
              <w:t>Class A Ordinary Shares</w:t>
            </w:r>
          </w:p>
        </w:tc>
        <w:tc>
          <w:tcPr>
            <w:tcW w:w="2140" w:type="dxa"/>
            <w:vAlign w:val="bottom"/>
            <w:gridSpan w:val="6"/>
          </w:tcPr>
          <w:p>
            <w:pPr>
              <w:jc w:val="right"/>
              <w:ind w:right="180"/>
              <w:spacing w:after="0"/>
              <w:rPr>
                <w:sz w:val="20"/>
                <w:szCs w:val="20"/>
                <w:color w:val="auto"/>
              </w:rPr>
            </w:pPr>
            <w:r>
              <w:rPr>
                <w:rFonts w:ascii="Arial" w:cs="Arial" w:eastAsia="Arial" w:hAnsi="Arial"/>
                <w:sz w:val="18"/>
                <w:szCs w:val="18"/>
                <w:b w:val="1"/>
                <w:bCs w:val="1"/>
                <w:color w:val="auto"/>
                <w:w w:val="91"/>
              </w:rPr>
              <w:t>Class B Ordinary Shares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5"/>
              </w:rPr>
              <w:t>Additional</w:t>
            </w:r>
          </w:p>
        </w:tc>
        <w:tc>
          <w:tcPr>
            <w:tcW w:w="100" w:type="dxa"/>
            <w:vAlign w:val="bottom"/>
          </w:tcPr>
          <w:p>
            <w:pPr>
              <w:spacing w:after="0"/>
              <w:rPr>
                <w:sz w:val="20"/>
                <w:szCs w:val="20"/>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86"/>
              </w:rPr>
              <w:t>Retained</w:t>
            </w:r>
          </w:p>
        </w:tc>
        <w:tc>
          <w:tcPr>
            <w:tcW w:w="1220" w:type="dxa"/>
            <w:vAlign w:val="bottom"/>
            <w:gridSpan w:val="3"/>
          </w:tcPr>
          <w:p>
            <w:pPr>
              <w:ind w:left="20"/>
              <w:spacing w:after="0"/>
              <w:rPr>
                <w:sz w:val="20"/>
                <w:szCs w:val="20"/>
                <w:color w:val="auto"/>
              </w:rPr>
            </w:pPr>
            <w:r>
              <w:rPr>
                <w:rFonts w:ascii="Arial" w:cs="Arial" w:eastAsia="Arial" w:hAnsi="Arial"/>
                <w:sz w:val="18"/>
                <w:szCs w:val="18"/>
                <w:b w:val="1"/>
                <w:bCs w:val="1"/>
                <w:color w:val="auto"/>
                <w:w w:val="98"/>
              </w:rPr>
              <w:t>Shareholders’</w:t>
            </w:r>
          </w:p>
        </w:tc>
      </w:tr>
      <w:tr>
        <w:trPr>
          <w:trHeight w:val="223"/>
        </w:trPr>
        <w:tc>
          <w:tcPr>
            <w:tcW w:w="3040" w:type="dxa"/>
            <w:vAlign w:val="bottom"/>
          </w:tcPr>
          <w:p>
            <w:pPr>
              <w:spacing w:after="0"/>
              <w:rPr>
                <w:sz w:val="19"/>
                <w:szCs w:val="19"/>
                <w:color w:val="auto"/>
              </w:rPr>
            </w:pPr>
          </w:p>
        </w:tc>
        <w:tc>
          <w:tcPr>
            <w:tcW w:w="1120" w:type="dxa"/>
            <w:vAlign w:val="bottom"/>
            <w:tcBorders>
              <w:top w:val="single" w:sz="8" w:color="auto"/>
            </w:tcBorders>
            <w:gridSpan w:val="2"/>
          </w:tcPr>
          <w:p>
            <w:pPr>
              <w:jc w:val="right"/>
              <w:ind w:right="380"/>
              <w:spacing w:after="0"/>
              <w:rPr>
                <w:sz w:val="20"/>
                <w:szCs w:val="20"/>
                <w:color w:val="auto"/>
              </w:rPr>
            </w:pPr>
            <w:r>
              <w:rPr>
                <w:rFonts w:ascii="Arial" w:cs="Arial" w:eastAsia="Arial" w:hAnsi="Arial"/>
                <w:sz w:val="18"/>
                <w:szCs w:val="18"/>
                <w:b w:val="1"/>
                <w:bCs w:val="1"/>
                <w:color w:val="auto"/>
              </w:rPr>
              <w:t>Shares</w:t>
            </w:r>
          </w:p>
        </w:tc>
        <w:tc>
          <w:tcPr>
            <w:tcW w:w="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4"/>
              </w:rPr>
              <w:t>Amount</w:t>
            </w:r>
          </w:p>
        </w:tc>
        <w:tc>
          <w:tcPr>
            <w:tcW w:w="220" w:type="dxa"/>
            <w:vAlign w:val="bottom"/>
          </w:tcPr>
          <w:p>
            <w:pPr>
              <w:spacing w:after="0"/>
              <w:rPr>
                <w:sz w:val="19"/>
                <w:szCs w:val="19"/>
                <w:color w:val="auto"/>
              </w:rPr>
            </w:pPr>
          </w:p>
        </w:tc>
        <w:tc>
          <w:tcPr>
            <w:tcW w:w="1020" w:type="dxa"/>
            <w:vAlign w:val="bottom"/>
            <w:tcBorders>
              <w:top w:val="single" w:sz="8" w:color="auto"/>
            </w:tcBorders>
            <w:gridSpan w:val="2"/>
          </w:tcPr>
          <w:p>
            <w:pPr>
              <w:jc w:val="right"/>
              <w:ind w:right="320"/>
              <w:spacing w:after="0"/>
              <w:rPr>
                <w:sz w:val="20"/>
                <w:szCs w:val="20"/>
                <w:color w:val="auto"/>
              </w:rPr>
            </w:pPr>
            <w:r>
              <w:rPr>
                <w:rFonts w:ascii="Arial" w:cs="Arial" w:eastAsia="Arial" w:hAnsi="Arial"/>
                <w:sz w:val="18"/>
                <w:szCs w:val="18"/>
                <w:b w:val="1"/>
                <w:bCs w:val="1"/>
                <w:color w:val="auto"/>
              </w:rPr>
              <w:t>Shares</w:t>
            </w:r>
          </w:p>
        </w:tc>
        <w:tc>
          <w:tcPr>
            <w:tcW w:w="8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1"/>
              </w:rPr>
              <w:t>Amount</w:t>
            </w:r>
          </w:p>
        </w:tc>
        <w:tc>
          <w:tcPr>
            <w:tcW w:w="140" w:type="dxa"/>
            <w:vAlign w:val="bottom"/>
          </w:tcPr>
          <w:p>
            <w:pPr>
              <w:spacing w:after="0"/>
              <w:rPr>
                <w:sz w:val="19"/>
                <w:szCs w:val="19"/>
                <w:color w:val="auto"/>
              </w:rPr>
            </w:pPr>
          </w:p>
        </w:tc>
        <w:tc>
          <w:tcPr>
            <w:tcW w:w="1440" w:type="dxa"/>
            <w:vAlign w:val="bottom"/>
            <w:gridSpan w:val="4"/>
          </w:tcPr>
          <w:p>
            <w:pPr>
              <w:ind w:left="80"/>
              <w:spacing w:after="0"/>
              <w:rPr>
                <w:sz w:val="20"/>
                <w:szCs w:val="20"/>
                <w:color w:val="auto"/>
              </w:rPr>
            </w:pPr>
            <w:r>
              <w:rPr>
                <w:rFonts w:ascii="Arial" w:cs="Arial" w:eastAsia="Arial" w:hAnsi="Arial"/>
                <w:sz w:val="18"/>
                <w:szCs w:val="18"/>
                <w:b w:val="1"/>
                <w:bCs w:val="1"/>
                <w:color w:val="auto"/>
              </w:rPr>
              <w:t>Paid in Capital</w:t>
            </w:r>
          </w:p>
        </w:tc>
        <w:tc>
          <w:tcPr>
            <w:tcW w:w="100" w:type="dxa"/>
            <w:vAlign w:val="bottom"/>
          </w:tcPr>
          <w:p>
            <w:pPr>
              <w:spacing w:after="0"/>
              <w:rPr>
                <w:sz w:val="19"/>
                <w:szCs w:val="19"/>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88"/>
              </w:rPr>
              <w:t>Earnings</w:t>
            </w:r>
          </w:p>
        </w:tc>
        <w:tc>
          <w:tcPr>
            <w:tcW w:w="120" w:type="dxa"/>
            <w:vAlign w:val="bottom"/>
          </w:tcPr>
          <w:p>
            <w:pPr>
              <w:spacing w:after="0"/>
              <w:rPr>
                <w:sz w:val="19"/>
                <w:szCs w:val="19"/>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Equity</w:t>
            </w:r>
          </w:p>
        </w:tc>
      </w:tr>
      <w:tr>
        <w:trPr>
          <w:trHeight w:val="216"/>
        </w:trPr>
        <w:tc>
          <w:tcPr>
            <w:tcW w:w="3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 June 7, 2019 (inception)</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02"/>
        </w:trPr>
        <w:tc>
          <w:tcPr>
            <w:tcW w:w="3040" w:type="dxa"/>
            <w:vAlign w:val="bottom"/>
          </w:tcPr>
          <w:p>
            <w:pPr>
              <w:spacing w:after="0" w:line="201" w:lineRule="exact"/>
              <w:rPr>
                <w:sz w:val="20"/>
                <w:szCs w:val="20"/>
                <w:color w:val="auto"/>
              </w:rPr>
            </w:pPr>
            <w:r>
              <w:rPr>
                <w:rFonts w:ascii="Arial" w:cs="Arial" w:eastAsia="Arial" w:hAnsi="Arial"/>
                <w:sz w:val="18"/>
                <w:szCs w:val="18"/>
                <w:color w:val="auto"/>
                <w:w w:val="97"/>
              </w:rPr>
              <w:t>Issuance of Class B ordinary shares to</w:t>
            </w: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3040" w:type="dxa"/>
            <w:vAlign w:val="bottom"/>
          </w:tcPr>
          <w:p>
            <w:pPr>
              <w:ind w:left="140"/>
              <w:spacing w:after="0"/>
              <w:rPr>
                <w:sz w:val="20"/>
                <w:szCs w:val="20"/>
                <w:color w:val="auto"/>
              </w:rPr>
            </w:pPr>
            <w:r>
              <w:rPr>
                <w:rFonts w:ascii="Arial" w:cs="Arial" w:eastAsia="Arial" w:hAnsi="Arial"/>
                <w:sz w:val="18"/>
                <w:szCs w:val="18"/>
                <w:color w:val="auto"/>
              </w:rPr>
              <w:t>Sponsor</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7,187,500</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719</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24,281</w:t>
            </w:r>
          </w:p>
        </w:tc>
        <w:tc>
          <w:tcPr>
            <w:tcW w:w="10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25,000</w:t>
            </w:r>
          </w:p>
        </w:tc>
      </w:tr>
      <w:tr>
        <w:trPr>
          <w:trHeight w:val="202"/>
        </w:trPr>
        <w:tc>
          <w:tcPr>
            <w:tcW w:w="30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Sale of 25,000,000 Units, net of</w:t>
            </w: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3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underwriting discounts and offering</w:t>
            </w: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3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expenses</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25,000,000</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2,500</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235,584,138</w:t>
            </w: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235,586,638</w:t>
            </w:r>
          </w:p>
        </w:tc>
      </w:tr>
      <w:tr>
        <w:trPr>
          <w:trHeight w:val="202"/>
        </w:trPr>
        <w:tc>
          <w:tcPr>
            <w:tcW w:w="3040" w:type="dxa"/>
            <w:vAlign w:val="bottom"/>
          </w:tcPr>
          <w:p>
            <w:pPr>
              <w:spacing w:after="0" w:line="201" w:lineRule="exact"/>
              <w:rPr>
                <w:sz w:val="20"/>
                <w:szCs w:val="20"/>
                <w:color w:val="auto"/>
              </w:rPr>
            </w:pPr>
            <w:r>
              <w:rPr>
                <w:rFonts w:ascii="Arial" w:cs="Arial" w:eastAsia="Arial" w:hAnsi="Arial"/>
                <w:sz w:val="18"/>
                <w:szCs w:val="18"/>
                <w:color w:val="auto"/>
              </w:rPr>
              <w:t>Sale of 7,000,000 Private Placement</w:t>
            </w: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3040" w:type="dxa"/>
            <w:vAlign w:val="bottom"/>
          </w:tcPr>
          <w:p>
            <w:pPr>
              <w:ind w:left="140"/>
              <w:spacing w:after="0"/>
              <w:rPr>
                <w:sz w:val="20"/>
                <w:szCs w:val="20"/>
                <w:color w:val="auto"/>
              </w:rPr>
            </w:pPr>
            <w:r>
              <w:rPr>
                <w:rFonts w:ascii="Arial" w:cs="Arial" w:eastAsia="Arial" w:hAnsi="Arial"/>
                <w:sz w:val="18"/>
                <w:szCs w:val="18"/>
                <w:color w:val="auto"/>
              </w:rPr>
              <w:t>Warrants</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7,000,000</w:t>
            </w:r>
          </w:p>
        </w:tc>
        <w:tc>
          <w:tcPr>
            <w:tcW w:w="10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7,000,000</w:t>
            </w:r>
          </w:p>
        </w:tc>
      </w:tr>
      <w:tr>
        <w:trPr>
          <w:trHeight w:val="202"/>
        </w:trPr>
        <w:tc>
          <w:tcPr>
            <w:tcW w:w="30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Forfeiture of 937,500 Class B ordinary</w:t>
            </w: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3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shares</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(937,500)</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(94)</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94</w:t>
            </w: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3040" w:type="dxa"/>
            <w:vAlign w:val="bottom"/>
          </w:tcPr>
          <w:p>
            <w:pPr>
              <w:spacing w:after="0" w:line="201" w:lineRule="exact"/>
              <w:rPr>
                <w:sz w:val="20"/>
                <w:szCs w:val="20"/>
                <w:color w:val="auto"/>
              </w:rPr>
            </w:pPr>
            <w:r>
              <w:rPr>
                <w:rFonts w:ascii="Arial" w:cs="Arial" w:eastAsia="Arial" w:hAnsi="Arial"/>
                <w:sz w:val="18"/>
                <w:szCs w:val="18"/>
                <w:color w:val="auto"/>
              </w:rPr>
              <w:t>Ordinary shares subject to possible</w:t>
            </w: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3040" w:type="dxa"/>
            <w:vAlign w:val="bottom"/>
          </w:tcPr>
          <w:p>
            <w:pPr>
              <w:ind w:left="140"/>
              <w:spacing w:after="0"/>
              <w:rPr>
                <w:sz w:val="20"/>
                <w:szCs w:val="20"/>
                <w:color w:val="auto"/>
              </w:rPr>
            </w:pPr>
            <w:r>
              <w:rPr>
                <w:rFonts w:ascii="Arial" w:cs="Arial" w:eastAsia="Arial" w:hAnsi="Arial"/>
                <w:sz w:val="18"/>
                <w:szCs w:val="18"/>
                <w:color w:val="auto"/>
              </w:rPr>
              <w:t>redemption</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(23,740,181)</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(2,374)</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(239,227,422)</w:t>
            </w:r>
          </w:p>
        </w:tc>
        <w:tc>
          <w:tcPr>
            <w:tcW w:w="10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(239,229,796)</w:t>
            </w:r>
          </w:p>
        </w:tc>
      </w:tr>
      <w:tr>
        <w:trPr>
          <w:trHeight w:val="216"/>
        </w:trPr>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1,618,159</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1,618,159</w:t>
            </w:r>
          </w:p>
        </w:tc>
      </w:tr>
      <w:tr>
        <w:trPr>
          <w:trHeight w:val="27"/>
        </w:trPr>
        <w:tc>
          <w:tcPr>
            <w:tcW w:w="3040" w:type="dxa"/>
            <w:vAlign w:val="bottom"/>
            <w:shd w:val="clear" w:color="auto" w:fill="CCEEFF"/>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3040" w:type="dxa"/>
            <w:vAlign w:val="bottom"/>
          </w:tcPr>
          <w:p>
            <w:pPr>
              <w:spacing w:after="0"/>
              <w:rPr>
                <w:sz w:val="20"/>
                <w:szCs w:val="20"/>
                <w:color w:val="auto"/>
              </w:rPr>
            </w:pPr>
            <w:r>
              <w:rPr>
                <w:rFonts w:ascii="Arial" w:cs="Arial" w:eastAsia="Arial" w:hAnsi="Arial"/>
                <w:sz w:val="18"/>
                <w:szCs w:val="18"/>
                <w:b w:val="1"/>
                <w:bCs w:val="1"/>
                <w:color w:val="auto"/>
              </w:rPr>
              <w:t>Balance – December 31, 2019</w:t>
            </w:r>
          </w:p>
        </w:tc>
        <w:tc>
          <w:tcPr>
            <w:tcW w:w="980" w:type="dxa"/>
            <w:vAlign w:val="bottom"/>
          </w:tcPr>
          <w:p>
            <w:pPr>
              <w:jc w:val="right"/>
              <w:spacing w:after="0"/>
              <w:rPr>
                <w:sz w:val="20"/>
                <w:szCs w:val="20"/>
                <w:color w:val="auto"/>
              </w:rPr>
            </w:pPr>
            <w:r>
              <w:rPr>
                <w:rFonts w:ascii="Arial" w:cs="Arial" w:eastAsia="Arial" w:hAnsi="Arial"/>
                <w:sz w:val="18"/>
                <w:szCs w:val="18"/>
                <w:color w:val="auto"/>
              </w:rPr>
              <w:t>1,259,819</w:t>
            </w:r>
          </w:p>
        </w:tc>
        <w:tc>
          <w:tcPr>
            <w:tcW w:w="14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126</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6,250,000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625</w:t>
            </w:r>
          </w:p>
        </w:tc>
        <w:tc>
          <w:tcPr>
            <w:tcW w:w="200" w:type="dxa"/>
            <w:vAlign w:val="bottom"/>
            <w:gridSpan w:val="2"/>
          </w:tcPr>
          <w:p>
            <w:pPr>
              <w:ind w:left="80"/>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3,381,091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w w:val="94"/>
              </w:rPr>
              <w:t>1,618,159</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5,000,001</w:t>
            </w:r>
          </w:p>
        </w:tc>
      </w:tr>
      <w:tr>
        <w:trPr>
          <w:trHeight w:val="21"/>
        </w:trPr>
        <w:tc>
          <w:tcPr>
            <w:tcW w:w="30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The accompanying notes are an integral part of the financial statements.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3" w:name="page94"/>
    <w:bookmarkEnd w:id="93"/>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SILVER SPIKE ACQUISITION CORP.</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STATEMENT OF CASH FLOWS</w:t>
      </w:r>
    </w:p>
    <w:p>
      <w:pPr>
        <w:jc w:val="center"/>
        <w:spacing w:after="0"/>
        <w:rPr>
          <w:sz w:val="20"/>
          <w:szCs w:val="20"/>
          <w:color w:val="auto"/>
        </w:rPr>
      </w:pPr>
      <w:r>
        <w:rPr>
          <w:rFonts w:ascii="Arial" w:cs="Arial" w:eastAsia="Arial" w:hAnsi="Arial"/>
          <w:sz w:val="22"/>
          <w:szCs w:val="22"/>
          <w:b w:val="1"/>
          <w:bCs w:val="1"/>
          <w:color w:val="auto"/>
        </w:rPr>
        <w:t>FOR THE PERIOD FROM JUNE 7, 2019 (INCEPTION) THROUGH DECEMBER 31, 2019</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020" w:type="dxa"/>
            <w:vAlign w:val="bottom"/>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1,618,159</w:t>
            </w:r>
          </w:p>
        </w:tc>
        <w:tc>
          <w:tcPr>
            <w:tcW w:w="10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Adjustments to reconcile net income to net cash used in operating activities: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earned on marketable securities held in Trust Account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(1,812,577)</w:t>
            </w:r>
          </w:p>
        </w:tc>
      </w:tr>
      <w:tr>
        <w:trPr>
          <w:trHeight w:val="216"/>
        </w:trPr>
        <w:tc>
          <w:tcPr>
            <w:tcW w:w="10020" w:type="dxa"/>
            <w:vAlign w:val="bottom"/>
          </w:tcPr>
          <w:p>
            <w:pPr>
              <w:ind w:left="180"/>
              <w:spacing w:after="0"/>
              <w:rPr>
                <w:sz w:val="20"/>
                <w:szCs w:val="20"/>
                <w:color w:val="auto"/>
              </w:rPr>
            </w:pPr>
            <w:r>
              <w:rPr>
                <w:rFonts w:ascii="Arial" w:cs="Arial" w:eastAsia="Arial" w:hAnsi="Arial"/>
                <w:sz w:val="18"/>
                <w:szCs w:val="18"/>
                <w:color w:val="auto"/>
              </w:rPr>
              <w:t>Unrealized gain on marketable securities held in Trust Account</w:t>
            </w:r>
          </w:p>
        </w:tc>
        <w:tc>
          <w:tcPr>
            <w:tcW w:w="12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(112,416)</w:t>
            </w:r>
          </w:p>
        </w:tc>
      </w:tr>
      <w:tr>
        <w:trPr>
          <w:trHeight w:val="216"/>
        </w:trPr>
        <w:tc>
          <w:tcPr>
            <w:tcW w:w="10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Changes in operating assets and liabilities: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0020" w:type="dxa"/>
            <w:vAlign w:val="bottom"/>
          </w:tcPr>
          <w:p>
            <w:pPr>
              <w:ind w:left="340"/>
              <w:spacing w:after="0"/>
              <w:rPr>
                <w:sz w:val="20"/>
                <w:szCs w:val="20"/>
                <w:color w:val="auto"/>
              </w:rPr>
            </w:pPr>
            <w:r>
              <w:rPr>
                <w:rFonts w:ascii="Arial" w:cs="Arial" w:eastAsia="Arial" w:hAnsi="Arial"/>
                <w:sz w:val="18"/>
                <w:szCs w:val="18"/>
                <w:color w:val="auto"/>
              </w:rPr>
              <w:t>Prepaid expenses</w:t>
            </w:r>
          </w:p>
        </w:tc>
        <w:tc>
          <w:tcPr>
            <w:tcW w:w="12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(257,110)</w:t>
            </w:r>
          </w:p>
        </w:tc>
      </w:tr>
      <w:tr>
        <w:trPr>
          <w:trHeight w:val="223"/>
        </w:trPr>
        <w:tc>
          <w:tcPr>
            <w:tcW w:w="100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Accrued expenses</w:t>
            </w: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96,895</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10020" w:type="dxa"/>
            <w:vAlign w:val="bottom"/>
          </w:tcPr>
          <w:p>
            <w:pPr>
              <w:ind w:left="340"/>
              <w:spacing w:after="0"/>
              <w:rPr>
                <w:sz w:val="20"/>
                <w:szCs w:val="20"/>
                <w:color w:val="auto"/>
              </w:rPr>
            </w:pPr>
            <w:r>
              <w:rPr>
                <w:rFonts w:ascii="Arial" w:cs="Arial" w:eastAsia="Arial" w:hAnsi="Arial"/>
                <w:sz w:val="18"/>
                <w:szCs w:val="18"/>
                <w:b w:val="1"/>
                <w:bCs w:val="1"/>
                <w:color w:val="auto"/>
              </w:rPr>
              <w:t>Net cash used in operating activities</w:t>
            </w:r>
          </w:p>
        </w:tc>
        <w:tc>
          <w:tcPr>
            <w:tcW w:w="12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b w:val="1"/>
                <w:bCs w:val="1"/>
                <w:color w:val="auto"/>
              </w:rPr>
              <w:t>(467,049)</w:t>
            </w: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10020" w:type="dxa"/>
            <w:vAlign w:val="bottom"/>
          </w:tcPr>
          <w:p>
            <w:pPr>
              <w:spacing w:after="0"/>
              <w:rPr>
                <w:sz w:val="20"/>
                <w:szCs w:val="20"/>
                <w:color w:val="auto"/>
              </w:rPr>
            </w:pPr>
            <w:r>
              <w:rPr>
                <w:rFonts w:ascii="Arial" w:cs="Arial" w:eastAsia="Arial" w:hAnsi="Arial"/>
                <w:sz w:val="18"/>
                <w:szCs w:val="18"/>
                <w:color w:val="auto"/>
              </w:rPr>
              <w:t>Investment of cash in Trust Account</w:t>
            </w:r>
          </w:p>
        </w:tc>
        <w:tc>
          <w:tcPr>
            <w:tcW w:w="12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w w:val="92"/>
              </w:rPr>
              <w:t>(250,000,000)</w:t>
            </w:r>
          </w:p>
        </w:tc>
      </w:tr>
      <w:tr>
        <w:trPr>
          <w:trHeight w:val="223"/>
        </w:trPr>
        <w:tc>
          <w:tcPr>
            <w:tcW w:w="10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(250,000,000</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74"/>
              </w:rPr>
              <w:t>)</w:t>
            </w:r>
          </w:p>
        </w:tc>
      </w:tr>
      <w:tr>
        <w:trPr>
          <w:trHeight w:val="216"/>
        </w:trPr>
        <w:tc>
          <w:tcPr>
            <w:tcW w:w="1002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 of Units, net of underwriting discounts paid</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245,000,000</w:t>
            </w:r>
          </w:p>
        </w:tc>
        <w:tc>
          <w:tcPr>
            <w:tcW w:w="10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Proceeds from sale of Private Placement Warrants</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7,000,000</w:t>
            </w: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Proceeds from promissory note - related party</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237,470</w:t>
            </w:r>
          </w:p>
        </w:tc>
        <w:tc>
          <w:tcPr>
            <w:tcW w:w="10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Repayment of promissory note – related party</w:t>
            </w:r>
          </w:p>
        </w:tc>
        <w:tc>
          <w:tcPr>
            <w:tcW w:w="12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(237,470)</w:t>
            </w:r>
          </w:p>
        </w:tc>
      </w:tr>
      <w:tr>
        <w:trPr>
          <w:trHeight w:val="223"/>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Payment of offering costs</w:t>
            </w: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(638,362)</w:t>
            </w:r>
          </w:p>
        </w:tc>
      </w:tr>
      <w:tr>
        <w:trPr>
          <w:trHeight w:val="223"/>
        </w:trPr>
        <w:tc>
          <w:tcPr>
            <w:tcW w:w="10020" w:type="dxa"/>
            <w:vAlign w:val="bottom"/>
            <w:tcBorders>
              <w:top w:val="single" w:sz="8" w:color="CCEEFF"/>
            </w:tcBorders>
          </w:tcPr>
          <w:p>
            <w:pPr>
              <w:ind w:left="340"/>
              <w:spacing w:after="0"/>
              <w:rPr>
                <w:sz w:val="20"/>
                <w:szCs w:val="20"/>
                <w:color w:val="auto"/>
              </w:rPr>
            </w:pPr>
            <w:r>
              <w:rPr>
                <w:rFonts w:ascii="Arial" w:cs="Arial" w:eastAsia="Arial" w:hAnsi="Arial"/>
                <w:sz w:val="18"/>
                <w:szCs w:val="18"/>
                <w:b w:val="1"/>
                <w:bCs w:val="1"/>
                <w:color w:val="auto"/>
              </w:rPr>
              <w:t>Net cash provided by financing activities</w:t>
            </w:r>
          </w:p>
        </w:tc>
        <w:tc>
          <w:tcPr>
            <w:tcW w:w="1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251,361,638</w:t>
            </w:r>
          </w:p>
        </w:tc>
        <w:tc>
          <w:tcPr>
            <w:tcW w:w="100" w:type="dxa"/>
            <w:vAlign w:val="bottom"/>
            <w:tcBorders>
              <w:top w:val="single" w:sz="8" w:color="CCEEFF"/>
            </w:tcBorders>
          </w:tcPr>
          <w:p>
            <w:pPr>
              <w:spacing w:after="0"/>
              <w:rPr>
                <w:sz w:val="19"/>
                <w:szCs w:val="19"/>
                <w:color w:val="auto"/>
              </w:rPr>
            </w:pP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Change in Cash</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894,589</w:t>
            </w:r>
          </w:p>
        </w:tc>
        <w:tc>
          <w:tcPr>
            <w:tcW w:w="100" w:type="dxa"/>
            <w:vAlign w:val="bottom"/>
            <w:shd w:val="clear" w:color="auto" w:fill="CCEEFF"/>
          </w:tcPr>
          <w:p>
            <w:pPr>
              <w:spacing w:after="0"/>
              <w:rPr>
                <w:sz w:val="18"/>
                <w:szCs w:val="18"/>
                <w:color w:val="auto"/>
              </w:rPr>
            </w:pPr>
          </w:p>
        </w:tc>
      </w:tr>
      <w:tr>
        <w:trPr>
          <w:trHeight w:val="223"/>
        </w:trPr>
        <w:tc>
          <w:tcPr>
            <w:tcW w:w="10020" w:type="dxa"/>
            <w:vAlign w:val="bottom"/>
          </w:tcPr>
          <w:p>
            <w:pPr>
              <w:spacing w:after="0"/>
              <w:rPr>
                <w:sz w:val="20"/>
                <w:szCs w:val="20"/>
                <w:color w:val="auto"/>
              </w:rPr>
            </w:pPr>
            <w:r>
              <w:rPr>
                <w:rFonts w:ascii="Arial" w:cs="Arial" w:eastAsia="Arial" w:hAnsi="Arial"/>
                <w:sz w:val="18"/>
                <w:szCs w:val="18"/>
                <w:color w:val="auto"/>
              </w:rPr>
              <w:t>Cash – Beginning June 7, 2019 (Inception)</w:t>
            </w:r>
          </w:p>
        </w:tc>
        <w:tc>
          <w:tcPr>
            <w:tcW w:w="120" w:type="dxa"/>
            <w:vAlign w:val="bottom"/>
          </w:tcPr>
          <w:p>
            <w:pPr>
              <w:spacing w:after="0"/>
              <w:rPr>
                <w:sz w:val="19"/>
                <w:szCs w:val="19"/>
                <w:color w:val="auto"/>
              </w:rPr>
            </w:pPr>
          </w:p>
        </w:tc>
        <w:tc>
          <w:tcPr>
            <w:tcW w:w="110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r>
      <w:tr>
        <w:trPr>
          <w:trHeight w:val="256"/>
        </w:trPr>
        <w:tc>
          <w:tcPr>
            <w:tcW w:w="10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 Ending</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894,589</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10"/>
        </w:trPr>
        <w:tc>
          <w:tcPr>
            <w:tcW w:w="10020" w:type="dxa"/>
            <w:vAlign w:val="bottom"/>
          </w:tcPr>
          <w:p>
            <w:pPr>
              <w:spacing w:after="0"/>
              <w:rPr>
                <w:sz w:val="20"/>
                <w:szCs w:val="20"/>
                <w:color w:val="auto"/>
              </w:rPr>
            </w:pPr>
            <w:r>
              <w:rPr>
                <w:rFonts w:ascii="Arial" w:cs="Arial" w:eastAsia="Arial" w:hAnsi="Arial"/>
                <w:sz w:val="18"/>
                <w:szCs w:val="18"/>
                <w:b w:val="1"/>
                <w:bCs w:val="1"/>
                <w:color w:val="auto"/>
              </w:rPr>
              <w:t>Non-Cash Investing and Financing Activities: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6"/>
        </w:trPr>
        <w:tc>
          <w:tcPr>
            <w:tcW w:w="10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Initial classification of ordinary shares subject to possible redemption</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237,606,630</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10"/>
        </w:trPr>
        <w:tc>
          <w:tcPr>
            <w:tcW w:w="10020" w:type="dxa"/>
            <w:vAlign w:val="bottom"/>
          </w:tcPr>
          <w:p>
            <w:pPr>
              <w:spacing w:after="0"/>
              <w:rPr>
                <w:sz w:val="20"/>
                <w:szCs w:val="20"/>
                <w:color w:val="auto"/>
              </w:rPr>
            </w:pPr>
            <w:r>
              <w:rPr>
                <w:rFonts w:ascii="Arial" w:cs="Arial" w:eastAsia="Arial" w:hAnsi="Arial"/>
                <w:sz w:val="18"/>
                <w:szCs w:val="18"/>
                <w:color w:val="auto"/>
              </w:rPr>
              <w:t>Change in value of ordinary shares subject to possible redemption</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1,623,166</w:t>
            </w:r>
          </w:p>
        </w:tc>
        <w:tc>
          <w:tcPr>
            <w:tcW w:w="100" w:type="dxa"/>
            <w:vAlign w:val="bottom"/>
          </w:tcPr>
          <w:p>
            <w:pPr>
              <w:spacing w:after="0"/>
              <w:rPr>
                <w:sz w:val="18"/>
                <w:szCs w:val="18"/>
                <w:color w:val="auto"/>
              </w:rPr>
            </w:pPr>
          </w:p>
        </w:tc>
      </w:tr>
      <w:tr>
        <w:trPr>
          <w:trHeight w:val="20"/>
        </w:trPr>
        <w:tc>
          <w:tcPr>
            <w:tcW w:w="100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10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underwriting fee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8,750,000</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10"/>
        </w:trPr>
        <w:tc>
          <w:tcPr>
            <w:tcW w:w="10020" w:type="dxa"/>
            <w:vAlign w:val="bottom"/>
          </w:tcPr>
          <w:p>
            <w:pPr>
              <w:spacing w:after="0"/>
              <w:rPr>
                <w:sz w:val="20"/>
                <w:szCs w:val="20"/>
                <w:color w:val="auto"/>
              </w:rPr>
            </w:pPr>
            <w:r>
              <w:rPr>
                <w:rFonts w:ascii="Arial" w:cs="Arial" w:eastAsia="Arial" w:hAnsi="Arial"/>
                <w:sz w:val="18"/>
                <w:szCs w:val="18"/>
                <w:color w:val="auto"/>
              </w:rPr>
              <w:t>Offering costs paid directly by Sponsor from proceeds from issuance of ordinary shares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25,000</w:t>
            </w:r>
          </w:p>
        </w:tc>
        <w:tc>
          <w:tcPr>
            <w:tcW w:w="100" w:type="dxa"/>
            <w:vAlign w:val="bottom"/>
          </w:tcPr>
          <w:p>
            <w:pPr>
              <w:spacing w:after="0"/>
              <w:rPr>
                <w:sz w:val="18"/>
                <w:szCs w:val="18"/>
                <w:color w:val="auto"/>
              </w:rPr>
            </w:pPr>
          </w:p>
        </w:tc>
      </w:tr>
      <w:tr>
        <w:trPr>
          <w:trHeight w:val="20"/>
        </w:trPr>
        <w:tc>
          <w:tcPr>
            <w:tcW w:w="100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The accompanying notes are an integral part of the financial statements.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4" w:name="page95"/>
    <w:bookmarkEnd w:id="94"/>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SILVER SPIKE ACQUISITION CORP.</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NOTES TO FINANCIAL STATEMENTS</w:t>
      </w:r>
    </w:p>
    <w:p>
      <w:pPr>
        <w:jc w:val="center"/>
        <w:ind w:right="-19"/>
        <w:spacing w:after="0"/>
        <w:rPr>
          <w:sz w:val="20"/>
          <w:szCs w:val="20"/>
          <w:color w:val="auto"/>
        </w:rPr>
      </w:pPr>
      <w:r>
        <w:rPr>
          <w:rFonts w:ascii="Arial" w:cs="Arial" w:eastAsia="Arial" w:hAnsi="Arial"/>
          <w:sz w:val="22"/>
          <w:szCs w:val="22"/>
          <w:b w:val="1"/>
          <w:bCs w:val="1"/>
          <w:color w:val="auto"/>
        </w:rPr>
        <w:t>DECEMBER 31, 2019</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 DESCRIPTION OF ORGANIZATION AND BUSINESS OPERATIONS</w:t>
      </w:r>
    </w:p>
    <w:p>
      <w:pPr>
        <w:spacing w:after="0" w:line="239" w:lineRule="exact"/>
        <w:rPr>
          <w:sz w:val="20"/>
          <w:szCs w:val="20"/>
          <w:color w:val="auto"/>
        </w:rPr>
      </w:pPr>
    </w:p>
    <w:p>
      <w:pPr>
        <w:ind w:right="20"/>
        <w:spacing w:after="0" w:line="238" w:lineRule="auto"/>
        <w:rPr>
          <w:sz w:val="20"/>
          <w:szCs w:val="20"/>
          <w:color w:val="auto"/>
        </w:rPr>
      </w:pPr>
      <w:r>
        <w:rPr>
          <w:rFonts w:ascii="Arial" w:cs="Arial" w:eastAsia="Arial" w:hAnsi="Arial"/>
          <w:sz w:val="22"/>
          <w:szCs w:val="22"/>
          <w:color w:val="auto"/>
        </w:rPr>
        <w:t>Silver Spike Acquisition Corp. (the “Company”) is a blank check company incorporated as a Cayman Islands exempted company on June 7, 2019. The Company was formed for the purpose of effecting a merger, amalgamation, share exchange, asset acquisition, share purchase, reorganization or similar business combination with one or more businesses (“Business Combination”).</w:t>
      </w:r>
    </w:p>
    <w:p>
      <w:pPr>
        <w:spacing w:after="0" w:line="212" w:lineRule="exact"/>
        <w:rPr>
          <w:sz w:val="20"/>
          <w:szCs w:val="20"/>
          <w:color w:val="auto"/>
        </w:rPr>
      </w:pPr>
    </w:p>
    <w:p>
      <w:pPr>
        <w:ind w:right="60"/>
        <w:spacing w:after="0" w:line="234" w:lineRule="auto"/>
        <w:rPr>
          <w:sz w:val="20"/>
          <w:szCs w:val="20"/>
          <w:color w:val="auto"/>
        </w:rPr>
      </w:pPr>
      <w:r>
        <w:rPr>
          <w:rFonts w:ascii="Arial" w:cs="Arial" w:eastAsia="Arial" w:hAnsi="Arial"/>
          <w:sz w:val="22"/>
          <w:szCs w:val="22"/>
          <w:color w:val="auto"/>
        </w:rPr>
        <w:t>Although the Company is not limited to a particular industry or geographic region for purposes of consummating a Business Combination, the Company intends to focus on businesses in the cannabis industry that are compliant with all applicable laws and regulations within the jurisdictions in which they are located or operate and, in particular, the Company will not invest in, or consummate a Business Combination with, a target business that the Company determines has been operating, or whose business plan is to operate, in violation of U.S. federal laws, including the U.S. Controlled Substances Act. The Company is an early stage and emerging growth company and, as such, the Company is subject to all of the risks associated with early stage and emerging growth companies.</w:t>
      </w:r>
    </w:p>
    <w:p>
      <w:pPr>
        <w:spacing w:after="0" w:line="218" w:lineRule="exact"/>
        <w:rPr>
          <w:sz w:val="20"/>
          <w:szCs w:val="20"/>
          <w:color w:val="auto"/>
        </w:rPr>
      </w:pPr>
    </w:p>
    <w:p>
      <w:pPr>
        <w:ind w:right="80"/>
        <w:spacing w:after="0" w:line="235" w:lineRule="auto"/>
        <w:rPr>
          <w:sz w:val="20"/>
          <w:szCs w:val="20"/>
          <w:color w:val="auto"/>
        </w:rPr>
      </w:pPr>
      <w:r>
        <w:rPr>
          <w:rFonts w:ascii="Arial" w:cs="Arial" w:eastAsia="Arial" w:hAnsi="Arial"/>
          <w:sz w:val="22"/>
          <w:szCs w:val="22"/>
          <w:color w:val="auto"/>
        </w:rPr>
        <w:t>As of December 31, 2019, the Company had not commenced any operations. All activity for the period from June 7, 2019 (inception) through December 31, 2019 relates to the Company’s formation, the initial public offering (“Initial Public Offering”), which is described below, and, after the Initial Public Offering, identifying a target company for a Business Combination. The Company will not generate any operating revenues until after the completion of a Business Combination, at the earliest. The Company generates non-operating income in the form of interest income from the proceeds derived from the Initial Public Offering.</w:t>
      </w:r>
    </w:p>
    <w:p>
      <w:pPr>
        <w:spacing w:after="0" w:line="215" w:lineRule="exact"/>
        <w:rPr>
          <w:sz w:val="20"/>
          <w:szCs w:val="20"/>
          <w:color w:val="auto"/>
        </w:rPr>
      </w:pPr>
    </w:p>
    <w:p>
      <w:pPr>
        <w:jc w:val="both"/>
        <w:ind w:right="300"/>
        <w:spacing w:after="0" w:line="238" w:lineRule="auto"/>
        <w:rPr>
          <w:sz w:val="20"/>
          <w:szCs w:val="20"/>
          <w:color w:val="auto"/>
        </w:rPr>
      </w:pPr>
      <w:r>
        <w:rPr>
          <w:rFonts w:ascii="Arial" w:cs="Arial" w:eastAsia="Arial" w:hAnsi="Arial"/>
          <w:sz w:val="22"/>
          <w:szCs w:val="22"/>
          <w:color w:val="auto"/>
        </w:rPr>
        <w:t>The registration statement for the Company’s Initial Public Offering was declared effective on August 7, 2019. On August 12, 2019, the Company consummated the Initial Public Offering of 25,000,000 units (the “Units” and, with respect to the Class A ordinary shares included in the Units sold, the “Public Shares”) at $10.00 per unit, generating gross proceeds of $250,000,000, which is described in Note 3.</w:t>
      </w:r>
    </w:p>
    <w:p>
      <w:pPr>
        <w:spacing w:after="0" w:line="212" w:lineRule="exact"/>
        <w:rPr>
          <w:sz w:val="20"/>
          <w:szCs w:val="20"/>
          <w:color w:val="auto"/>
        </w:rPr>
      </w:pPr>
    </w:p>
    <w:p>
      <w:pPr>
        <w:ind w:right="140"/>
        <w:spacing w:after="0" w:line="257" w:lineRule="auto"/>
        <w:rPr>
          <w:sz w:val="20"/>
          <w:szCs w:val="20"/>
          <w:color w:val="auto"/>
        </w:rPr>
      </w:pPr>
      <w:r>
        <w:rPr>
          <w:rFonts w:ascii="Arial" w:cs="Arial" w:eastAsia="Arial" w:hAnsi="Arial"/>
          <w:sz w:val="21"/>
          <w:szCs w:val="21"/>
          <w:color w:val="auto"/>
        </w:rPr>
        <w:t>Simultaneously with the closing of the Initial Public Offering, the Company consummated the sale of 7,000,000 warrants (the “Private Placement Warrants”) at a price of $1.00 per Private Placement Warrant in a private placement to Silver Spike Sponsor, LLC (the “Sponsor”), generating gross proceeds of $7,000,000, which is described in Note 4.</w:t>
      </w:r>
    </w:p>
    <w:p>
      <w:pPr>
        <w:spacing w:after="0" w:line="196" w:lineRule="exact"/>
        <w:rPr>
          <w:sz w:val="20"/>
          <w:szCs w:val="20"/>
          <w:color w:val="auto"/>
        </w:rPr>
      </w:pPr>
    </w:p>
    <w:p>
      <w:pPr>
        <w:jc w:val="both"/>
        <w:ind w:right="160"/>
        <w:spacing w:after="0"/>
        <w:rPr>
          <w:sz w:val="20"/>
          <w:szCs w:val="20"/>
          <w:color w:val="auto"/>
        </w:rPr>
      </w:pPr>
      <w:r>
        <w:rPr>
          <w:rFonts w:ascii="Arial" w:cs="Arial" w:eastAsia="Arial" w:hAnsi="Arial"/>
          <w:sz w:val="22"/>
          <w:szCs w:val="22"/>
          <w:color w:val="auto"/>
        </w:rPr>
        <w:t>Transaction costs amounted to $14,413,362, consisting of $5,000,000 of underwriting fees, $8,750,000 of deferred underwriting fees and $663,362 of other offering costs. In addition, as of December 31, 2019, cash of $894,589 was held outside of the Trust and is available for working capital purposes.</w:t>
      </w:r>
    </w:p>
    <w:p>
      <w:pPr>
        <w:spacing w:after="0" w:line="213" w:lineRule="exact"/>
        <w:rPr>
          <w:sz w:val="20"/>
          <w:szCs w:val="20"/>
          <w:color w:val="auto"/>
        </w:rPr>
      </w:pPr>
    </w:p>
    <w:p>
      <w:pPr>
        <w:spacing w:after="0" w:line="246" w:lineRule="auto"/>
        <w:rPr>
          <w:sz w:val="20"/>
          <w:szCs w:val="20"/>
          <w:color w:val="auto"/>
        </w:rPr>
      </w:pPr>
      <w:r>
        <w:rPr>
          <w:rFonts w:ascii="Arial" w:cs="Arial" w:eastAsia="Arial" w:hAnsi="Arial"/>
          <w:sz w:val="21"/>
          <w:szCs w:val="21"/>
          <w:color w:val="auto"/>
        </w:rPr>
        <w:t>Following the closing of the Initial Public Offering on August 12, 2019, an amount of $250,000,000 ($10.00 per Unit) from the net proceeds of the sale of the Units in the Initial Public Offering and the sale of the Private Placement Warrants was placed in a trust account (the “Trust Account”) and invested in U.S. government securities, within the meaning set forth in Section 2(a)(16) of the Investment Company Act of 1940, with a maturity of 180 days or less or in any open-ended investment company that holds itself out as a money market fund meeting the conditions of Rule 2a-7 of the Investment Company Act, as determined by the Company, until the earlier of: (i) the consummation of the Business Combination and (ii) the distribution of the funds in the Trust Account to the Company’s shareholders, as described below.</w:t>
      </w:r>
    </w:p>
    <w:p>
      <w:pPr>
        <w:spacing w:after="0" w:line="211" w:lineRule="exact"/>
        <w:rPr>
          <w:sz w:val="20"/>
          <w:szCs w:val="20"/>
          <w:color w:val="auto"/>
        </w:rPr>
      </w:pPr>
    </w:p>
    <w:p>
      <w:pPr>
        <w:ind w:right="60"/>
        <w:spacing w:after="0" w:line="273" w:lineRule="auto"/>
        <w:rPr>
          <w:sz w:val="20"/>
          <w:szCs w:val="20"/>
          <w:color w:val="auto"/>
        </w:rPr>
      </w:pPr>
      <w:r>
        <w:rPr>
          <w:rFonts w:ascii="Arial" w:cs="Arial" w:eastAsia="Arial" w:hAnsi="Arial"/>
          <w:sz w:val="19"/>
          <w:szCs w:val="19"/>
          <w:color w:val="auto"/>
        </w:rPr>
        <w:t>The Company’s management has broad discretion with respect to the specific application of the net proceeds of the Initial Public Offering and sale of the Private Placement Warrants, although substantially all of the net proceeds are intended to be applied generally toward consummating a Business Combination. Nasdaq rules provide that the Business Combination must be with one or more target businesses that together have an aggregate fair market value of at least 80% of the assets held in the Trust Account (excluding any deferred underwriting commissions and taxes payable on the income earned on the Trust Account) at the time of the agreement to enter into a Business Combination. The Company will only complete a Business Combination if the post-Business Combination company owns or acquires 50% or more of the issued and outstanding voting securities of the target or otherwise acquires a controlling interest in the target business sufficient for it not to be required to register as an investment company under the Investment Company Act of 1940, as amended (the “Investment Company Act”). There is no assurance that the Company will be able to successfully effect a Business Combination.</w:t>
      </w:r>
    </w:p>
    <w:p>
      <w:pPr>
        <w:sectPr>
          <w:pgSz w:w="11900" w:h="16838" w:orient="portrait"/>
          <w:cols w:equalWidth="0" w:num="1">
            <w:col w:w="11240"/>
          </w:cols>
          <w:pgMar w:left="320" w:top="121" w:right="339" w:bottom="1440" w:gutter="0" w:footer="0" w:header="0"/>
        </w:sect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5" w:name="page96"/>
    <w:bookmarkEnd w:id="95"/>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SILVER SPIKE ACQUISITION CORP.</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NOTES TO FINANCIAL STATEMENTS</w:t>
      </w:r>
    </w:p>
    <w:p>
      <w:pPr>
        <w:jc w:val="center"/>
        <w:ind w:right="-19"/>
        <w:spacing w:after="0"/>
        <w:rPr>
          <w:sz w:val="20"/>
          <w:szCs w:val="20"/>
          <w:color w:val="auto"/>
        </w:rPr>
      </w:pPr>
      <w:r>
        <w:rPr>
          <w:rFonts w:ascii="Arial" w:cs="Arial" w:eastAsia="Arial" w:hAnsi="Arial"/>
          <w:sz w:val="22"/>
          <w:szCs w:val="22"/>
          <w:b w:val="1"/>
          <w:bCs w:val="1"/>
          <w:color w:val="auto"/>
        </w:rPr>
        <w:t>DECEMBER 31, 2019</w:t>
      </w:r>
    </w:p>
    <w:p>
      <w:pPr>
        <w:spacing w:after="0" w:line="215" w:lineRule="exact"/>
        <w:rPr>
          <w:sz w:val="20"/>
          <w:szCs w:val="20"/>
          <w:color w:val="auto"/>
        </w:rPr>
      </w:pPr>
    </w:p>
    <w:p>
      <w:pPr>
        <w:spacing w:after="0" w:line="245" w:lineRule="auto"/>
        <w:rPr>
          <w:sz w:val="20"/>
          <w:szCs w:val="20"/>
          <w:color w:val="auto"/>
        </w:rPr>
      </w:pPr>
      <w:r>
        <w:rPr>
          <w:rFonts w:ascii="Arial" w:cs="Arial" w:eastAsia="Arial" w:hAnsi="Arial"/>
          <w:sz w:val="21"/>
          <w:szCs w:val="21"/>
          <w:color w:val="auto"/>
        </w:rPr>
        <w:t>The Company will provide its shareholders with the opportunity to redeem all or a portion of their Public Shares upon the completion of a Business Combination either (i) in connection with a shareholder meeting called to approve the Business Combination or (ii) by means of a tender offer. The decision as to whether the Company will seek shareholder approval of a Business Combination or conduct a tender offer will be made by the Company, solely in its discretion. The public shareholders will be entitled to redeem their shares for a pro rata portion of the amount held in the Trust Account (initially $10.00 per share) as of two business days prior to the completion of a Business Combination, including any pro rata interest earned on the funds held in the Trust Account and not previously released to the Company to pay its tax obligations. The per-share amount to be distributed to shareholders who redeem their shares will not be reduced by the deferred underwriting commissions the Company will pay to the underwriters (as discussed in Note 7). There will be no redemption rights upon the completion of a Business Combination with respect to the Company’s warrants.</w:t>
      </w:r>
    </w:p>
    <w:p>
      <w:pPr>
        <w:spacing w:after="0" w:line="208" w:lineRule="exact"/>
        <w:rPr>
          <w:sz w:val="20"/>
          <w:szCs w:val="20"/>
          <w:color w:val="auto"/>
        </w:rPr>
      </w:pPr>
    </w:p>
    <w:p>
      <w:pPr>
        <w:spacing w:after="0" w:line="271" w:lineRule="auto"/>
        <w:rPr>
          <w:sz w:val="20"/>
          <w:szCs w:val="20"/>
          <w:color w:val="auto"/>
        </w:rPr>
      </w:pPr>
      <w:r>
        <w:rPr>
          <w:rFonts w:ascii="Arial" w:cs="Arial" w:eastAsia="Arial" w:hAnsi="Arial"/>
          <w:sz w:val="19"/>
          <w:szCs w:val="19"/>
          <w:color w:val="auto"/>
        </w:rPr>
        <w:t>The Company will proceed with a Business Combination only if the Company has net tangible assets, after payment of the deferred underwriting commission, of at least $5,000,001 upon such completion of a Business Combination and, if the Company seeks shareholder approval, it receives an ordinary resolution under Cayman Islands law approving a Business Combination, which requires the affirmative vote of a majority of the shareholders who attend and vote at a general meeting of the Company. If a shareholder vote is not required and the Company does not decide to hold a shareholder vote for business or other legal reasons, the Company will, pursuant to its Amended and Restated Memorandum and Articles of Association, conduct the redemptions pursuant to the tender offer rules of the Securities and Exchange Commission (“SEC”), and file tender offer documents containing substantially the same information as would be included in a proxy statement with the SEC prior to completing a Business Combination. If the Company seeks shareholder approval in connection with a Business Combination, the Company’s Sponsor has agreed to vote its Founder Shares (as defined in Note 5) and any Public Shares purchased during or after the Initial Public Offering in favor of approving a Business Combination and to waive its redemption rights with respect to any such shares in connection with a shareholder vote to approve a Business Combination or seek to sell any shares to the Company in a tender offer in connection with a Business Combination. Additionally, subject to the immediately succeeding paragraph, each public shareholder may elect to redeem their Public Shares, without voting, and if they do vote, irrespective of whether they vote for or against a proposed Business Combination.</w:t>
      </w:r>
    </w:p>
    <w:p>
      <w:pPr>
        <w:spacing w:after="0" w:line="187" w:lineRule="exact"/>
        <w:rPr>
          <w:sz w:val="20"/>
          <w:szCs w:val="20"/>
          <w:color w:val="auto"/>
        </w:rPr>
      </w:pPr>
    </w:p>
    <w:p>
      <w:pPr>
        <w:ind w:right="100"/>
        <w:spacing w:after="0" w:line="235" w:lineRule="auto"/>
        <w:rPr>
          <w:sz w:val="20"/>
          <w:szCs w:val="20"/>
          <w:color w:val="auto"/>
        </w:rPr>
      </w:pPr>
      <w:r>
        <w:rPr>
          <w:rFonts w:ascii="Arial" w:cs="Arial" w:eastAsia="Arial" w:hAnsi="Arial"/>
          <w:sz w:val="22"/>
          <w:szCs w:val="22"/>
          <w:color w:val="auto"/>
        </w:rPr>
        <w:t>If the Company seeks shareholder approval of a Business Combination and it does not conduct redemptions pursuant to the tender offer rules, the Company’s Amended and Restated Memorandum and Articles of Association provides that a public shareholder, together with any affiliate of such shareholder or any other person with whom such shareholder is acting in concert or as a “group” (as defined under Section 13 of the Securities Exchange Act of 1934, as amended (the “Exchange Act”)), will be restricted from redeeming its shares with respect to 15% or more of the Public Shares without the Company’s prior written consent.</w:t>
      </w:r>
    </w:p>
    <w:p>
      <w:pPr>
        <w:spacing w:after="0" w:line="215" w:lineRule="exact"/>
        <w:rPr>
          <w:sz w:val="20"/>
          <w:szCs w:val="20"/>
          <w:color w:val="auto"/>
        </w:rPr>
      </w:pPr>
    </w:p>
    <w:p>
      <w:pPr>
        <w:ind w:right="60"/>
        <w:spacing w:after="0" w:line="273" w:lineRule="auto"/>
        <w:rPr>
          <w:sz w:val="20"/>
          <w:szCs w:val="20"/>
          <w:color w:val="auto"/>
        </w:rPr>
      </w:pPr>
      <w:r>
        <w:rPr>
          <w:rFonts w:ascii="Arial" w:cs="Arial" w:eastAsia="Arial" w:hAnsi="Arial"/>
          <w:sz w:val="19"/>
          <w:szCs w:val="19"/>
          <w:color w:val="auto"/>
        </w:rPr>
        <w:t>The Sponsor has agreed (a) to waive its redemption rights with respect to any Founder Shares and Public Shares held by it in connection with the completion of a Business Combination (and not seek to sell its shares to the Company in any tender offer the Company undertakes in connection with its initial Business Combination) and (b) not to propose an amendment to the Amended and Restated Certificate of Incorporation (i) to modify the substance or timing of the Company’s obligation to redeem 100% of the Public Shares if the Company does not complete a Business Combination within 18 months from the closing of the Public Offering or (ii) with respect to any other provision relating to shareholders’ rights or pre-initial business combination activity, unless the Company provides the public stockholders with the opportunity to redeem their Public Shares in conjunction with any such amendment and (c) that the Founder Shares shall not participate in any liquidating distributions upon winding up if a Business Combination is not consummated. However, the Sponsor will be entitled to liquidating distributions from the Trust Account with respect to any Public Shares purchased during or after the Initial Public Offering if the Company fails to complete its Business Combination.</w:t>
      </w:r>
    </w:p>
    <w:p>
      <w:pPr>
        <w:spacing w:after="0" w:line="200" w:lineRule="exact"/>
        <w:rPr>
          <w:sz w:val="20"/>
          <w:szCs w:val="20"/>
          <w:color w:val="auto"/>
        </w:rPr>
      </w:pPr>
    </w:p>
    <w:p>
      <w:pPr>
        <w:spacing w:after="0" w:line="231" w:lineRule="exact"/>
        <w:rPr>
          <w:sz w:val="20"/>
          <w:szCs w:val="20"/>
          <w:color w:val="auto"/>
        </w:rPr>
      </w:pPr>
    </w:p>
    <w:p>
      <w:pPr>
        <w:ind w:right="120"/>
        <w:spacing w:after="0" w:line="271" w:lineRule="auto"/>
        <w:rPr>
          <w:sz w:val="20"/>
          <w:szCs w:val="20"/>
          <w:color w:val="auto"/>
        </w:rPr>
      </w:pPr>
      <w:r>
        <w:rPr>
          <w:rFonts w:ascii="Arial" w:cs="Arial" w:eastAsia="Arial" w:hAnsi="Arial"/>
          <w:sz w:val="19"/>
          <w:szCs w:val="19"/>
          <w:color w:val="auto"/>
        </w:rPr>
        <w:t>The Company will have until February 12, 2021 (the “Combination Period”) to consummate a Business Combination. If the Company is unable to complete a Business Combination within the Combination Period, the Company will (i) cease all operations except for the purpose of winding up, (ii) as promptly as reasonably possible but no more than 10 business days thereafter, redeem 100% of the outstanding Public Shares, at a per-share price, payable in cash, equal to the aggregate amount then on deposit in the Trust Account, including interest earned (less up to $100,000 of interest to pay dissolution expenses and which interest shall be net of taxes payable), divided by the number of then outstanding Public Shares, which redemption will completely extinguish public shareholders’ rights as shareholders (including the right to receive further liquidation distributions, if any), and (iii) as promptly as reasonably possible following such redemption, subject to the approval of the remaining shareholders and the Company’s board of directors, dissolve and liquidate, subject in each case to its obligations under Cayman Islands law to provide for claims of creditors and the requirements of other applicable law. The underwriters have agreed to waive their rights to the deferred underwriting commission held in the Trust Account in the event the Company does not complete a Business Combination within the Combination Period and, in such event, such amounts will be included with the funds held in the Trust Account that will be available to fund the redemption of the Public Shares. In the event of such distribution, it is possible that the per share value of the assets remaining available for distribution will be less than the Initial Public Offering price per Unit ($10.00).</w:t>
      </w:r>
    </w:p>
    <w:p>
      <w:pPr>
        <w:sectPr>
          <w:pgSz w:w="11900" w:h="16838" w:orient="portrait"/>
          <w:cols w:equalWidth="0" w:num="1">
            <w:col w:w="11220"/>
          </w:cols>
          <w:pgMar w:left="320" w:top="121" w:right="359" w:bottom="227" w:gutter="0" w:footer="0" w:header="0"/>
        </w:sectPr>
      </w:pPr>
    </w:p>
    <w:bookmarkStart w:id="96" w:name="page97"/>
    <w:bookmarkEnd w:id="96"/>
    <w:p>
      <w:pPr>
        <w:jc w:val="center"/>
        <w:ind w:right="19"/>
        <w:spacing w:after="0"/>
        <w:rPr>
          <w:sz w:val="20"/>
          <w:szCs w:val="20"/>
          <w:color w:val="auto"/>
        </w:rPr>
      </w:pPr>
      <w:r>
        <w:rPr>
          <w:rFonts w:ascii="Arial" w:cs="Arial" w:eastAsia="Arial" w:hAnsi="Arial"/>
          <w:sz w:val="13"/>
          <w:szCs w:val="13"/>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45085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97" w:name="page98"/>
    <w:bookmarkEnd w:id="97"/>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SILVER SPIKE ACQUISITION CORP.</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FINANCIAL STATEMENTS</w:t>
      </w:r>
    </w:p>
    <w:p>
      <w:pPr>
        <w:jc w:val="center"/>
        <w:spacing w:after="0"/>
        <w:rPr>
          <w:sz w:val="20"/>
          <w:szCs w:val="20"/>
          <w:color w:val="auto"/>
        </w:rPr>
      </w:pPr>
      <w:r>
        <w:rPr>
          <w:rFonts w:ascii="Arial" w:cs="Arial" w:eastAsia="Arial" w:hAnsi="Arial"/>
          <w:sz w:val="22"/>
          <w:szCs w:val="22"/>
          <w:b w:val="1"/>
          <w:bCs w:val="1"/>
          <w:color w:val="auto"/>
        </w:rPr>
        <w:t>DECEMBER 31, 2019</w:t>
      </w:r>
    </w:p>
    <w:p>
      <w:pPr>
        <w:spacing w:after="0" w:line="215" w:lineRule="exact"/>
        <w:rPr>
          <w:sz w:val="20"/>
          <w:szCs w:val="20"/>
          <w:color w:val="auto"/>
        </w:rPr>
      </w:pPr>
    </w:p>
    <w:p>
      <w:pPr>
        <w:ind w:right="60"/>
        <w:spacing w:after="0" w:line="272" w:lineRule="auto"/>
        <w:rPr>
          <w:sz w:val="20"/>
          <w:szCs w:val="20"/>
          <w:color w:val="auto"/>
        </w:rPr>
      </w:pPr>
      <w:r>
        <w:rPr>
          <w:rFonts w:ascii="Arial" w:cs="Arial" w:eastAsia="Arial" w:hAnsi="Arial"/>
          <w:sz w:val="19"/>
          <w:szCs w:val="19"/>
          <w:color w:val="auto"/>
        </w:rPr>
        <w:t>The Sponsor has agreed that it will be liable to the Company, if and to the extent any claims by a third party (other than the Company’s independent auditors) for services rendered or products sold to the Company, or a prospective target business with which the Company has discussed entering into a transaction agreement, reduce the amount of funds in the Trust Account to below (1) $10.00 per Public Share or (2) such lesser amount per Public Share held in the Trust Account as of the date of the liquidation of the Trust Account due to reductions in the value of trust assets, in each case net of the interest which may be withdrawn to pay taxes, except as to any claims by a third party who executed a waiver of any and all rights to seek access to the Trust Account and except as to any claims under the Company’s indemnity of the underwriters of the Initial Public Offering against certain liabilities, including liabilities under the Securities Act of 1933, as amended (the “Securities Act”). In the event that an executed waiver is deemed to be unenforceable against a third party, the Sponsor will not be responsible to the extent of any liability for such third-party claims. The Company will seek to reduce the possibility that the Sponsor will have to indemnify the Trust Account due to claims of creditors by endeavoring to have all vendors, service providers (other than the Company’s independent auditors), prospective target businesses or other entities with which the Company does business, execute agreements with the Company waiving any right, title, interest or claim of any kind in or to monies held in the Trust Account.</w:t>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2. SUMMARY OF SIGNIFICANT ACCOUNTING POLICIES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Basis of presentation</w:t>
      </w:r>
    </w:p>
    <w:p>
      <w:pPr>
        <w:spacing w:after="0" w:line="239" w:lineRule="exact"/>
        <w:rPr>
          <w:sz w:val="20"/>
          <w:szCs w:val="20"/>
          <w:color w:val="auto"/>
        </w:rPr>
      </w:pPr>
    </w:p>
    <w:p>
      <w:pPr>
        <w:ind w:right="280"/>
        <w:spacing w:after="0" w:line="250" w:lineRule="auto"/>
        <w:rPr>
          <w:sz w:val="20"/>
          <w:szCs w:val="20"/>
          <w:color w:val="auto"/>
        </w:rPr>
      </w:pPr>
      <w:r>
        <w:rPr>
          <w:rFonts w:ascii="Arial" w:cs="Arial" w:eastAsia="Arial" w:hAnsi="Arial"/>
          <w:sz w:val="22"/>
          <w:szCs w:val="22"/>
          <w:color w:val="auto"/>
        </w:rPr>
        <w:t>The accompanying financial statements have been prepared in accordance with accounting principles generally accepted in the United States of America (“GAAP”) and pursuant to the rules and regulations of the SEC.</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Emerging growth company</w:t>
      </w:r>
    </w:p>
    <w:p>
      <w:pPr>
        <w:spacing w:after="0" w:line="239" w:lineRule="exact"/>
        <w:rPr>
          <w:sz w:val="20"/>
          <w:szCs w:val="20"/>
          <w:color w:val="auto"/>
        </w:rPr>
      </w:pPr>
    </w:p>
    <w:p>
      <w:pPr>
        <w:ind w:right="120"/>
        <w:spacing w:after="0" w:line="246" w:lineRule="auto"/>
        <w:rPr>
          <w:sz w:val="20"/>
          <w:szCs w:val="20"/>
          <w:color w:val="auto"/>
        </w:rPr>
      </w:pPr>
      <w:r>
        <w:rPr>
          <w:rFonts w:ascii="Arial" w:cs="Arial" w:eastAsia="Arial" w:hAnsi="Arial"/>
          <w:sz w:val="21"/>
          <w:szCs w:val="21"/>
          <w:color w:val="auto"/>
        </w:rPr>
        <w:t>The Company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shareholder approval of any golden parachute payments not previously approved.</w:t>
      </w:r>
    </w:p>
    <w:p>
      <w:pPr>
        <w:spacing w:after="0" w:line="211" w:lineRule="exact"/>
        <w:rPr>
          <w:sz w:val="20"/>
          <w:szCs w:val="20"/>
          <w:color w:val="auto"/>
        </w:rPr>
      </w:pPr>
    </w:p>
    <w:p>
      <w:pPr>
        <w:spacing w:after="0" w:line="273" w:lineRule="auto"/>
        <w:rPr>
          <w:sz w:val="20"/>
          <w:szCs w:val="20"/>
          <w:color w:val="auto"/>
        </w:rPr>
      </w:pPr>
      <w:r>
        <w:rPr>
          <w:rFonts w:ascii="Arial" w:cs="Arial" w:eastAsia="Arial" w:hAnsi="Arial"/>
          <w:sz w:val="19"/>
          <w:szCs w:val="19"/>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8" w:name="page99"/>
    <w:bookmarkEnd w:id="98"/>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SILVER SPIKE ACQUISITION CORP.</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FINANCIAL STATEMENTS</w:t>
      </w:r>
    </w:p>
    <w:p>
      <w:pPr>
        <w:jc w:val="center"/>
        <w:spacing w:after="0"/>
        <w:rPr>
          <w:sz w:val="20"/>
          <w:szCs w:val="20"/>
          <w:color w:val="auto"/>
        </w:rPr>
      </w:pPr>
      <w:r>
        <w:rPr>
          <w:rFonts w:ascii="Arial" w:cs="Arial" w:eastAsia="Arial" w:hAnsi="Arial"/>
          <w:sz w:val="22"/>
          <w:szCs w:val="22"/>
          <w:b w:val="1"/>
          <w:bCs w:val="1"/>
          <w:color w:val="auto"/>
        </w:rPr>
        <w:t>DECEMBER 31, 2019</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Use of estimates</w:t>
      </w:r>
    </w:p>
    <w:p>
      <w:pPr>
        <w:spacing w:after="0" w:line="239" w:lineRule="exact"/>
        <w:rPr>
          <w:sz w:val="20"/>
          <w:szCs w:val="20"/>
          <w:color w:val="auto"/>
        </w:rPr>
      </w:pPr>
    </w:p>
    <w:p>
      <w:pPr>
        <w:ind w:right="220"/>
        <w:spacing w:after="0" w:line="257" w:lineRule="auto"/>
        <w:rPr>
          <w:sz w:val="20"/>
          <w:szCs w:val="20"/>
          <w:color w:val="auto"/>
        </w:rPr>
      </w:pPr>
      <w:r>
        <w:rPr>
          <w:rFonts w:ascii="Arial" w:cs="Arial" w:eastAsia="Arial" w:hAnsi="Arial"/>
          <w:sz w:val="21"/>
          <w:szCs w:val="21"/>
          <w:color w:val="auto"/>
        </w:rPr>
        <w:t>The preparation of the financial statements in conformity with GAAP requires management to make estimates and assumptions that affect the reported amounts of assets and liabilities and disclosure of contingent assets and liabilities at the date of the financial statements and the reported amounts of expenses during the reporting period.</w:t>
      </w:r>
    </w:p>
    <w:p>
      <w:pPr>
        <w:spacing w:after="0" w:line="196" w:lineRule="exact"/>
        <w:rPr>
          <w:sz w:val="20"/>
          <w:szCs w:val="20"/>
          <w:color w:val="auto"/>
        </w:rPr>
      </w:pPr>
    </w:p>
    <w:p>
      <w:pPr>
        <w:ind w:right="100"/>
        <w:spacing w:after="0" w:line="238" w:lineRule="auto"/>
        <w:rPr>
          <w:sz w:val="20"/>
          <w:szCs w:val="20"/>
          <w:color w:val="auto"/>
        </w:rPr>
      </w:pPr>
      <w:r>
        <w:rPr>
          <w:rFonts w:ascii="Arial" w:cs="Arial" w:eastAsia="Arial" w:hAnsi="Arial"/>
          <w:sz w:val="22"/>
          <w:szCs w:val="22"/>
          <w:color w:val="auto"/>
        </w:rPr>
        <w:t>Making estimates requires management to exercise significant judgment. It is at least reasonably possible that the estimate of the effect of a condition, situation or set of circumstances that existed at the date of the financial statements, which management considered in formulating its estimate, could change in the near term due to one or more future events. Accordingly, the actual results could differ significantly from those estimates.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Cash and cash equivalents</w:t>
      </w:r>
    </w:p>
    <w:p>
      <w:pPr>
        <w:spacing w:after="0" w:line="239" w:lineRule="exact"/>
        <w:rPr>
          <w:sz w:val="20"/>
          <w:szCs w:val="20"/>
          <w:color w:val="auto"/>
        </w:rPr>
      </w:pPr>
    </w:p>
    <w:p>
      <w:pPr>
        <w:ind w:right="220"/>
        <w:spacing w:after="0" w:line="250" w:lineRule="auto"/>
        <w:rPr>
          <w:sz w:val="20"/>
          <w:szCs w:val="20"/>
          <w:color w:val="auto"/>
        </w:rPr>
      </w:pPr>
      <w:r>
        <w:rPr>
          <w:rFonts w:ascii="Arial" w:cs="Arial" w:eastAsia="Arial" w:hAnsi="Arial"/>
          <w:sz w:val="22"/>
          <w:szCs w:val="22"/>
          <w:color w:val="auto"/>
        </w:rPr>
        <w:t>The Company considers all short-term investments with an original maturity of three months or less when purchased to be cash equivalents. The Company did not have any cash equivalents as of December 31, 2019.</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Marketable securities held in Trust Account</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At December 31, 2019, the assets held in the Trust Account were substantially held in U.S. Treasury Bills.</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Class A ordinary shares subject to possible redemption</w:t>
      </w:r>
    </w:p>
    <w:p>
      <w:pPr>
        <w:spacing w:after="0" w:line="239" w:lineRule="exact"/>
        <w:rPr>
          <w:sz w:val="20"/>
          <w:szCs w:val="20"/>
          <w:color w:val="auto"/>
        </w:rPr>
      </w:pPr>
    </w:p>
    <w:p>
      <w:pPr>
        <w:ind w:right="40"/>
        <w:spacing w:after="0" w:line="274" w:lineRule="auto"/>
        <w:rPr>
          <w:sz w:val="20"/>
          <w:szCs w:val="20"/>
          <w:color w:val="auto"/>
        </w:rPr>
      </w:pPr>
      <w:r>
        <w:rPr>
          <w:rFonts w:ascii="Arial" w:cs="Arial" w:eastAsia="Arial" w:hAnsi="Arial"/>
          <w:sz w:val="19"/>
          <w:szCs w:val="19"/>
          <w:color w:val="auto"/>
        </w:rPr>
        <w:t>The Company accounts for its Class A ordinary shares subject to possible redemption in accordance with the guidance in Accounting Standards Codification (“ASC”) Topic 480 “Distinguishing Liabilities from Equity.” Class A ordinary shares subject to mandatory redemption are classified as a liability instrument and are measured at fair value. Conditionally redeemable ordinary shares (including ordinary shares that feature redemption rights that are either within the control of the holder or subject to redemption upon the occurrence of uncertain events not solely within the Company’s control) are classified as temporary equity. At all other times, ordinary shares are classified as shareholders’ equity. The Company’s Class A ordinary shares feature certain redemption rights that are considered to be outside of the Company’s control and subject to occurrence of uncertain future events. Accordingly, Class A ordinary shares subject to possible redemption are presented at redemption value as temporary equity, outside of the shareholders’ equity section of the Company’s balance sheet.</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Net loss per ordinary share</w:t>
      </w:r>
    </w:p>
    <w:p>
      <w:pPr>
        <w:spacing w:after="0" w:line="239" w:lineRule="exact"/>
        <w:rPr>
          <w:sz w:val="20"/>
          <w:szCs w:val="20"/>
          <w:color w:val="auto"/>
        </w:rPr>
      </w:pPr>
    </w:p>
    <w:p>
      <w:pPr>
        <w:ind w:right="60"/>
        <w:spacing w:after="0" w:line="275" w:lineRule="auto"/>
        <w:rPr>
          <w:sz w:val="20"/>
          <w:szCs w:val="20"/>
          <w:color w:val="auto"/>
        </w:rPr>
      </w:pPr>
      <w:r>
        <w:rPr>
          <w:rFonts w:ascii="Arial" w:cs="Arial" w:eastAsia="Arial" w:hAnsi="Arial"/>
          <w:sz w:val="19"/>
          <w:szCs w:val="19"/>
          <w:color w:val="auto"/>
        </w:rPr>
        <w:t>Net loss per ordinary share is computed by dividing net loss by the weighted average number of ordinary shares outstanding for the period. The Company applies the two-class method in calculating earnings per share. Ordinary shares subject to possible redemption at December 31, 2019, which are not currently redeemable and are not redeemable at fair value, have been excluded from the calculation of basic net loss per ordinary share since such shares, if redeemed, only participate in their pro rata share of the Trust Account earnings. The Company has not considered the effect of warrants sold in the Initial Public Offering and the private placement to purchase 19,500,000 ordinary shares in the calculation of diluted loss per share, since the exercise of the warrants into ordinary shares is contingent upon the occurrence of future events. As a result, diluted net loss per ordinary share is the same as basic net loss per ordinary share for the periods presented.</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Reconciliation of net loss per ordinary share</w:t>
      </w:r>
    </w:p>
    <w:p>
      <w:pPr>
        <w:spacing w:after="0" w:line="239" w:lineRule="exact"/>
        <w:rPr>
          <w:sz w:val="20"/>
          <w:szCs w:val="20"/>
          <w:color w:val="auto"/>
        </w:rPr>
      </w:pPr>
    </w:p>
    <w:p>
      <w:pPr>
        <w:ind w:right="300"/>
        <w:spacing w:after="0"/>
        <w:rPr>
          <w:sz w:val="20"/>
          <w:szCs w:val="20"/>
          <w:color w:val="auto"/>
        </w:rPr>
      </w:pPr>
      <w:r>
        <w:rPr>
          <w:rFonts w:ascii="Arial" w:cs="Arial" w:eastAsia="Arial" w:hAnsi="Arial"/>
          <w:sz w:val="22"/>
          <w:szCs w:val="22"/>
          <w:color w:val="auto"/>
        </w:rPr>
        <w:t>The Company’s net income is adjusted for the portion of income that is attributable to ordinary shares subject to possible redemption, as these shares only participate in the earnings of the Trust Account and not the income or losses of the Company. Accordingly, basic and diluted loss per ordinary share is calculated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600" w:type="dxa"/>
            <w:vAlign w:val="bottom"/>
          </w:tcPr>
          <w:p>
            <w:pPr>
              <w:spacing w:after="0"/>
              <w:rPr>
                <w:sz w:val="18"/>
                <w:szCs w:val="18"/>
                <w:color w:val="auto"/>
              </w:rPr>
            </w:pPr>
          </w:p>
        </w:tc>
        <w:tc>
          <w:tcPr>
            <w:tcW w:w="1640" w:type="dxa"/>
            <w:vAlign w:val="bottom"/>
            <w:gridSpan w:val="4"/>
          </w:tcPr>
          <w:p>
            <w:pPr>
              <w:spacing w:after="0"/>
              <w:rPr>
                <w:sz w:val="20"/>
                <w:szCs w:val="20"/>
                <w:color w:val="auto"/>
              </w:rPr>
            </w:pPr>
            <w:r>
              <w:rPr>
                <w:rFonts w:ascii="Arial" w:cs="Arial" w:eastAsia="Arial" w:hAnsi="Arial"/>
                <w:sz w:val="18"/>
                <w:szCs w:val="18"/>
                <w:b w:val="1"/>
                <w:bCs w:val="1"/>
                <w:color w:val="auto"/>
                <w:w w:val="96"/>
              </w:rPr>
              <w:t>For the Period from</w:t>
            </w:r>
          </w:p>
        </w:tc>
      </w:tr>
      <w:tr>
        <w:trPr>
          <w:trHeight w:val="216"/>
        </w:trPr>
        <w:tc>
          <w:tcPr>
            <w:tcW w:w="9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89"/>
              </w:rPr>
              <w:t>June 7, 2019</w:t>
            </w:r>
          </w:p>
        </w:tc>
      </w:tr>
      <w:tr>
        <w:trPr>
          <w:trHeight w:val="216"/>
        </w:trPr>
        <w:tc>
          <w:tcPr>
            <w:tcW w:w="9600" w:type="dxa"/>
            <w:vAlign w:val="bottom"/>
          </w:tcPr>
          <w:p>
            <w:pPr>
              <w:spacing w:after="0"/>
              <w:rPr>
                <w:sz w:val="18"/>
                <w:szCs w:val="18"/>
                <w:color w:val="auto"/>
              </w:rPr>
            </w:pPr>
          </w:p>
        </w:tc>
        <w:tc>
          <w:tcPr>
            <w:tcW w:w="1640" w:type="dxa"/>
            <w:vAlign w:val="bottom"/>
            <w:gridSpan w:val="4"/>
          </w:tcPr>
          <w:p>
            <w:pPr>
              <w:ind w:left="20"/>
              <w:spacing w:after="0"/>
              <w:rPr>
                <w:sz w:val="20"/>
                <w:szCs w:val="20"/>
                <w:color w:val="auto"/>
              </w:rPr>
            </w:pPr>
            <w:r>
              <w:rPr>
                <w:rFonts w:ascii="Arial" w:cs="Arial" w:eastAsia="Arial" w:hAnsi="Arial"/>
                <w:sz w:val="18"/>
                <w:szCs w:val="18"/>
                <w:b w:val="1"/>
                <w:bCs w:val="1"/>
                <w:color w:val="auto"/>
                <w:w w:val="96"/>
              </w:rPr>
              <w:t>(inception) through</w:t>
            </w:r>
          </w:p>
        </w:tc>
      </w:tr>
      <w:tr>
        <w:trPr>
          <w:trHeight w:val="216"/>
        </w:trPr>
        <w:tc>
          <w:tcPr>
            <w:tcW w:w="9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88"/>
              </w:rPr>
              <w:t>December 31,</w:t>
            </w:r>
          </w:p>
        </w:tc>
      </w:tr>
      <w:tr>
        <w:trPr>
          <w:trHeight w:val="241"/>
        </w:trPr>
        <w:tc>
          <w:tcPr>
            <w:tcW w:w="96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2019</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96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1,618,159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23"/>
        </w:trPr>
        <w:tc>
          <w:tcPr>
            <w:tcW w:w="9600" w:type="dxa"/>
            <w:vAlign w:val="bottom"/>
          </w:tcPr>
          <w:p>
            <w:pPr>
              <w:spacing w:after="0"/>
              <w:rPr>
                <w:sz w:val="20"/>
                <w:szCs w:val="20"/>
                <w:color w:val="auto"/>
              </w:rPr>
            </w:pPr>
            <w:r>
              <w:rPr>
                <w:rFonts w:ascii="Arial" w:cs="Arial" w:eastAsia="Arial" w:hAnsi="Arial"/>
                <w:sz w:val="18"/>
                <w:szCs w:val="18"/>
                <w:color w:val="auto"/>
              </w:rPr>
              <w:t>Less: Income attributable to ordinary shares subject to possible redemption</w:t>
            </w:r>
          </w:p>
        </w:tc>
        <w:tc>
          <w:tcPr>
            <w:tcW w:w="160" w:type="dxa"/>
            <w:vAlign w:val="bottom"/>
          </w:tcPr>
          <w:p>
            <w:pPr>
              <w:spacing w:after="0"/>
              <w:rPr>
                <w:sz w:val="19"/>
                <w:szCs w:val="19"/>
                <w:color w:val="auto"/>
              </w:rPr>
            </w:pPr>
          </w:p>
        </w:tc>
        <w:tc>
          <w:tcPr>
            <w:tcW w:w="1480" w:type="dxa"/>
            <w:vAlign w:val="bottom"/>
            <w:gridSpan w:val="3"/>
          </w:tcPr>
          <w:p>
            <w:pPr>
              <w:jc w:val="right"/>
              <w:ind w:right="40"/>
              <w:spacing w:after="0"/>
              <w:rPr>
                <w:sz w:val="20"/>
                <w:szCs w:val="20"/>
                <w:color w:val="auto"/>
              </w:rPr>
            </w:pPr>
            <w:r>
              <w:rPr>
                <w:rFonts w:ascii="Arial" w:cs="Arial" w:eastAsia="Arial" w:hAnsi="Arial"/>
                <w:sz w:val="18"/>
                <w:szCs w:val="18"/>
                <w:color w:val="auto"/>
              </w:rPr>
              <w:t>(1,827,973)</w:t>
            </w:r>
          </w:p>
        </w:tc>
      </w:tr>
      <w:tr>
        <w:trPr>
          <w:trHeight w:val="256"/>
        </w:trPr>
        <w:tc>
          <w:tcPr>
            <w:tcW w:w="9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Adjusted net loss</w:t>
            </w: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(209,814)</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r>
      <w:tr>
        <w:trPr>
          <w:trHeight w:val="209"/>
        </w:trPr>
        <w:tc>
          <w:tcPr>
            <w:tcW w:w="9600" w:type="dxa"/>
            <w:vAlign w:val="bottom"/>
          </w:tcPr>
          <w:p>
            <w:pPr>
              <w:spacing w:after="0"/>
              <w:rPr>
                <w:sz w:val="20"/>
                <w:szCs w:val="20"/>
                <w:color w:val="auto"/>
              </w:rPr>
            </w:pPr>
            <w:r>
              <w:rPr>
                <w:rFonts w:ascii="Arial" w:cs="Arial" w:eastAsia="Arial" w:hAnsi="Arial"/>
                <w:sz w:val="18"/>
                <w:szCs w:val="18"/>
                <w:color w:val="auto"/>
              </w:rPr>
              <w:t>Weighted average shares outstanding, basic and diluted</w:t>
            </w: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7,111,079</w:t>
            </w:r>
          </w:p>
        </w:tc>
        <w:tc>
          <w:tcPr>
            <w:tcW w:w="80" w:type="dxa"/>
            <w:vAlign w:val="bottom"/>
          </w:tcPr>
          <w:p>
            <w:pPr>
              <w:spacing w:after="0"/>
              <w:rPr>
                <w:sz w:val="18"/>
                <w:szCs w:val="18"/>
                <w:color w:val="auto"/>
              </w:rPr>
            </w:pPr>
          </w:p>
        </w:tc>
      </w:tr>
      <w:tr>
        <w:trPr>
          <w:trHeight w:val="21"/>
        </w:trPr>
        <w:tc>
          <w:tcPr>
            <w:tcW w:w="9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250"/>
        </w:trPr>
        <w:tc>
          <w:tcPr>
            <w:tcW w:w="9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Basic and diluted net loss per ordinary share</w:t>
            </w: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00" w:type="dxa"/>
            <w:vAlign w:val="bottom"/>
            <w:tcBorders>
              <w:bottom w:val="single" w:sz="8" w:color="CCEEFF"/>
            </w:tcBorders>
            <w:gridSpan w:val="2"/>
            <w:shd w:val="clear" w:color="auto" w:fill="CCEEFF"/>
          </w:tcPr>
          <w:p>
            <w:pPr>
              <w:spacing w:after="0"/>
              <w:rPr>
                <w:sz w:val="21"/>
                <w:szCs w:val="2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0" w:gutter="0" w:footer="0" w:header="0"/>
        </w:sect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0" w:gutter="0" w:footer="0" w:header="0"/>
          <w:type w:val="continuous"/>
        </w:sectPr>
      </w:pPr>
    </w:p>
    <w:bookmarkStart w:id="99" w:name="page100"/>
    <w:bookmarkEnd w:id="99"/>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SILVER SPIKE ACQUISITION CORP.</w:t>
      </w:r>
    </w:p>
    <w:p>
      <w:pPr>
        <w:spacing w:after="0" w:line="4"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NOTES TO FINANCIAL STATEMENTS</w:t>
      </w:r>
    </w:p>
    <w:p>
      <w:pPr>
        <w:jc w:val="center"/>
        <w:ind w:right="-39"/>
        <w:spacing w:after="0"/>
        <w:rPr>
          <w:sz w:val="20"/>
          <w:szCs w:val="20"/>
          <w:color w:val="auto"/>
        </w:rPr>
      </w:pPr>
      <w:r>
        <w:rPr>
          <w:rFonts w:ascii="Arial" w:cs="Arial" w:eastAsia="Arial" w:hAnsi="Arial"/>
          <w:sz w:val="22"/>
          <w:szCs w:val="22"/>
          <w:b w:val="1"/>
          <w:bCs w:val="1"/>
          <w:color w:val="auto"/>
        </w:rPr>
        <w:t>DECEMBER 31, 2019</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Income taxes</w:t>
      </w:r>
    </w:p>
    <w:p>
      <w:pPr>
        <w:spacing w:after="0" w:line="239" w:lineRule="exact"/>
        <w:rPr>
          <w:sz w:val="20"/>
          <w:szCs w:val="20"/>
          <w:color w:val="auto"/>
        </w:rPr>
      </w:pPr>
    </w:p>
    <w:p>
      <w:pPr>
        <w:ind w:right="280"/>
        <w:spacing w:after="0" w:line="236" w:lineRule="auto"/>
        <w:rPr>
          <w:sz w:val="20"/>
          <w:szCs w:val="20"/>
          <w:color w:val="auto"/>
        </w:rPr>
      </w:pPr>
      <w:r>
        <w:rPr>
          <w:rFonts w:ascii="Arial" w:cs="Arial" w:eastAsia="Arial" w:hAnsi="Arial"/>
          <w:sz w:val="22"/>
          <w:szCs w:val="22"/>
          <w:color w:val="auto"/>
        </w:rPr>
        <w:t>The Company accounts for income taxes under ASC 740, “Income Taxes” (“ASC 740”). ASC 740 requires the recognition of deferred tax assets and liabilities for both the expected impact of differences between the financial statement and tax basis of assets and liabilities and for the expected future tax benefit to be derived from tax loss and tax credit carry forwards. ASC 740 additionally requires a valuation allowance to be established when it is more likely than not that all or a portion of deferred tax assets will not be realized.</w:t>
      </w:r>
    </w:p>
    <w:p>
      <w:pPr>
        <w:spacing w:after="0" w:line="214" w:lineRule="exact"/>
        <w:rPr>
          <w:sz w:val="20"/>
          <w:szCs w:val="20"/>
          <w:color w:val="auto"/>
        </w:rPr>
      </w:pPr>
    </w:p>
    <w:p>
      <w:pPr>
        <w:spacing w:after="0" w:line="246" w:lineRule="auto"/>
        <w:rPr>
          <w:sz w:val="20"/>
          <w:szCs w:val="20"/>
          <w:color w:val="auto"/>
        </w:rPr>
      </w:pPr>
      <w:r>
        <w:rPr>
          <w:rFonts w:ascii="Arial" w:cs="Arial" w:eastAsia="Arial" w:hAnsi="Arial"/>
          <w:sz w:val="21"/>
          <w:szCs w:val="21"/>
          <w:color w:val="auto"/>
        </w:rPr>
        <w:t>ASC 740 also clarifies the accounting for uncertainty in income taxes recognized in an enterprise’s financial statements and prescribes a recognition threshold and measurement process for financial statement recognition and measurement of a tax position taken or expected to be taken in a tax return. For those benefits to be recognized, a tax position must be more-likely-than-not to be sustained upon examination by taxing authorities. The Company recognizes accrued interest and penalties related to unrecognized tax benefits as income tax expense. There were no unrecognized tax benefits and no amounts accrued for interest and penalties as of December 31, 2019. The Company is currently not aware of any issues under review that could result in significant payments, accruals or material deviation from its position. The Company is subject to income tax examinations by major taxing authorities since inception.</w:t>
      </w:r>
    </w:p>
    <w:p>
      <w:pPr>
        <w:spacing w:after="0" w:line="207" w:lineRule="exact"/>
        <w:rPr>
          <w:sz w:val="20"/>
          <w:szCs w:val="20"/>
          <w:color w:val="auto"/>
        </w:rPr>
      </w:pPr>
    </w:p>
    <w:p>
      <w:pPr>
        <w:jc w:val="both"/>
        <w:ind w:right="260"/>
        <w:spacing w:after="0"/>
        <w:rPr>
          <w:sz w:val="20"/>
          <w:szCs w:val="20"/>
          <w:color w:val="auto"/>
        </w:rPr>
      </w:pPr>
      <w:r>
        <w:rPr>
          <w:rFonts w:ascii="Arial" w:cs="Arial" w:eastAsia="Arial" w:hAnsi="Arial"/>
          <w:sz w:val="22"/>
          <w:szCs w:val="22"/>
          <w:color w:val="auto"/>
        </w:rPr>
        <w:t>The Company is considered an exempted Cayman Islands Company and is presently not subject to income taxes or income tax filing requirements in the Cayman Islands or the United States. As such, the Company’s tax provision was zero for the periods presented.</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Concentration of credit risk</w:t>
      </w:r>
    </w:p>
    <w:p>
      <w:pPr>
        <w:spacing w:after="0" w:line="239" w:lineRule="exact"/>
        <w:rPr>
          <w:sz w:val="20"/>
          <w:szCs w:val="20"/>
          <w:color w:val="auto"/>
        </w:rPr>
      </w:pPr>
    </w:p>
    <w:p>
      <w:pPr>
        <w:ind w:right="40"/>
        <w:spacing w:after="0" w:line="297" w:lineRule="auto"/>
        <w:rPr>
          <w:sz w:val="20"/>
          <w:szCs w:val="20"/>
          <w:color w:val="auto"/>
        </w:rPr>
      </w:pPr>
      <w:r>
        <w:rPr>
          <w:rFonts w:ascii="Arial" w:cs="Arial" w:eastAsia="Arial" w:hAnsi="Arial"/>
          <w:sz w:val="19"/>
          <w:szCs w:val="19"/>
          <w:color w:val="auto"/>
        </w:rPr>
        <w:t>Financial instruments that potentially subject the Company to concentrations of credit risk consist of a cash account in a financial institution which, at times may exceed the Federal Depository Insurance Coverage of $250,000. The Company has not experienced losses on this account and management believes the Company is not exposed to significant risks on such account.</w:t>
      </w:r>
    </w:p>
    <w:p>
      <w:pPr>
        <w:spacing w:after="0" w:line="15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Fair value of financial instruments</w:t>
      </w:r>
    </w:p>
    <w:p>
      <w:pPr>
        <w:spacing w:after="0" w:line="239" w:lineRule="exact"/>
        <w:rPr>
          <w:sz w:val="20"/>
          <w:szCs w:val="20"/>
          <w:color w:val="auto"/>
        </w:rPr>
      </w:pPr>
    </w:p>
    <w:p>
      <w:pPr>
        <w:ind w:right="180"/>
        <w:spacing w:after="0"/>
        <w:rPr>
          <w:sz w:val="20"/>
          <w:szCs w:val="20"/>
          <w:color w:val="auto"/>
        </w:rPr>
      </w:pPr>
      <w:r>
        <w:rPr>
          <w:rFonts w:ascii="Arial" w:cs="Arial" w:eastAsia="Arial" w:hAnsi="Arial"/>
          <w:sz w:val="22"/>
          <w:szCs w:val="22"/>
          <w:color w:val="auto"/>
        </w:rPr>
        <w:t>The fair value of the Company’s assets and liabilities, which qualify as financial instruments under ASC Topic 820, “Fair Value Measurements and Disclosures,” approximates the carrying amounts represented in the accompanying financial statements, primarily due to their short-term nature.</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Recently issued accounting standards</w:t>
      </w:r>
    </w:p>
    <w:p>
      <w:pPr>
        <w:spacing w:after="0" w:line="239" w:lineRule="exact"/>
        <w:rPr>
          <w:sz w:val="20"/>
          <w:szCs w:val="20"/>
          <w:color w:val="auto"/>
        </w:rPr>
      </w:pPr>
    </w:p>
    <w:p>
      <w:pPr>
        <w:ind w:right="300"/>
        <w:spacing w:after="0" w:line="250" w:lineRule="auto"/>
        <w:rPr>
          <w:sz w:val="20"/>
          <w:szCs w:val="20"/>
          <w:color w:val="auto"/>
        </w:rPr>
      </w:pPr>
      <w:r>
        <w:rPr>
          <w:rFonts w:ascii="Arial" w:cs="Arial" w:eastAsia="Arial" w:hAnsi="Arial"/>
          <w:sz w:val="22"/>
          <w:szCs w:val="22"/>
          <w:color w:val="auto"/>
        </w:rPr>
        <w:t>Management does not believe that any recently issued, but not yet effective, accounting pronouncements, if currently adopted, would have a material effect on the financial statements.</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3. INITIAL PUBLIC OFFERING</w:t>
      </w:r>
    </w:p>
    <w:p>
      <w:pPr>
        <w:spacing w:after="0" w:line="239" w:lineRule="exact"/>
        <w:rPr>
          <w:sz w:val="20"/>
          <w:szCs w:val="20"/>
          <w:color w:val="auto"/>
        </w:rPr>
      </w:pPr>
    </w:p>
    <w:p>
      <w:pPr>
        <w:ind w:right="240"/>
        <w:spacing w:after="0" w:line="297" w:lineRule="auto"/>
        <w:rPr>
          <w:sz w:val="20"/>
          <w:szCs w:val="20"/>
          <w:color w:val="auto"/>
        </w:rPr>
      </w:pPr>
      <w:r>
        <w:rPr>
          <w:rFonts w:ascii="Arial" w:cs="Arial" w:eastAsia="Arial" w:hAnsi="Arial"/>
          <w:sz w:val="19"/>
          <w:szCs w:val="19"/>
          <w:color w:val="auto"/>
        </w:rPr>
        <w:t>Pursuant to the Initial Public Offering, the Company sold 25,000,000 Units at a purchase price of $10.00 per Unit. Each Unit consists of one Class A ordinary share and one-half of one redeemable warrant (“Public Warrant”). Each whole Public Warrant entitles the holder to purchase one Class A ordinary share at an exercise price of $11.50 per whole share (see Note 7).</w:t>
      </w:r>
    </w:p>
    <w:p>
      <w:pPr>
        <w:spacing w:after="0" w:line="35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0" w:name="page101"/>
    <w:bookmarkEnd w:id="100"/>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SILVER SPIKE ACQUISITION CORP.</w:t>
      </w:r>
    </w:p>
    <w:p>
      <w:pPr>
        <w:spacing w:after="0" w:line="4"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NOTES TO FINANCIAL STATEMENTS</w:t>
      </w:r>
    </w:p>
    <w:p>
      <w:pPr>
        <w:jc w:val="center"/>
        <w:ind w:right="-39"/>
        <w:spacing w:after="0"/>
        <w:rPr>
          <w:sz w:val="20"/>
          <w:szCs w:val="20"/>
          <w:color w:val="auto"/>
        </w:rPr>
      </w:pPr>
      <w:r>
        <w:rPr>
          <w:rFonts w:ascii="Arial" w:cs="Arial" w:eastAsia="Arial" w:hAnsi="Arial"/>
          <w:sz w:val="22"/>
          <w:szCs w:val="22"/>
          <w:b w:val="1"/>
          <w:bCs w:val="1"/>
          <w:color w:val="auto"/>
        </w:rPr>
        <w:t>DECEMBER 31, 2019</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4. PRIVATE PLACEMENT</w:t>
      </w:r>
    </w:p>
    <w:p>
      <w:pPr>
        <w:spacing w:after="0" w:line="239" w:lineRule="exact"/>
        <w:rPr>
          <w:sz w:val="20"/>
          <w:szCs w:val="20"/>
          <w:color w:val="auto"/>
        </w:rPr>
      </w:pPr>
    </w:p>
    <w:p>
      <w:pPr>
        <w:ind w:right="20"/>
        <w:spacing w:after="0" w:line="277" w:lineRule="auto"/>
        <w:rPr>
          <w:sz w:val="20"/>
          <w:szCs w:val="20"/>
          <w:color w:val="auto"/>
        </w:rPr>
      </w:pPr>
      <w:r>
        <w:rPr>
          <w:rFonts w:ascii="Arial" w:cs="Arial" w:eastAsia="Arial" w:hAnsi="Arial"/>
          <w:sz w:val="19"/>
          <w:szCs w:val="19"/>
          <w:color w:val="auto"/>
        </w:rPr>
        <w:t>Simultaneously with the closing of the Initial Public Offering, the Sponsor purchased an aggregate of 7,000,000 Private Placement Warrants at a purchase price of $1.00 per Private Placement Warrant, for an aggregate purchase price of $7,000,000. The proceeds from the sale of the Private Placement Warrants were added to the net proceeds from the Initial Public Offering held in the Trust Account. Each Private Placement Warrant is exercisable for one Class A Share at a price of $11.50 per share, subject to adjustment (see Note 7). If the Company does not complete a Business Combination within the Combination Period, the proceeds from the sale of the Private Placement Warrants held in the Trust Account will be used to fund the redemption of the Public Shares (subject to the requirements of applicable law) and the Private Placement Warrants will expire worthless.</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5. RELATED PARTY TRANSACTIONS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Founder Shares</w:t>
      </w:r>
    </w:p>
    <w:p>
      <w:pPr>
        <w:spacing w:after="0" w:line="239" w:lineRule="exact"/>
        <w:rPr>
          <w:sz w:val="20"/>
          <w:szCs w:val="20"/>
          <w:color w:val="auto"/>
        </w:rPr>
      </w:pPr>
    </w:p>
    <w:p>
      <w:pPr>
        <w:ind w:right="160"/>
        <w:spacing w:after="0" w:line="238" w:lineRule="auto"/>
        <w:rPr>
          <w:sz w:val="20"/>
          <w:szCs w:val="20"/>
          <w:color w:val="auto"/>
        </w:rPr>
      </w:pPr>
      <w:r>
        <w:rPr>
          <w:rFonts w:ascii="Arial" w:cs="Arial" w:eastAsia="Arial" w:hAnsi="Arial"/>
          <w:sz w:val="22"/>
          <w:szCs w:val="22"/>
          <w:color w:val="auto"/>
        </w:rPr>
        <w:t>In June 2019, the Company issued an aggregate of 7,187,500 Class B ordinary shares (the “Founder Shares”) to the Sponsor for an aggregate purchase price of $25,000. The Founder Shares will automatically convert into Class A ordinary shares on the first business day following the completion of a Business Combination on a one-for-one basis, subject to certain adjustments, as described in Note 7.</w:t>
      </w:r>
    </w:p>
    <w:p>
      <w:pPr>
        <w:spacing w:after="0" w:line="212" w:lineRule="exact"/>
        <w:rPr>
          <w:sz w:val="20"/>
          <w:szCs w:val="20"/>
          <w:color w:val="auto"/>
        </w:rPr>
      </w:pPr>
    </w:p>
    <w:p>
      <w:pPr>
        <w:ind w:right="260"/>
        <w:spacing w:after="0" w:line="249" w:lineRule="auto"/>
        <w:rPr>
          <w:sz w:val="20"/>
          <w:szCs w:val="20"/>
          <w:color w:val="auto"/>
        </w:rPr>
      </w:pPr>
      <w:r>
        <w:rPr>
          <w:rFonts w:ascii="Arial" w:cs="Arial" w:eastAsia="Arial" w:hAnsi="Arial"/>
          <w:sz w:val="21"/>
          <w:szCs w:val="21"/>
          <w:color w:val="auto"/>
        </w:rPr>
        <w:t>The Founder Shares included an aggregate of up to 937,500 shares subject to forfeiture by the Sponsor to the extent that the underwriters’ over-allotment was not exercised in full or in part, so that the number of Founder Shares would collectively represent 20% of the Company’s issued and outstanding shares upon the completion of the Initial Public Offering. The underwriters’ over-allotment option expired unexercised on September 26, 2019 and, as a result, 937,500 Founder Shares were forfeited, resulting in the Sponsor holding an aggregate of 6,250,000 Founder Shares.</w:t>
      </w:r>
    </w:p>
    <w:p>
      <w:pPr>
        <w:spacing w:after="0" w:line="205" w:lineRule="exact"/>
        <w:rPr>
          <w:sz w:val="20"/>
          <w:szCs w:val="20"/>
          <w:color w:val="auto"/>
        </w:rPr>
      </w:pPr>
    </w:p>
    <w:p>
      <w:pPr>
        <w:spacing w:after="0"/>
        <w:rPr>
          <w:sz w:val="20"/>
          <w:szCs w:val="20"/>
          <w:color w:val="auto"/>
        </w:rPr>
      </w:pPr>
      <w:r>
        <w:rPr>
          <w:rFonts w:ascii="Arial" w:cs="Arial" w:eastAsia="Arial" w:hAnsi="Arial"/>
          <w:sz w:val="19"/>
          <w:szCs w:val="19"/>
          <w:color w:val="auto"/>
        </w:rPr>
        <w:t>The Sponsor has agreed, subject to limited exceptions, not to transfer, assign or sell any of its Founder Shares until the earlier of:</w:t>
      </w:r>
    </w:p>
    <w:p>
      <w:pPr>
        <w:spacing w:after="0" w:line="43" w:lineRule="exact"/>
        <w:rPr>
          <w:sz w:val="20"/>
          <w:szCs w:val="20"/>
          <w:color w:val="auto"/>
        </w:rPr>
      </w:pPr>
    </w:p>
    <w:p>
      <w:pPr>
        <w:ind w:right="40" w:firstLine="8"/>
        <w:spacing w:after="0" w:line="275" w:lineRule="auto"/>
        <w:tabs>
          <w:tab w:leader="none" w:pos="354" w:val="left"/>
        </w:tabs>
        <w:numPr>
          <w:ilvl w:val="0"/>
          <w:numId w:val="42"/>
        </w:numPr>
        <w:rPr>
          <w:rFonts w:ascii="Arial" w:cs="Arial" w:eastAsia="Arial" w:hAnsi="Arial"/>
          <w:sz w:val="19"/>
          <w:szCs w:val="19"/>
          <w:color w:val="auto"/>
        </w:rPr>
      </w:pPr>
      <w:r>
        <w:rPr>
          <w:rFonts w:ascii="Arial" w:cs="Arial" w:eastAsia="Arial" w:hAnsi="Arial"/>
          <w:sz w:val="19"/>
          <w:szCs w:val="19"/>
          <w:color w:val="auto"/>
        </w:rPr>
        <w:t>one year after the completion of a Business Combination and (B) subsequent to a Business Combination, (x) if the last reported sale price of the Class A ordinary shares equals or exceeds $12.00 per share (as adjusted for share splits, share dividends, rights issuances, subdivisions, reorganizations, recapitalizations and the like) for any 20 trading days within any 30-trading day period commencing at least 150 days after a Business Combination, or (y) the date on which the Company completes a liquidation, merger, amalgamation, share exchange, reorganization or other similar transaction that results in all of the Company’s shareholders having the right to exchange their Class A ordinary shares for cash, securities or other property.</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Promissory Note – Related Party</w:t>
      </w:r>
    </w:p>
    <w:p>
      <w:pPr>
        <w:spacing w:after="0" w:line="239" w:lineRule="exact"/>
        <w:rPr>
          <w:sz w:val="20"/>
          <w:szCs w:val="20"/>
          <w:color w:val="auto"/>
        </w:rPr>
      </w:pPr>
    </w:p>
    <w:p>
      <w:pPr>
        <w:ind w:right="140"/>
        <w:spacing w:after="0" w:line="238" w:lineRule="auto"/>
        <w:rPr>
          <w:sz w:val="20"/>
          <w:szCs w:val="20"/>
          <w:color w:val="auto"/>
        </w:rPr>
      </w:pPr>
      <w:r>
        <w:rPr>
          <w:rFonts w:ascii="Arial" w:cs="Arial" w:eastAsia="Arial" w:hAnsi="Arial"/>
          <w:sz w:val="22"/>
          <w:szCs w:val="22"/>
          <w:color w:val="auto"/>
        </w:rPr>
        <w:t>On June 10, 2019, the Company issued an unsecured promissory note to the Sponsor, pursuant to which the Company borrowed an aggregate principal amount of $237,470. The note was non-interest bearing and payable on the earlier of (i) January 31, 2020 and (ii) the completion of the Initial Public Offering. The note was repaid in full upon the consummation of the Initial Public Offering on August 12, 2019.</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Administrative Services Agreement</w:t>
      </w:r>
    </w:p>
    <w:p>
      <w:pPr>
        <w:spacing w:after="0" w:line="239" w:lineRule="exact"/>
        <w:rPr>
          <w:sz w:val="20"/>
          <w:szCs w:val="20"/>
          <w:color w:val="auto"/>
        </w:rPr>
      </w:pPr>
    </w:p>
    <w:p>
      <w:pPr>
        <w:ind w:right="160"/>
        <w:spacing w:after="0" w:line="236" w:lineRule="auto"/>
        <w:rPr>
          <w:sz w:val="20"/>
          <w:szCs w:val="20"/>
          <w:color w:val="auto"/>
        </w:rPr>
      </w:pPr>
      <w:r>
        <w:rPr>
          <w:rFonts w:ascii="Arial" w:cs="Arial" w:eastAsia="Arial" w:hAnsi="Arial"/>
          <w:sz w:val="22"/>
          <w:szCs w:val="22"/>
          <w:color w:val="auto"/>
        </w:rPr>
        <w:t>The Company entered into an agreement whereby, commencing on August 7, 2019, the Company will pay the Sponsor up to $20,000 per month for office space, administrative and support services. Upon completion of a Business Combination or its liquidation, the Company will cease paying these monthly fees. For the period from June 7, 2019 (inception) through December 31, 2019, the Company incurred $92,903 in fees for these services, of which $82,228 of such fees are included in accrued expenses in the accompanying balance sheet.</w:t>
      </w:r>
    </w:p>
    <w:p>
      <w:pPr>
        <w:spacing w:after="0" w:line="20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Related Party Loans</w:t>
      </w:r>
    </w:p>
    <w:p>
      <w:pPr>
        <w:spacing w:after="0" w:line="239" w:lineRule="exact"/>
        <w:rPr>
          <w:sz w:val="20"/>
          <w:szCs w:val="20"/>
          <w:color w:val="auto"/>
        </w:rPr>
      </w:pPr>
    </w:p>
    <w:p>
      <w:pPr>
        <w:spacing w:after="0" w:line="246" w:lineRule="auto"/>
        <w:rPr>
          <w:sz w:val="20"/>
          <w:szCs w:val="20"/>
          <w:color w:val="auto"/>
        </w:rPr>
      </w:pPr>
      <w:r>
        <w:rPr>
          <w:rFonts w:ascii="Arial" w:cs="Arial" w:eastAsia="Arial" w:hAnsi="Arial"/>
          <w:sz w:val="21"/>
          <w:szCs w:val="21"/>
          <w:color w:val="auto"/>
        </w:rPr>
        <w:t>In order to finance transaction costs in connection with a Business Combination, the Sponsor or an affiliate of the Sponsor, or certain of the Company’s officers and directors may, but are not obligated to, loan the Company funds as may be required (“Working Capital Loans”). Such Working Capital Loans would be evidenced by promissory notes. The notes may be repaid upon completion of a Business Combination, without interest, or, at the lender’s discretion, up to $1,500,000 of notes may be converted upon completion of a Business Combination into warrants at a price of $1.00 per warrant. Such warrants would be identical to the Private Placement Warrants. In the event that a Business Combination does not close, the Company may use a portion of proceeds held outside the Trust Account to repay the Working Capital Loans but no proceeds held in the Trust Account would be used to repay the Working Capital Loans.</w:t>
      </w:r>
    </w:p>
    <w:p>
      <w:pPr>
        <w:sectPr>
          <w:pgSz w:w="11900" w:h="16838" w:orient="portrait"/>
          <w:cols w:equalWidth="0" w:num="1">
            <w:col w:w="11220"/>
          </w:cols>
          <w:pgMar w:left="320" w:top="121" w:right="359" w:bottom="181"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81" w:gutter="0" w:footer="0" w:header="0"/>
          <w:type w:val="continuous"/>
        </w:sectPr>
      </w:pPr>
    </w:p>
    <w:bookmarkStart w:id="101" w:name="page102"/>
    <w:bookmarkEnd w:id="101"/>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SILVER SPIKE ACQUISITION CORP.</w:t>
      </w:r>
    </w:p>
    <w:p>
      <w:pPr>
        <w:spacing w:after="0" w:line="4"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NOTES TO FINANCIAL STATEMENTS</w:t>
      </w:r>
    </w:p>
    <w:p>
      <w:pPr>
        <w:jc w:val="center"/>
        <w:ind w:right="-39"/>
        <w:spacing w:after="0"/>
        <w:rPr>
          <w:sz w:val="20"/>
          <w:szCs w:val="20"/>
          <w:color w:val="auto"/>
        </w:rPr>
      </w:pPr>
      <w:r>
        <w:rPr>
          <w:rFonts w:ascii="Arial" w:cs="Arial" w:eastAsia="Arial" w:hAnsi="Arial"/>
          <w:sz w:val="22"/>
          <w:szCs w:val="22"/>
          <w:b w:val="1"/>
          <w:bCs w:val="1"/>
          <w:color w:val="auto"/>
        </w:rPr>
        <w:t>DECEMBER 31, 2019</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6. COMMITMENTS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Registration Rights</w:t>
      </w:r>
    </w:p>
    <w:p>
      <w:pPr>
        <w:spacing w:after="0" w:line="239" w:lineRule="exact"/>
        <w:rPr>
          <w:sz w:val="20"/>
          <w:szCs w:val="20"/>
          <w:color w:val="auto"/>
        </w:rPr>
      </w:pPr>
    </w:p>
    <w:p>
      <w:pPr>
        <w:ind w:right="40"/>
        <w:spacing w:after="0" w:line="273" w:lineRule="auto"/>
        <w:rPr>
          <w:sz w:val="20"/>
          <w:szCs w:val="20"/>
          <w:color w:val="auto"/>
        </w:rPr>
      </w:pPr>
      <w:r>
        <w:rPr>
          <w:rFonts w:ascii="Arial" w:cs="Arial" w:eastAsia="Arial" w:hAnsi="Arial"/>
          <w:sz w:val="19"/>
          <w:szCs w:val="19"/>
          <w:color w:val="auto"/>
        </w:rPr>
        <w:t>Pursuant to a registration rights agreement entered into on August 7, 2019, the holders of the Founder Shares, Private Placement Warrants and any warrants that may be issued on conversion of the Working Capital Loans (and any Class A ordinary shares issuable upon the exercise of the Private Placement Warrants or warrants that may be issued upon conversion of Working Capital Loans and upon conversion of the Founder Shares) are entitled to registration rights requiring the Company to register such securities for resale. The holders of these securities will be entitled to make up to three demands, excluding short form registration demands, that the Company register such securities. In addition, the holders have certain “piggy-back” registration rights with respect to registration statements filed subsequent to the completion of a Business Combination and rights to require the Company to register for resale such securities pursuant to Rule 415 under the Securities Act. However, the registration rights agreement provides that the Company will not permit any registration statement filed under the Securities Act to become effective until termination of the applicable lock-up period. The Company will bear the expenses incurred in connection with the filing of any such registration statements.</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Underwriting Agreement</w:t>
      </w:r>
    </w:p>
    <w:p>
      <w:pPr>
        <w:spacing w:after="0" w:line="239" w:lineRule="exact"/>
        <w:rPr>
          <w:sz w:val="20"/>
          <w:szCs w:val="20"/>
          <w:color w:val="auto"/>
        </w:rPr>
      </w:pPr>
    </w:p>
    <w:p>
      <w:pPr>
        <w:ind w:right="320"/>
        <w:spacing w:after="0" w:line="238" w:lineRule="auto"/>
        <w:rPr>
          <w:sz w:val="20"/>
          <w:szCs w:val="20"/>
          <w:color w:val="auto"/>
        </w:rPr>
      </w:pPr>
      <w:r>
        <w:rPr>
          <w:rFonts w:ascii="Arial" w:cs="Arial" w:eastAsia="Arial" w:hAnsi="Arial"/>
          <w:sz w:val="22"/>
          <w:szCs w:val="22"/>
          <w:color w:val="auto"/>
        </w:rPr>
        <w:t>The underwriters were paid a cash underwriting discount of $0.20 per Unit, or $5,000,000 in the aggregate. In addition, the underwriters are entitled to a deferred fee of $0.35 per Unit, or $8,750,000 in the aggregate, which will become payable to the underwriters from the amounts held in the Trust Account solely in the event that the Company completes a Business Combination, subject to the terms of the underwriting agreement.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7. SHAREHOLDERS’ EQUITY</w:t>
      </w:r>
    </w:p>
    <w:p>
      <w:pPr>
        <w:spacing w:after="0" w:line="239" w:lineRule="exact"/>
        <w:rPr>
          <w:sz w:val="20"/>
          <w:szCs w:val="20"/>
          <w:color w:val="auto"/>
        </w:rPr>
      </w:pPr>
    </w:p>
    <w:p>
      <w:pPr>
        <w:ind w:right="180"/>
        <w:spacing w:after="0" w:line="279" w:lineRule="auto"/>
        <w:rPr>
          <w:sz w:val="20"/>
          <w:szCs w:val="20"/>
          <w:color w:val="auto"/>
        </w:rPr>
      </w:pPr>
      <w:r>
        <w:rPr>
          <w:rFonts w:ascii="Arial" w:cs="Arial" w:eastAsia="Arial" w:hAnsi="Arial"/>
          <w:sz w:val="19"/>
          <w:szCs w:val="19"/>
          <w:color w:val="auto"/>
        </w:rPr>
        <w:t>Preferred Shares — The Company is authorized to issue 1,000,000 preference shares with a par value of $0.0001. The Company’s board of directors will be authorized to fix the voting rights, if any, designations, powers, preferences, the relative, participating, optional or other special rights and any qualifications, limitations and restrictions thereof, applicable to the shares of each series. The board of directors will be able to, without shareholder approval, issue preferred shares with voting and other rights that could adversely affect the voting power and other rights of the holders of the ordinary shares and could have anti-takeover effects. At December 31, 2019, there were no preference shares issued or outstanding.</w:t>
      </w:r>
    </w:p>
    <w:p>
      <w:pPr>
        <w:spacing w:after="0" w:line="177" w:lineRule="exact"/>
        <w:rPr>
          <w:sz w:val="20"/>
          <w:szCs w:val="20"/>
          <w:color w:val="auto"/>
        </w:rPr>
      </w:pPr>
    </w:p>
    <w:p>
      <w:pPr>
        <w:ind w:right="120"/>
        <w:spacing w:after="0" w:line="238" w:lineRule="auto"/>
        <w:rPr>
          <w:sz w:val="20"/>
          <w:szCs w:val="20"/>
          <w:color w:val="auto"/>
        </w:rPr>
      </w:pPr>
      <w:r>
        <w:rPr>
          <w:rFonts w:ascii="Arial" w:cs="Arial" w:eastAsia="Arial" w:hAnsi="Arial"/>
          <w:sz w:val="22"/>
          <w:szCs w:val="22"/>
          <w:color w:val="auto"/>
        </w:rPr>
        <w:t>Class A Ordinary Shares — The Company is authorized to issue 200,000,000 Class A ordinary shares, with a par value of $0.0001 per share. Holders of Class A ordinary shares are entitled to one vote for each share. At December 31, 2019, there were 1,259,819 shares of Class A ordinary shares issued or outstanding, excluding 23,740,181 Class A ordinary shares subject to possible redemption.</w:t>
      </w:r>
    </w:p>
    <w:p>
      <w:pPr>
        <w:spacing w:after="0" w:line="212" w:lineRule="exact"/>
        <w:rPr>
          <w:sz w:val="20"/>
          <w:szCs w:val="20"/>
          <w:color w:val="auto"/>
        </w:rPr>
      </w:pPr>
    </w:p>
    <w:p>
      <w:pPr>
        <w:ind w:right="20"/>
        <w:spacing w:after="0"/>
        <w:rPr>
          <w:sz w:val="20"/>
          <w:szCs w:val="20"/>
          <w:color w:val="auto"/>
        </w:rPr>
      </w:pPr>
      <w:r>
        <w:rPr>
          <w:rFonts w:ascii="Arial" w:cs="Arial" w:eastAsia="Arial" w:hAnsi="Arial"/>
          <w:sz w:val="22"/>
          <w:szCs w:val="22"/>
          <w:color w:val="auto"/>
        </w:rPr>
        <w:t>Class B Ordinary Shares — The Company is authorized to issue 20,000,000 Class B ordinary shares, with a par value of $0.0001 per share. Holders of the Class B ordinary shares are entitled to one vote for each share. At December 31, 2019, there were 6,250,000 Class B ordinary shares issued and outstanding.</w:t>
      </w:r>
    </w:p>
    <w:p>
      <w:pPr>
        <w:spacing w:after="0" w:line="213" w:lineRule="exact"/>
        <w:rPr>
          <w:sz w:val="20"/>
          <w:szCs w:val="20"/>
          <w:color w:val="auto"/>
        </w:rPr>
      </w:pPr>
    </w:p>
    <w:p>
      <w:pPr>
        <w:spacing w:after="0" w:line="257" w:lineRule="auto"/>
        <w:rPr>
          <w:sz w:val="20"/>
          <w:szCs w:val="20"/>
          <w:color w:val="auto"/>
        </w:rPr>
      </w:pPr>
      <w:r>
        <w:rPr>
          <w:rFonts w:ascii="Arial" w:cs="Arial" w:eastAsia="Arial" w:hAnsi="Arial"/>
          <w:sz w:val="21"/>
          <w:szCs w:val="21"/>
          <w:color w:val="auto"/>
        </w:rPr>
        <w:t>Only holders of the Class B ordinary shares will have the right to vote on the election of directors prior to the Business Combination. Holders of Class A ordinary shares and holders of Class B ordinary shares will vote together as a single class on all matters submitted to a vote of our shareholders except as otherwise required by law.</w:t>
      </w:r>
    </w:p>
    <w:p>
      <w:pPr>
        <w:spacing w:after="0" w:line="196" w:lineRule="exact"/>
        <w:rPr>
          <w:sz w:val="20"/>
          <w:szCs w:val="20"/>
          <w:color w:val="auto"/>
        </w:rPr>
      </w:pPr>
    </w:p>
    <w:p>
      <w:pPr>
        <w:ind w:right="20"/>
        <w:spacing w:after="0" w:line="273" w:lineRule="auto"/>
        <w:rPr>
          <w:sz w:val="20"/>
          <w:szCs w:val="20"/>
          <w:color w:val="auto"/>
        </w:rPr>
      </w:pPr>
      <w:r>
        <w:rPr>
          <w:rFonts w:ascii="Arial" w:cs="Arial" w:eastAsia="Arial" w:hAnsi="Arial"/>
          <w:sz w:val="19"/>
          <w:szCs w:val="19"/>
          <w:color w:val="auto"/>
        </w:rPr>
        <w:t>The Class B Shares will automatically convert into Class A ordinary shares on the first business day following the completion of the Business Combination, on a one-for-one basis, subject to adjustment. In the case that additional Class A ordinary shares, or equity-linked securities, are issued or deemed issued in excess of the amounts issued in the Initial Public Offering and related to the closing of a Business Combination, the ratio at which Founder Shares will convert into Class A ordinary shares will be adjusted (subject to waiver by holders of a majority of the Class B ordinary shares) so that the number of Class A ordinary shares issuable upon conversion of all Founder Shares will equal, in the aggregate, on an as-converted basis, 20% of the sum of the ordinary shares issued and outstanding upon completion of the Initial Public Offering plus the number of Class A ordinary shares and equity-linked securities issued or deemed issued in connection with a Business Combination (net of redemptions), excluding any Class A ordinary shares or equity-linked securities issued, or to be issued, to any seller in a Business Combination and any Private Placement Warrants issued to the Sponsor.</w:t>
      </w:r>
    </w:p>
    <w:p>
      <w:pPr>
        <w:sectPr>
          <w:pgSz w:w="11900" w:h="16838" w:orient="portrait"/>
          <w:cols w:equalWidth="0" w:num="1">
            <w:col w:w="11200"/>
          </w:cols>
          <w:pgMar w:left="320" w:top="121" w:right="379" w:bottom="910" w:gutter="0" w:footer="0" w:header="0"/>
        </w:sectPr>
      </w:pPr>
    </w:p>
    <w:p>
      <w:pPr>
        <w:spacing w:after="0" w:line="379"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910" w:gutter="0" w:footer="0" w:header="0"/>
          <w:type w:val="continuous"/>
        </w:sectPr>
      </w:pPr>
    </w:p>
    <w:bookmarkStart w:id="102" w:name="page103"/>
    <w:bookmarkEnd w:id="102"/>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SILVER SPIKE ACQUISITION CORP.</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FINANCIAL STATEMENTS</w:t>
      </w:r>
    </w:p>
    <w:p>
      <w:pPr>
        <w:jc w:val="center"/>
        <w:spacing w:after="0"/>
        <w:rPr>
          <w:sz w:val="20"/>
          <w:szCs w:val="20"/>
          <w:color w:val="auto"/>
        </w:rPr>
      </w:pPr>
      <w:r>
        <w:rPr>
          <w:rFonts w:ascii="Arial" w:cs="Arial" w:eastAsia="Arial" w:hAnsi="Arial"/>
          <w:sz w:val="22"/>
          <w:szCs w:val="22"/>
          <w:b w:val="1"/>
          <w:bCs w:val="1"/>
          <w:color w:val="auto"/>
        </w:rPr>
        <w:t>DECEMBER 31, 2019</w:t>
      </w:r>
    </w:p>
    <w:p>
      <w:pPr>
        <w:spacing w:after="0" w:line="215" w:lineRule="exact"/>
        <w:rPr>
          <w:sz w:val="20"/>
          <w:szCs w:val="20"/>
          <w:color w:val="auto"/>
        </w:rPr>
      </w:pPr>
    </w:p>
    <w:p>
      <w:pPr>
        <w:ind w:right="60"/>
        <w:spacing w:after="0" w:line="252" w:lineRule="auto"/>
        <w:rPr>
          <w:sz w:val="20"/>
          <w:szCs w:val="20"/>
          <w:color w:val="auto"/>
        </w:rPr>
      </w:pPr>
      <w:r>
        <w:rPr>
          <w:rFonts w:ascii="Arial" w:cs="Arial" w:eastAsia="Arial" w:hAnsi="Arial"/>
          <w:sz w:val="21"/>
          <w:szCs w:val="21"/>
          <w:color w:val="auto"/>
        </w:rPr>
        <w:t>Warrants — Public Warrants may only be exercised for a whole number of shares. No fractional shares will be issued upon exercise of the Public Warrants. The Public Warrants will become exercisable on the later of (a) 30 days after the completion of a Business Combination and (b) 12 months from the closing of the Initial Public Offering. The Public Warrants will expire five years from the completion of a Business Combination or earlier upon redemption or liquidation.</w:t>
      </w:r>
    </w:p>
    <w:p>
      <w:pPr>
        <w:spacing w:after="0" w:line="201" w:lineRule="exact"/>
        <w:rPr>
          <w:sz w:val="20"/>
          <w:szCs w:val="20"/>
          <w:color w:val="auto"/>
        </w:rPr>
      </w:pPr>
    </w:p>
    <w:p>
      <w:pPr>
        <w:ind w:right="160"/>
        <w:spacing w:after="0" w:line="277" w:lineRule="auto"/>
        <w:rPr>
          <w:sz w:val="20"/>
          <w:szCs w:val="20"/>
          <w:color w:val="auto"/>
        </w:rPr>
      </w:pPr>
      <w:r>
        <w:rPr>
          <w:rFonts w:ascii="Arial" w:cs="Arial" w:eastAsia="Arial" w:hAnsi="Arial"/>
          <w:sz w:val="19"/>
          <w:szCs w:val="19"/>
          <w:color w:val="auto"/>
        </w:rPr>
        <w:t>The Company will not be obligated to deliver any Class A ordinary shares pursuant to the exercise of a Public Warrant and will have no obligation to settle such Public Warrant exercise unless a registration statement under the Securities Act covering the issuance of the Class A ordinary shares issuable upon exercise of the Public Warrants is then effective and a prospectus relating thereto is current, subject to the Company satisfying its obligations with respect to registration. No Public Warrant will be exercisable for cash or on a cashless basis, and the Company will not be obligated to issue any shares to holders seeking to exercise their Public Warrants, unless the issuance of the shares upon such exercise is registered or qualified under the securities laws of the state of the exercising holder, or an exemption from registration is available.</w:t>
      </w:r>
    </w:p>
    <w:p>
      <w:pPr>
        <w:spacing w:after="0" w:line="179" w:lineRule="exact"/>
        <w:rPr>
          <w:sz w:val="20"/>
          <w:szCs w:val="20"/>
          <w:color w:val="auto"/>
        </w:rPr>
      </w:pPr>
    </w:p>
    <w:p>
      <w:pPr>
        <w:ind w:right="40"/>
        <w:spacing w:after="0" w:line="272" w:lineRule="auto"/>
        <w:rPr>
          <w:sz w:val="20"/>
          <w:szCs w:val="20"/>
          <w:color w:val="auto"/>
        </w:rPr>
      </w:pPr>
      <w:r>
        <w:rPr>
          <w:rFonts w:ascii="Arial" w:cs="Arial" w:eastAsia="Arial" w:hAnsi="Arial"/>
          <w:sz w:val="19"/>
          <w:szCs w:val="19"/>
          <w:color w:val="auto"/>
        </w:rPr>
        <w:t>The Company has agreed that as soon as practicable, but in no event later than 15 business days, after the closing of a Business Combination, it will use its reasonable best efforts to file with the SEC a registration statement registering the issuance, under the Securities Act, of the Class A ordinary shares issuable upon exercise of the Public Warrants. The Company will use it reasonable best efforts to cause the same to become effective within 60 business days after the closing of the Business Combination and to maintain the effectiveness of such registration statement, and a current prospectus relating thereto, until the expiration of the Public Warrants in accordance with the provisions of the warrant agreement. Notwithstanding the above, if the Class A ordinary shares are, at the time of any exercise of a Public Warrant, not listed on a national securities exchange such that it satisfies the definition of a “covered security” under Section 18(b)(1) of the Securities Act, the Company may, at its option, require holders of Public Warrants who exercise their Public Warrants to do so on a “cashless basis” in accordance with Section 3(a)(9) of the Securities Act and, in the event the Company so elects, the Company will not be required to file or maintain in effect a registration statement, but will use its reasonable best efforts to qualify the shares under applicable blue sky laws to the extent an exemption is not available.</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22"/>
          <w:szCs w:val="22"/>
          <w:color w:val="auto"/>
        </w:rPr>
        <w:t>Once the Public Warrants become exercisable, the Company may redeem the Public Warrants for redemption:</w:t>
      </w:r>
    </w:p>
    <w:p>
      <w:pPr>
        <w:spacing w:after="0" w:line="240" w:lineRule="exact"/>
        <w:rPr>
          <w:sz w:val="20"/>
          <w:szCs w:val="20"/>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at a price of $0.01 per Public Warrant;</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upon not less than 30 days’ prior written notice of redemption to each warrant holder; and</w:t>
      </w:r>
    </w:p>
    <w:p>
      <w:pPr>
        <w:spacing w:after="0" w:line="252" w:lineRule="exact"/>
        <w:rPr>
          <w:rFonts w:ascii="Arial" w:cs="Arial" w:eastAsia="Arial" w:hAnsi="Arial"/>
          <w:sz w:val="18"/>
          <w:szCs w:val="18"/>
          <w:color w:val="auto"/>
        </w:rPr>
      </w:pPr>
    </w:p>
    <w:p>
      <w:pPr>
        <w:ind w:left="660" w:right="320" w:hanging="328"/>
        <w:spacing w:after="0" w:line="263"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if, and only if, the reported last sale price of the Class A ordinary shares equals or exceeds $18.00 per share (as adjusted for share splits, share dividends, rights issuances, subdivisions, reorganizations, recapitalizations and the like) for any 20 trading days within a 30-trading day period ending on the third trading day prior to the notice of redemption to the warrant holders.</w:t>
      </w:r>
    </w:p>
    <w:p>
      <w:pPr>
        <w:spacing w:after="0" w:line="203" w:lineRule="exact"/>
        <w:rPr>
          <w:sz w:val="20"/>
          <w:szCs w:val="20"/>
          <w:color w:val="auto"/>
        </w:rPr>
      </w:pPr>
    </w:p>
    <w:p>
      <w:pPr>
        <w:ind w:right="180"/>
        <w:spacing w:after="0" w:line="274" w:lineRule="auto"/>
        <w:rPr>
          <w:sz w:val="20"/>
          <w:szCs w:val="20"/>
          <w:color w:val="auto"/>
        </w:rPr>
      </w:pPr>
      <w:r>
        <w:rPr>
          <w:rFonts w:ascii="Arial" w:cs="Arial" w:eastAsia="Arial" w:hAnsi="Arial"/>
          <w:sz w:val="21"/>
          <w:szCs w:val="21"/>
          <w:color w:val="auto"/>
        </w:rPr>
        <w:t>If and when the Public Warrants become redeemable by the Company, the Company may exercise its redemption right even if it is unable to register or qualify the underlying securities for sale under all applicable state securities laws.</w:t>
      </w:r>
    </w:p>
    <w:p>
      <w:pPr>
        <w:spacing w:after="0" w:line="178" w:lineRule="exact"/>
        <w:rPr>
          <w:sz w:val="20"/>
          <w:szCs w:val="20"/>
          <w:color w:val="auto"/>
        </w:rPr>
      </w:pPr>
    </w:p>
    <w:p>
      <w:pPr>
        <w:spacing w:after="0" w:line="274" w:lineRule="auto"/>
        <w:rPr>
          <w:sz w:val="20"/>
          <w:szCs w:val="20"/>
          <w:color w:val="auto"/>
        </w:rPr>
      </w:pPr>
      <w:r>
        <w:rPr>
          <w:rFonts w:ascii="Arial" w:cs="Arial" w:eastAsia="Arial" w:hAnsi="Arial"/>
          <w:sz w:val="19"/>
          <w:szCs w:val="19"/>
          <w:color w:val="auto"/>
        </w:rPr>
        <w:t>If the Company calls the Public Warrants for redemption, management will have the option to require all holders that wish to exercise the Public Warrants to do so on a “cashless basis,” as described in the warrant agreement. The exercise price and number of ordinary shares issuable upon exercise of the Public Warrants may be adjusted in certain circumstances including in the event of a share dividend, extraordinary dividend or recapitalization, reorganization, merger or consolidation. However, the Public Warrants will not be adjusted for issuances of ordinary shares at a price below its exercise price. Additionally, in no event will the Company be required to net cash settle the Public Warrants. If the Company is unable to complete a Business Combination within the Combination Period and the Company liquidates the funds held in the Trust Account, holders of Public Warrants will not receive any of such funds with respect to their Public Warrants, nor will they receive any distribution from the Company’s assets held outside of the Trust Account with respect to such Public Warrants. Accordingly, the Public Warrants may expire worthless.</w:t>
      </w:r>
    </w:p>
    <w:p>
      <w:pPr>
        <w:sectPr>
          <w:pgSz w:w="11900" w:h="16838" w:orient="portrait"/>
          <w:cols w:equalWidth="0" w:num="1">
            <w:col w:w="11240"/>
          </w:cols>
          <w:pgMar w:left="320" w:top="121" w:right="339"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3" w:name="page104"/>
    <w:bookmarkEnd w:id="103"/>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SILVER SPIKE ACQUISITION CORP.</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FINANCIAL STATEMENTS</w:t>
      </w:r>
    </w:p>
    <w:p>
      <w:pPr>
        <w:jc w:val="center"/>
        <w:spacing w:after="0"/>
        <w:rPr>
          <w:sz w:val="20"/>
          <w:szCs w:val="20"/>
          <w:color w:val="auto"/>
        </w:rPr>
      </w:pPr>
      <w:r>
        <w:rPr>
          <w:rFonts w:ascii="Arial" w:cs="Arial" w:eastAsia="Arial" w:hAnsi="Arial"/>
          <w:sz w:val="22"/>
          <w:szCs w:val="22"/>
          <w:b w:val="1"/>
          <w:bCs w:val="1"/>
          <w:color w:val="auto"/>
        </w:rPr>
        <w:t>DECEMBER 31, 2019</w:t>
      </w:r>
    </w:p>
    <w:p>
      <w:pPr>
        <w:spacing w:after="0" w:line="215" w:lineRule="exact"/>
        <w:rPr>
          <w:sz w:val="20"/>
          <w:szCs w:val="20"/>
          <w:color w:val="auto"/>
        </w:rPr>
      </w:pPr>
    </w:p>
    <w:p>
      <w:pPr>
        <w:spacing w:after="0" w:line="272" w:lineRule="auto"/>
        <w:rPr>
          <w:sz w:val="20"/>
          <w:szCs w:val="20"/>
          <w:color w:val="auto"/>
        </w:rPr>
      </w:pPr>
      <w:r>
        <w:rPr>
          <w:rFonts w:ascii="Arial" w:cs="Arial" w:eastAsia="Arial" w:hAnsi="Arial"/>
          <w:sz w:val="19"/>
          <w:szCs w:val="19"/>
          <w:color w:val="auto"/>
        </w:rPr>
        <w:t>In addition, if (x) the Company issues additional Class A ordinary shares or equity-linked securities for capital raising purposes in connection with the closing of a Business Combination at an issue price or effective issue price of less than $9.20 per Class A ordinary share (with such issue price or effective issue price to be determined in good faith by the Company’s board of directors, and in the case of any such issuance to the Sponsor or its affiliates, without taking into account any Founder Shares held by the Sponsor or such affiliates, as applicable, prior to such issuance) (the “newly issued price”), (y) the aggregate gross proceeds from such issuances represent more than 60% of the total equity proceeds, and interest thereon, available for the funding of a Business Combination on the date of the completion of a Business Combination (net of redemptions), and (z) the volume weighted average trading price of the Company’s ordinary shares during the 20 trading day period starting on the trading day prior to the day on which the Company consummates a Business Combination (such price, the “Market Value”) is below $9.20 per share, the exercise price of the Public Warrants will be adjusted (to the nearest cent) to be equal to 115% of the higher of the Market Value and the newly issued price, and the $18.00 per share redemption trigger price described above will be adjusted (to the nearest cent) to be equal to 180% of the higher of the Market Value and the newly issued price.</w:t>
      </w:r>
    </w:p>
    <w:p>
      <w:pPr>
        <w:spacing w:after="0" w:line="188" w:lineRule="exact"/>
        <w:rPr>
          <w:sz w:val="20"/>
          <w:szCs w:val="20"/>
          <w:color w:val="auto"/>
        </w:rPr>
      </w:pPr>
    </w:p>
    <w:p>
      <w:pPr>
        <w:ind w:right="140"/>
        <w:spacing w:after="0" w:line="277" w:lineRule="auto"/>
        <w:rPr>
          <w:sz w:val="20"/>
          <w:szCs w:val="20"/>
          <w:color w:val="auto"/>
        </w:rPr>
      </w:pPr>
      <w:r>
        <w:rPr>
          <w:rFonts w:ascii="Arial" w:cs="Arial" w:eastAsia="Arial" w:hAnsi="Arial"/>
          <w:sz w:val="19"/>
          <w:szCs w:val="19"/>
          <w:color w:val="auto"/>
        </w:rPr>
        <w:t>The Private Placement Warrants are identical to the Public Warrants underlying the Units sold in the Initial Public Offering, except that the Private Placement Warrants and the Class A ordinary shares issuable upon the exercise of the Private Placement Warrants will not be transferable, assignable or salable until 30 days after the completion of a Business Combination, subject to certain limited exceptions. Additionally, the Private Placement Warrants will be exercisable on a cashless basis and be non-redeemable so long as they are held by the initial purchasers or their permitted transferees. If the Private Placement Warrants are held by someone other than the initial purchasers or their permitted transferees, the Private Placement Warrants will be redeemable by the Company and exercisable by such holders on the same basis as the Public Warrants.</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8. FAIR VALUE MEASUREMENTS</w:t>
      </w:r>
    </w:p>
    <w:p>
      <w:pPr>
        <w:spacing w:after="0" w:line="239" w:lineRule="exact"/>
        <w:rPr>
          <w:sz w:val="20"/>
          <w:szCs w:val="20"/>
          <w:color w:val="auto"/>
        </w:rPr>
      </w:pPr>
    </w:p>
    <w:p>
      <w:pPr>
        <w:jc w:val="both"/>
        <w:ind w:right="200"/>
        <w:spacing w:after="0"/>
        <w:rPr>
          <w:sz w:val="20"/>
          <w:szCs w:val="20"/>
          <w:color w:val="auto"/>
        </w:rPr>
      </w:pPr>
      <w:r>
        <w:rPr>
          <w:rFonts w:ascii="Arial" w:cs="Arial" w:eastAsia="Arial" w:hAnsi="Arial"/>
          <w:sz w:val="22"/>
          <w:szCs w:val="22"/>
          <w:color w:val="auto"/>
        </w:rPr>
        <w:t>The Company follows the guidance in ASC Topic 820 for its financial assets and liabilities that are re-measured and reported at fair value at each reporting period, and non-financial assets and liabilities that are re-measured and reported at fair value at least annually.</w:t>
      </w:r>
    </w:p>
    <w:p>
      <w:pPr>
        <w:spacing w:after="0" w:line="213" w:lineRule="exact"/>
        <w:rPr>
          <w:sz w:val="20"/>
          <w:szCs w:val="20"/>
          <w:color w:val="auto"/>
        </w:rPr>
      </w:pPr>
    </w:p>
    <w:p>
      <w:pPr>
        <w:ind w:right="40"/>
        <w:spacing w:after="0" w:line="246" w:lineRule="auto"/>
        <w:rPr>
          <w:sz w:val="20"/>
          <w:szCs w:val="20"/>
          <w:color w:val="auto"/>
        </w:rPr>
      </w:pPr>
      <w:r>
        <w:rPr>
          <w:rFonts w:ascii="Arial" w:cs="Arial" w:eastAsia="Arial" w:hAnsi="Arial"/>
          <w:sz w:val="21"/>
          <w:szCs w:val="21"/>
          <w:color w:val="auto"/>
        </w:rPr>
        <w:t>The fair value of the Company’s financial assets and liabilities reflects management’s estimate of amounts that the Company would have received in connection with the sale of the assets or paid in connection with the transfer of the liabilities in an orderly transaction between market participants at the measurement date. In connection with measuring the fair value of its assets and liabilities, the Company seeks to maximize the use of observable inputs (market data obtained from independent sources) and to minimize the use of unobservable inputs (internal assumptions about how market participants would price assets and liabilities). The following fair value hierarchy is used to classify assets and liabilities based on the observable inputs and unobservable inputs used in order to value the assets and liabilities:</w:t>
      </w:r>
    </w:p>
    <w:p>
      <w:pPr>
        <w:spacing w:after="0" w:line="218" w:lineRule="exact"/>
        <w:rPr>
          <w:sz w:val="20"/>
          <w:szCs w:val="20"/>
          <w:color w:val="auto"/>
        </w:rPr>
      </w:pPr>
    </w:p>
    <w:p>
      <w:pPr>
        <w:ind w:left="660" w:right="880" w:hanging="328"/>
        <w:spacing w:after="0" w:line="342" w:lineRule="auto"/>
        <w:tabs>
          <w:tab w:leader="none" w:pos="6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Level 1: Quoted prices in active markets for identical assets or liabilities. An active market for an asset or liability is a market in which transactions for the asset or liability occur with sufficient frequency and volume to provide pricing information on an ongoing basis.</w:t>
      </w:r>
    </w:p>
    <w:p>
      <w:pPr>
        <w:spacing w:after="0" w:line="150" w:lineRule="exact"/>
        <w:rPr>
          <w:rFonts w:ascii="Arial" w:cs="Arial" w:eastAsia="Arial" w:hAnsi="Arial"/>
          <w:sz w:val="16"/>
          <w:szCs w:val="16"/>
          <w:color w:val="auto"/>
        </w:rPr>
      </w:pPr>
    </w:p>
    <w:p>
      <w:pPr>
        <w:ind w:left="660" w:right="420" w:hanging="328"/>
        <w:spacing w:after="0" w:line="277"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Level 2: Observable inputs other than Level 1 inputs. Examples of Level 2 inputs include quoted prices in active markets for similar assets or liabilities and quoted prices for identical assets or liabilities in markets that are not active.</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Level 3: Unobservable inputs based on our assessment of the assumptions that market participants would use in pricing the asset or liability.</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4" w:name="page105"/>
    <w:bookmarkEnd w:id="104"/>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SILVER SPIKE ACQUISITION CORP.</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FINANCIAL STATEMENTS</w:t>
      </w:r>
    </w:p>
    <w:p>
      <w:pPr>
        <w:jc w:val="center"/>
        <w:spacing w:after="0"/>
        <w:rPr>
          <w:sz w:val="20"/>
          <w:szCs w:val="20"/>
          <w:color w:val="auto"/>
        </w:rPr>
      </w:pPr>
      <w:r>
        <w:rPr>
          <w:rFonts w:ascii="Arial" w:cs="Arial" w:eastAsia="Arial" w:hAnsi="Arial"/>
          <w:sz w:val="22"/>
          <w:szCs w:val="22"/>
          <w:b w:val="1"/>
          <w:bCs w:val="1"/>
          <w:color w:val="auto"/>
        </w:rPr>
        <w:t>DECEMBER 31, 2019</w:t>
      </w:r>
    </w:p>
    <w:p>
      <w:pPr>
        <w:spacing w:after="0" w:line="215" w:lineRule="exact"/>
        <w:rPr>
          <w:sz w:val="20"/>
          <w:szCs w:val="20"/>
          <w:color w:val="auto"/>
        </w:rPr>
      </w:pPr>
    </w:p>
    <w:p>
      <w:pPr>
        <w:ind w:right="380"/>
        <w:spacing w:after="0"/>
        <w:rPr>
          <w:sz w:val="20"/>
          <w:szCs w:val="20"/>
          <w:color w:val="auto"/>
        </w:rPr>
      </w:pPr>
      <w:r>
        <w:rPr>
          <w:rFonts w:ascii="Arial" w:cs="Arial" w:eastAsia="Arial" w:hAnsi="Arial"/>
          <w:sz w:val="22"/>
          <w:szCs w:val="22"/>
          <w:color w:val="auto"/>
        </w:rPr>
        <w:t>The following table presents information about the Company’s assets that are measured at fair value on a recurring basis at December 31, 2019, and indicates the fair value hierarchy of the valuation inputs the Company utilized to determine such fair value:</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ind w:left="40"/>
              <w:spacing w:after="0"/>
              <w:rPr>
                <w:sz w:val="20"/>
                <w:szCs w:val="20"/>
                <w:color w:val="auto"/>
              </w:rPr>
            </w:pPr>
            <w:r>
              <w:rPr>
                <w:rFonts w:ascii="Arial" w:cs="Arial" w:eastAsia="Arial" w:hAnsi="Arial"/>
                <w:sz w:val="18"/>
                <w:szCs w:val="18"/>
                <w:b w:val="1"/>
                <w:bCs w:val="1"/>
                <w:color w:val="auto"/>
                <w:w w:val="99"/>
              </w:rPr>
              <w:t>December 31,</w:t>
            </w:r>
          </w:p>
        </w:tc>
      </w:tr>
      <w:tr>
        <w:trPr>
          <w:trHeight w:val="241"/>
        </w:trPr>
        <w:tc>
          <w:tcPr>
            <w:tcW w:w="8560" w:type="dxa"/>
            <w:vAlign w:val="bottom"/>
          </w:tcPr>
          <w:p>
            <w:pPr>
              <w:spacing w:after="0"/>
              <w:rPr>
                <w:sz w:val="20"/>
                <w:szCs w:val="20"/>
                <w:color w:val="auto"/>
              </w:rPr>
            </w:pPr>
            <w:r>
              <w:rPr>
                <w:rFonts w:ascii="Arial" w:cs="Arial" w:eastAsia="Arial" w:hAnsi="Arial"/>
                <w:sz w:val="18"/>
                <w:szCs w:val="18"/>
                <w:b w:val="1"/>
                <w:bCs w:val="1"/>
                <w:color w:val="auto"/>
              </w:rPr>
              <w:t>Description</w:t>
            </w:r>
          </w:p>
        </w:tc>
        <w:tc>
          <w:tcPr>
            <w:tcW w:w="120" w:type="dxa"/>
            <w:vAlign w:val="bottom"/>
          </w:tcPr>
          <w:p>
            <w:pPr>
              <w:spacing w:after="0"/>
              <w:rPr>
                <w:sz w:val="20"/>
                <w:szCs w:val="20"/>
                <w:color w:val="auto"/>
              </w:rPr>
            </w:pPr>
          </w:p>
        </w:tc>
        <w:tc>
          <w:tcPr>
            <w:tcW w:w="134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Level</w:t>
            </w:r>
          </w:p>
        </w:tc>
        <w:tc>
          <w:tcPr>
            <w:tcW w:w="1120" w:type="dxa"/>
            <w:vAlign w:val="bottom"/>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r>
      <w:tr>
        <w:trPr>
          <w:trHeight w:val="216"/>
        </w:trPr>
        <w:tc>
          <w:tcPr>
            <w:tcW w:w="85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Assets:</w:t>
            </w:r>
          </w:p>
        </w:tc>
        <w:tc>
          <w:tcPr>
            <w:tcW w:w="1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Marketable securities held in Trust Account</w:t>
            </w:r>
          </w:p>
        </w:tc>
        <w:tc>
          <w:tcPr>
            <w:tcW w:w="14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1"/>
              </w:rPr>
              <w:t>$  251,924,993</w:t>
            </w:r>
          </w:p>
        </w:tc>
      </w:tr>
    </w:tbl>
    <w:p>
      <w:pPr>
        <w:spacing w:after="0" w:line="21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9. SUBSEQUENT EVENTS</w:t>
      </w:r>
    </w:p>
    <w:p>
      <w:pPr>
        <w:spacing w:after="0" w:line="239" w:lineRule="exact"/>
        <w:rPr>
          <w:sz w:val="20"/>
          <w:szCs w:val="20"/>
          <w:color w:val="auto"/>
        </w:rPr>
      </w:pPr>
    </w:p>
    <w:p>
      <w:pPr>
        <w:ind w:right="260"/>
        <w:spacing w:after="0"/>
        <w:rPr>
          <w:sz w:val="20"/>
          <w:szCs w:val="20"/>
          <w:color w:val="auto"/>
        </w:rPr>
      </w:pPr>
      <w:r>
        <w:rPr>
          <w:rFonts w:ascii="Arial" w:cs="Arial" w:eastAsia="Arial" w:hAnsi="Arial"/>
          <w:sz w:val="22"/>
          <w:szCs w:val="22"/>
          <w:color w:val="auto"/>
        </w:rPr>
        <w:t>The Company evaluated subsequent events and transactions that occurred after the balance sheet date up to the date that the financial statements were issued. Based upon this review, the Company did not identify any subsequent events that would have required adjustment or disclosure in the financial statements.</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5" w:name="page106"/>
    <w:bookmarkEnd w:id="105"/>
    <w:p>
      <w:pPr>
        <w:ind w:left="10240"/>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1">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4.1</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Description of Securities Registered Pursuant to Section 12 of the Securities Exchange Act of 1934, As Amended</w:t>
      </w:r>
    </w:p>
    <w:p>
      <w:pPr>
        <w:spacing w:after="0" w:line="233" w:lineRule="exact"/>
        <w:rPr>
          <w:sz w:val="20"/>
          <w:szCs w:val="20"/>
          <w:color w:val="auto"/>
        </w:rPr>
      </w:pPr>
    </w:p>
    <w:p>
      <w:pPr>
        <w:ind w:right="60" w:firstLine="324"/>
        <w:spacing w:after="0" w:line="279" w:lineRule="auto"/>
        <w:rPr>
          <w:sz w:val="20"/>
          <w:szCs w:val="20"/>
          <w:color w:val="auto"/>
        </w:rPr>
      </w:pPr>
      <w:r>
        <w:rPr>
          <w:rFonts w:ascii="Arial" w:cs="Arial" w:eastAsia="Arial" w:hAnsi="Arial"/>
          <w:sz w:val="19"/>
          <w:szCs w:val="19"/>
          <w:color w:val="auto"/>
        </w:rPr>
        <w:t>The following description sets forth certain material terms and provisions of the securities of Silver Spike Acquisition Corp. ( “we,” “us” or “our”) that are registered under Section 12 of the Securities Exchange Act of 1934, as amended (the “Exchange Act”). The following description of our securities is not complete and may not contain all the information you should consider before investing in our securities. This description is summarized from, and qualified in its entirety by reference to, our amended and restated memorandum and articles of association, which are incorporated herein by reference. The summary below is also qualified by reference to the Companies Law and common law of the Cayman Islands.</w:t>
      </w:r>
    </w:p>
    <w:p>
      <w:pPr>
        <w:spacing w:after="0" w:line="177" w:lineRule="exact"/>
        <w:rPr>
          <w:sz w:val="20"/>
          <w:szCs w:val="20"/>
          <w:color w:val="auto"/>
        </w:rPr>
      </w:pPr>
    </w:p>
    <w:p>
      <w:pPr>
        <w:ind w:right="100" w:firstLine="324"/>
        <w:spacing w:after="0" w:line="279" w:lineRule="auto"/>
        <w:rPr>
          <w:sz w:val="20"/>
          <w:szCs w:val="20"/>
          <w:color w:val="auto"/>
        </w:rPr>
      </w:pPr>
      <w:r>
        <w:rPr>
          <w:rFonts w:ascii="Arial" w:cs="Arial" w:eastAsia="Arial" w:hAnsi="Arial"/>
          <w:sz w:val="19"/>
          <w:szCs w:val="19"/>
          <w:color w:val="auto"/>
        </w:rPr>
        <w:t>As of December 31, 2019, we had three classes of securities registered under the Exchange Act: our Class A ordinary shares, $0.0001 par value per share; warrants to purchase shares of our Class A ordinary shares; and units consisting of one Class A ordinary share and one-half of one redeemable warrant to purchase one Class A ordinary share. In addition, this Description of Securities also contains a description of our Class B ordinary shares, par value $0.0001 per share (“founder shares”), which are not registered pursuant to Section 12 of the Exchange Act but are convertible into shares of the Class A ordinary shares. The description of the founders shares is necessary to understand the material terms of the Class A ordinary shares.</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Units</w:t>
      </w:r>
    </w:p>
    <w:p>
      <w:pPr>
        <w:spacing w:after="0" w:line="239" w:lineRule="exact"/>
        <w:rPr>
          <w:sz w:val="20"/>
          <w:szCs w:val="20"/>
          <w:color w:val="auto"/>
        </w:rPr>
      </w:pPr>
    </w:p>
    <w:p>
      <w:pPr>
        <w:ind w:right="20" w:firstLine="324"/>
        <w:spacing w:after="0" w:line="238" w:lineRule="auto"/>
        <w:rPr>
          <w:sz w:val="20"/>
          <w:szCs w:val="20"/>
          <w:color w:val="auto"/>
        </w:rPr>
      </w:pPr>
      <w:r>
        <w:rPr>
          <w:rFonts w:ascii="Arial" w:cs="Arial" w:eastAsia="Arial" w:hAnsi="Arial"/>
          <w:sz w:val="22"/>
          <w:szCs w:val="22"/>
          <w:color w:val="auto"/>
        </w:rPr>
        <w:t>Each unit consists of one Class A ordinary share and one-half of one redeemable warrant. Each whole warrant entitles the holder thereof to purchase one Class A ordinary share at a price of $11.50 per share. Pursuant to the warrant agreement, a warrant holder may exercise its warrants only for a whole number of the company’s Class A ordinary shares. This means only a whole warrant may be exercised at any given time by a warrant holder.</w:t>
      </w:r>
    </w:p>
    <w:p>
      <w:pPr>
        <w:spacing w:after="0" w:line="212" w:lineRule="exact"/>
        <w:rPr>
          <w:sz w:val="20"/>
          <w:szCs w:val="20"/>
          <w:color w:val="auto"/>
        </w:rPr>
      </w:pPr>
    </w:p>
    <w:p>
      <w:pPr>
        <w:ind w:right="580" w:firstLine="324"/>
        <w:spacing w:after="0" w:line="250" w:lineRule="auto"/>
        <w:rPr>
          <w:sz w:val="20"/>
          <w:szCs w:val="20"/>
          <w:color w:val="auto"/>
        </w:rPr>
      </w:pPr>
      <w:r>
        <w:rPr>
          <w:rFonts w:ascii="Arial" w:cs="Arial" w:eastAsia="Arial" w:hAnsi="Arial"/>
          <w:sz w:val="22"/>
          <w:szCs w:val="22"/>
          <w:color w:val="auto"/>
        </w:rPr>
        <w:t>The Class A ordinary shares and warrants began separate trading on September 30, 2019 and holders have the option to continue to hold units or separate their units into the component pieces.</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Ordinary Shares</w:t>
      </w:r>
    </w:p>
    <w:p>
      <w:pPr>
        <w:spacing w:after="0" w:line="239" w:lineRule="exact"/>
        <w:rPr>
          <w:sz w:val="20"/>
          <w:szCs w:val="20"/>
          <w:color w:val="auto"/>
        </w:rPr>
      </w:pPr>
    </w:p>
    <w:p>
      <w:pPr>
        <w:ind w:right="20" w:firstLine="324"/>
        <w:spacing w:after="0" w:line="271" w:lineRule="auto"/>
        <w:rPr>
          <w:sz w:val="20"/>
          <w:szCs w:val="20"/>
          <w:color w:val="auto"/>
        </w:rPr>
      </w:pPr>
      <w:r>
        <w:rPr>
          <w:rFonts w:ascii="Arial" w:cs="Arial" w:eastAsia="Arial" w:hAnsi="Arial"/>
          <w:sz w:val="19"/>
          <w:szCs w:val="19"/>
          <w:color w:val="auto"/>
        </w:rPr>
        <w:t>Class A ordinary shareholders and Class B ordinary shareholders of record are entitled to one vote for each share held on all matters to be voted on by shareholders, except as required by law; provided that, prior to our initial business combination, only holders of our Class B ordinary shares will have the right to vote on the election of directors, and holders of a majority of our Class B ordinary shares may remove a member of the board of directors for any reason. With respect to any other matter submitted to a vote of our shareholders, including any vote in connection with our initial business combination, except as required by law, holders of Class A ordinary shares and holders of Class B ordinary shares will vote together as a single class. Unless specified in the Companies Law, our amended and restated memorandum and articles of association or applicable stock exchange rules, the affirmative vote of a majority of our ordinary shares that are voted is required to approve any such matter voted on by our shareholders. Approval of certain actions will require a special resolution under Cayman Islands law and pursuant to our amended and restated memorandum and articles of association; such actions include amending our amended and restated memorandum and articles of association and approving a statutory merger or consolidation with another company. Directors are elected for a term of two years. There is no cumulative voting with respect to the election of directors, with the result that the holders of more than 50% of the founder shares voted for the election of directors can elect all of the directors prior to our initial business combination. Our shareholders are entitled to receive ratable dividends when, as and if declared by the board of directors out of funds legally available therefor.</w:t>
      </w:r>
    </w:p>
    <w:p>
      <w:pPr>
        <w:spacing w:after="0" w:line="187" w:lineRule="exact"/>
        <w:rPr>
          <w:sz w:val="20"/>
          <w:szCs w:val="20"/>
          <w:color w:val="auto"/>
        </w:rPr>
      </w:pPr>
    </w:p>
    <w:p>
      <w:pPr>
        <w:ind w:right="120" w:firstLine="324"/>
        <w:spacing w:after="0" w:line="236" w:lineRule="auto"/>
        <w:rPr>
          <w:sz w:val="20"/>
          <w:szCs w:val="20"/>
          <w:color w:val="auto"/>
        </w:rPr>
      </w:pPr>
      <w:r>
        <w:rPr>
          <w:rFonts w:ascii="Arial" w:cs="Arial" w:eastAsia="Arial" w:hAnsi="Arial"/>
          <w:sz w:val="22"/>
          <w:szCs w:val="22"/>
          <w:color w:val="auto"/>
        </w:rPr>
        <w:t>Because our amended and restated memorandum and articles of association authorizes the issuance of up to 200,000,000 Class A ordinary shares, if we were to enter into a business combination, we may (depending on the terms of such a business combination) be required to increase the number of Class A ordinary shares which we are authorized to issue at the same time as our shareholders vote on the business combination to the extent we seek shareholder approval in connection with our initial business combination.</w:t>
      </w:r>
    </w:p>
    <w:p>
      <w:pPr>
        <w:spacing w:after="0" w:line="214" w:lineRule="exact"/>
        <w:rPr>
          <w:sz w:val="20"/>
          <w:szCs w:val="20"/>
          <w:color w:val="auto"/>
        </w:rPr>
      </w:pPr>
    </w:p>
    <w:p>
      <w:pPr>
        <w:ind w:right="140" w:firstLine="324"/>
        <w:spacing w:after="0" w:line="252" w:lineRule="auto"/>
        <w:rPr>
          <w:sz w:val="20"/>
          <w:szCs w:val="20"/>
          <w:color w:val="auto"/>
        </w:rPr>
      </w:pPr>
      <w:r>
        <w:rPr>
          <w:rFonts w:ascii="Arial" w:cs="Arial" w:eastAsia="Arial" w:hAnsi="Arial"/>
          <w:sz w:val="21"/>
          <w:szCs w:val="21"/>
          <w:color w:val="auto"/>
        </w:rPr>
        <w:t>In accordance with Nasdaq corporate governance requirements, we are not required to hold an annual meeting until one year after our first fiscal year end following our listing on Nasdaq. There is no requirement under the Companies Law for us to hold annual or general meetings to elect directors. Until we hold an annual general meeting of shareholders, public shareholders may not be afforded the opportunity to discuss company affairs with management.</w:t>
      </w:r>
    </w:p>
    <w:p>
      <w:pPr>
        <w:spacing w:after="0" w:line="201" w:lineRule="exact"/>
        <w:rPr>
          <w:sz w:val="20"/>
          <w:szCs w:val="20"/>
          <w:color w:val="auto"/>
        </w:rPr>
      </w:pPr>
    </w:p>
    <w:p>
      <w:pPr>
        <w:ind w:right="40" w:firstLine="324"/>
        <w:spacing w:after="0" w:line="273" w:lineRule="auto"/>
        <w:rPr>
          <w:sz w:val="20"/>
          <w:szCs w:val="20"/>
          <w:color w:val="auto"/>
        </w:rPr>
      </w:pPr>
      <w:r>
        <w:rPr>
          <w:rFonts w:ascii="Arial" w:cs="Arial" w:eastAsia="Arial" w:hAnsi="Arial"/>
          <w:sz w:val="19"/>
          <w:szCs w:val="19"/>
          <w:color w:val="auto"/>
        </w:rPr>
        <w:t>We will provide our public shareholders with the opportunity to redeem all or a portion of their public shares upon the completion of our initial business combination at a per-share price, payable in cash, equal to the aggregate amount then on deposit in the trust account as of two business days prior to the consummation of our initial business combination, including interest (which interest shall be net of taxes payable), divided by the number of then issued and outstanding public shares, subject to the limitations described herein. At the completion of our initial business combination, we will be required to purchase any Class A ordinary shares properly delivered for redemption and not withdrawn. The amount in the trust account is initially anticipated to be $10.00 per public share. The per-share amount we will distribute to investors who properly redeem their shares will not be reduced by the deferred underwriting commissions we will pay to the underwriters. Additionally, each public shareholder may elect to redeem its public shares without voting and, if they do vote, irrespective of whether they vote for or against the proposed business combination. Our initial shareholders have entered into a letter agreement with us, pursuant to</w:t>
      </w:r>
    </w:p>
    <w:p>
      <w:pPr>
        <w:sectPr>
          <w:pgSz w:w="11900" w:h="16838" w:orient="portrait"/>
          <w:cols w:equalWidth="0" w:num="1">
            <w:col w:w="11240"/>
          </w:cols>
          <w:pgMar w:left="320" w:top="274" w:right="339" w:bottom="0" w:gutter="0" w:footer="0" w:header="0"/>
        </w:sectPr>
      </w:pPr>
    </w:p>
    <w:bookmarkStart w:id="106" w:name="page107"/>
    <w:bookmarkEnd w:id="106"/>
    <w:p>
      <w:pPr>
        <w:jc w:val="both"/>
        <w:spacing w:after="0" w:line="252" w:lineRule="auto"/>
        <w:rPr>
          <w:sz w:val="20"/>
          <w:szCs w:val="20"/>
          <w:color w:val="auto"/>
        </w:rPr>
      </w:pPr>
      <w:r>
        <w:rPr>
          <w:rFonts w:ascii="Arial" w:cs="Arial" w:eastAsia="Arial" w:hAnsi="Arial"/>
          <w:sz w:val="21"/>
          <w:szCs w:val="21"/>
          <w:color w:val="auto"/>
        </w:rPr>
        <w:t>which they have agreed to waive their redemption rights with respect to their founder shares and any public shares held by them in connection with the completion of our initial business combination. Our directors and officers have also entered into the letter agreement, imposing similar obligations on them with respect to public shares acquired by them, if any. Permitted transferees of our initial shareholders, officers or directors will be subject to the same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252730</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118" w:right="479" w:bottom="1440" w:gutter="0" w:footer="0" w:header="0"/>
        </w:sectPr>
      </w:pPr>
    </w:p>
    <w:bookmarkStart w:id="107" w:name="page108"/>
    <w:bookmarkEnd w:id="107"/>
    <w:p>
      <w:pPr>
        <w:ind w:firstLine="324"/>
        <w:spacing w:after="0" w:line="270" w:lineRule="auto"/>
        <w:rPr>
          <w:sz w:val="20"/>
          <w:szCs w:val="20"/>
          <w:color w:val="auto"/>
        </w:rPr>
      </w:pPr>
      <w:r>
        <w:rPr>
          <w:rFonts w:ascii="Arial" w:cs="Arial" w:eastAsia="Arial" w:hAnsi="Arial"/>
          <w:sz w:val="19"/>
          <w:szCs w:val="19"/>
          <w:color w:val="auto"/>
        </w:rPr>
        <w:t>Unlike many blank check companies that hold shareholder votes and conduct proxy solicitations in conjunction with their initial business combinations and provide for related redemptions of public shares for cash upon completion of such initial business combinations even when a vote is not required by applicable law or stock exchange listing requirements, if a shareholder vote is not required by applicable law or stock exchange listing requirements and we do not decide to hold a shareholder vote for business or other reasons, we will, pursuant to our amended and restated memorandum and articles of association, conduct the redemptions pursuant to the tender offer rules of the SEC and file tender offer documents with the SEC prior to completing our initial business combination. Our amended and restated memorandum and articles of association require these tender offer documents to contain substantially the same financial and other information about the initial business combination and the redemption rights as is required under the SEC’s proxy rules. If, however, a shareholder approval of the transaction is required by applicable law or stock exchange listing requirement, or we decide to obtain shareholder approval for business or other reasons, we will, like many blank check companies, offer to redeem shares in conjunction with a proxy solicitation pursuant to the proxy rules and not pursuant to the tender offer rules. If we seek shareholder approval, we will complete our initial business combination only if we receive an ordinary resolution under Cayman Islands law, which requires the affirmative vote of a majority of the shareholders who attend and vote at a general meeting of the company. However, the participation of our sponsor, officers, directors, advisors or any of their affiliates in privately-negotiated transactions, if any, could result in the approval of our initial business combination even if a majority of our public shareholders vote, or indicate their intention to vote, against such business combination. For purposes of seeking approval of an ordinary resolution, non-votes will have no effect on the approval of our initial business combination once a quorum is obtained. We intend to give not less than 10 days nor more than 60 days prior written notice of any such meeting, if required, at which a vote shall be taken to approve our initial business combination. These quorum and voting thresholds, and the voting agreements of our initial shareholders, may make it more likely that we will consummate our initial business combination.</w:t>
      </w:r>
    </w:p>
    <w:p>
      <w:pPr>
        <w:spacing w:after="0" w:line="200" w:lineRule="exact"/>
        <w:rPr>
          <w:sz w:val="20"/>
          <w:szCs w:val="20"/>
          <w:color w:val="auto"/>
        </w:rPr>
      </w:pPr>
    </w:p>
    <w:p>
      <w:pPr>
        <w:spacing w:after="0" w:line="231" w:lineRule="exact"/>
        <w:rPr>
          <w:sz w:val="20"/>
          <w:szCs w:val="20"/>
          <w:color w:val="auto"/>
        </w:rPr>
      </w:pPr>
    </w:p>
    <w:p>
      <w:pPr>
        <w:ind w:right="80" w:firstLine="324"/>
        <w:spacing w:after="0" w:line="272" w:lineRule="auto"/>
        <w:rPr>
          <w:sz w:val="20"/>
          <w:szCs w:val="20"/>
          <w:color w:val="auto"/>
        </w:rPr>
      </w:pPr>
      <w:r>
        <w:rPr>
          <w:rFonts w:ascii="Arial" w:cs="Arial" w:eastAsia="Arial" w:hAnsi="Arial"/>
          <w:sz w:val="19"/>
          <w:szCs w:val="19"/>
          <w:color w:val="auto"/>
        </w:rPr>
        <w:t>If we seek shareholder approval of our initial business combination and we do not conduct redemptions in connection with our initial business combination pursuant to the tender offer rules, our amended and restated memorandum and articles of association provide that a public shareholder, together with any affiliate of such shareholder or any other person with whom such shareholder is acting in concert or as a “group” (as defined under Section 13 of the Exchange Act), will be restricted from redeeming its shares with respect to more than an aggregate of 15% of the ordinary shares sold in our initial public offering, which we refer to as the “Excess Shares,” without our prior consent. However, we would not be restricting our shareholders’ ability to vote all of their shares (including Excess Shares) for or against our initial business combination. Our shareholders’ inability to redeem the Excess Shares will reduce their influence over our ability to complete our initial business combination, and such shareholders could suffer a material loss in their investment if they sell such Excess Shares on the open market. Additionally, such shareholders will not receive redemption distributions with respect to the Excess Shares if we complete the business combination. As a result, such shareholders will continue to hold that number of shares exceeding 15% and, in order to dispose such shares would be required to sell their shares in open market transactions, potentially at a loss.</w:t>
      </w:r>
    </w:p>
    <w:p>
      <w:pPr>
        <w:spacing w:after="0" w:line="188" w:lineRule="exact"/>
        <w:rPr>
          <w:sz w:val="20"/>
          <w:szCs w:val="20"/>
          <w:color w:val="auto"/>
        </w:rPr>
      </w:pPr>
    </w:p>
    <w:p>
      <w:pPr>
        <w:ind w:right="40" w:firstLine="324"/>
        <w:spacing w:after="0" w:line="246" w:lineRule="auto"/>
        <w:rPr>
          <w:sz w:val="20"/>
          <w:szCs w:val="20"/>
          <w:color w:val="auto"/>
        </w:rPr>
      </w:pPr>
      <w:r>
        <w:rPr>
          <w:rFonts w:ascii="Arial" w:cs="Arial" w:eastAsia="Arial" w:hAnsi="Arial"/>
          <w:sz w:val="21"/>
          <w:szCs w:val="21"/>
          <w:color w:val="auto"/>
        </w:rPr>
        <w:t>If we seek shareholder approval in connection with our initial business combination, our initial shareholders have agreed (and their permitted transferees will agree), pursuant to the terms of a letter agreement entered into with us, to vote their founder shares and any public shares held by them in favor of our initial business combination. As a result, in addition to our initial shareholders’ founder shares, we would need 9,375,001, or 37.5%, of the 25,000,000 public shares sold in our initial public offering to be voted in favor of a transaction (assuming all issued and outstanding shares are voted), subject to any higher threshold as is required by Cayman Islands or other applicable law, in order to have such initial business combination approved. Our directors and officers have also entered into the letter agreement, imposing similar obligations on them with respect to public shares acquired by them, if any.</w:t>
      </w:r>
    </w:p>
    <w:p>
      <w:pPr>
        <w:spacing w:after="0" w:line="207" w:lineRule="exact"/>
        <w:rPr>
          <w:sz w:val="20"/>
          <w:szCs w:val="20"/>
          <w:color w:val="auto"/>
        </w:rPr>
      </w:pPr>
    </w:p>
    <w:p>
      <w:pPr>
        <w:ind w:right="20" w:firstLine="324"/>
        <w:spacing w:after="0" w:line="271" w:lineRule="auto"/>
        <w:rPr>
          <w:sz w:val="20"/>
          <w:szCs w:val="20"/>
          <w:color w:val="auto"/>
        </w:rPr>
      </w:pPr>
      <w:r>
        <w:rPr>
          <w:rFonts w:ascii="Arial" w:cs="Arial" w:eastAsia="Arial" w:hAnsi="Arial"/>
          <w:sz w:val="19"/>
          <w:szCs w:val="19"/>
          <w:color w:val="auto"/>
        </w:rPr>
        <w:t>Pursuant to our amended and restated memorandum and articles of association, if we are unable to complete our initial business combination within 18 months from the closing of our initial public offering, we will (1) cease all operations except for the purpose of winding up, (2) as promptly as reasonably possible but not more than 10 business days thereafter, redeem 100% of the public shares, at a per-share price, payable in cash, equal to the aggregate amount then on deposit in the trust account, including interest (less up to $100,000 of interest to pay dissolution expenses and which interest shall be net of taxes payable), divided by the number of then issued and outstanding public shares, which redemption will completely extinguish public shareholders’ rights as shareholders (including the right to receive further liquidating distributions, if any) and (3) as promptly as reasonably possible following such redemption, subject to the approval of our remaining shareholders and our board of directors, dissolve and liquidate, subject in each case to our obligations under Cayman Islands law to provide for claims of creditors and the requirements of other applicable law. Our initial shareholders have entered into a letter agreement with us, pursuant to which they have agreed to waive their rights to liquidating distributions from the trust account with respect to their founder shares if we fail to complete our initial business combination within 18 months from the closing of our initial public offering. However, if our initial shareholders acquire public shares after our initial public offering, they will be entitled to liquidating distributions from the trust account with respect to such public shares if we fail to complete our initial business combination within the prescribed time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400685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8" w:name="page109"/>
    <w:bookmarkEnd w:id="108"/>
    <w:p>
      <w:pPr>
        <w:ind w:right="40" w:firstLine="324"/>
        <w:spacing w:after="0" w:line="277" w:lineRule="auto"/>
        <w:rPr>
          <w:sz w:val="20"/>
          <w:szCs w:val="20"/>
          <w:color w:val="auto"/>
        </w:rPr>
      </w:pPr>
      <w:r>
        <w:rPr>
          <w:rFonts w:ascii="Arial" w:cs="Arial" w:eastAsia="Arial" w:hAnsi="Arial"/>
          <w:sz w:val="19"/>
          <w:szCs w:val="19"/>
          <w:color w:val="auto"/>
        </w:rPr>
        <w:t>In the event of a liquidation, dissolution or winding up of the company after a business combination, our shareholders at such time will be entitled to share ratably in all assets remaining available for distribution to them after payment of liabilities and after provision is made for each class of shares, if any, having preference over the ordinary shares. Our shareholders have no preemptive or other subscription rights. There are no sinking fund provisions applicable to the ordinary shares, except that we will provide our shareholders with the opportunity to redeem their public shares for cash equal to their pro rata share of the aggregate amount then on deposit in the trust account, including interest (which interest shall be net of taxes payable), upon the completion of our initial business combination, subject to the limitations described herein.</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Founder Shares</w:t>
      </w:r>
    </w:p>
    <w:p>
      <w:pPr>
        <w:spacing w:after="0" w:line="239" w:lineRule="exact"/>
        <w:rPr>
          <w:sz w:val="20"/>
          <w:szCs w:val="20"/>
          <w:color w:val="auto"/>
        </w:rPr>
      </w:pPr>
    </w:p>
    <w:p>
      <w:pPr>
        <w:ind w:firstLine="324"/>
        <w:spacing w:after="0" w:line="270" w:lineRule="auto"/>
        <w:rPr>
          <w:sz w:val="20"/>
          <w:szCs w:val="20"/>
          <w:color w:val="auto"/>
        </w:rPr>
      </w:pPr>
      <w:r>
        <w:rPr>
          <w:rFonts w:ascii="Arial" w:cs="Arial" w:eastAsia="Arial" w:hAnsi="Arial"/>
          <w:sz w:val="19"/>
          <w:szCs w:val="19"/>
          <w:color w:val="auto"/>
        </w:rPr>
        <w:t>The founder shares are designated as Class B ordinary shares and are identical to the Class A ordinary shares included in the units sold in our initial public offering, and holders of founder shares have the same shareholder rights as public shareholders, except that: (1) prior to our initial business combination, only holders of the founder shares have the right to vote on the election of directors and holders of a majority of our founder shares may remove a member of the board of directors for any reason; (2) the founder shares are subject to certain transfer restrictions, as described in more detail below; (3) our initial shareholders have entered into a letter agreement with us, pursuant to which they have agreed to waive: (x) their redemption rights with respect to their founder shares and any public shares held by them in connection with the completion of our initial business combination (and not seek to sell its shares to us in any tender offer we undertake in connection with our initial business combination); (y) their redemption rights with respect to their founder shares and any public shares held by them in connection with a shareholder vote to approve an amendment to our amended and restated memorandum and articles of association (A) to modify the substance or timing of our obligation to redeem 100% of our public shares if we do not complete our initial business combination within 18 months from the closing of our initial public offering or (B) with respect to any other provision relating to shareholders’ rights or pre-initial business combination activity; and (z) their rights to liquidating distributions from the trust account with respect to any founder shares they hold if we fail to complete our initial business combination within 18 months from the closing of our initial public offering (although they will be entitled to liquidating distributions from the trust account with respect to any public shares they hold if we fail to complete our initial business combination within the prescribed time frame); (4) the founder shares will automatically convert into our Class A ordinary shares as described below and (5) the founder shares are entitled to registration rights. In addition, our directors and officers have also entered into the letter agreement with respect to public shares acquired by them, if any.</w:t>
      </w:r>
    </w:p>
    <w:p>
      <w:pPr>
        <w:spacing w:after="0" w:line="200" w:lineRule="exact"/>
        <w:rPr>
          <w:sz w:val="20"/>
          <w:szCs w:val="20"/>
          <w:color w:val="auto"/>
        </w:rPr>
      </w:pPr>
    </w:p>
    <w:p>
      <w:pPr>
        <w:spacing w:after="0" w:line="236" w:lineRule="exact"/>
        <w:rPr>
          <w:sz w:val="20"/>
          <w:szCs w:val="20"/>
          <w:color w:val="auto"/>
        </w:rPr>
      </w:pPr>
    </w:p>
    <w:p>
      <w:pPr>
        <w:ind w:firstLine="324"/>
        <w:spacing w:after="0" w:line="273" w:lineRule="auto"/>
        <w:rPr>
          <w:sz w:val="20"/>
          <w:szCs w:val="20"/>
          <w:color w:val="auto"/>
        </w:rPr>
      </w:pPr>
      <w:r>
        <w:rPr>
          <w:rFonts w:ascii="Arial" w:cs="Arial" w:eastAsia="Arial" w:hAnsi="Arial"/>
          <w:sz w:val="19"/>
          <w:szCs w:val="19"/>
          <w:color w:val="auto"/>
        </w:rPr>
        <w:t>The founder shares will automatically convert into Class A ordinary shares on the first business day following the completion of our initial business combination on a one-for-one basis, subject to adjustment as provided herein. In the case that additional Class A ordinary shares, or equity-linked securities convertible or exercisable for Class A ordinary shares, are issued or deemed issued in excess of the amounts issued in our initial public offering and related to the closing of our initial business combination, the ratio at which founder shares will convert into Class A ordinary shares will be adjusted (subject to waiver by holders of a majority of the Class B ordinary shares then in issue) so that the number of Class A ordinary shares issuable upon conversion of all Class B ordinary shares will equal, in the aggregate, on an as-converted basis, 20% of the sum of our ordinary shares issued and outstanding upon the completion of our initial public offering plus the number of Class A ordinary shares and equity-linked securities issued or deemed issued in connection with our initial business combination (net of redemptions), excluding any Class A ordinary shares or equity-linked securities issued, or to be issued, to any seller in our initial business combination and any private placement warrants issued to our sponsor, an affiliate of our sponsor or any of our officers or directors.</w:t>
      </w:r>
    </w:p>
    <w:p>
      <w:pPr>
        <w:spacing w:after="0" w:line="182" w:lineRule="exact"/>
        <w:rPr>
          <w:sz w:val="20"/>
          <w:szCs w:val="20"/>
          <w:color w:val="auto"/>
        </w:rPr>
      </w:pPr>
    </w:p>
    <w:p>
      <w:pPr>
        <w:ind w:right="60" w:firstLine="324"/>
        <w:spacing w:after="0" w:line="245" w:lineRule="auto"/>
        <w:rPr>
          <w:sz w:val="20"/>
          <w:szCs w:val="20"/>
          <w:color w:val="auto"/>
        </w:rPr>
      </w:pPr>
      <w:r>
        <w:rPr>
          <w:rFonts w:ascii="Arial" w:cs="Arial" w:eastAsia="Arial" w:hAnsi="Arial"/>
          <w:sz w:val="21"/>
          <w:szCs w:val="21"/>
          <w:color w:val="auto"/>
        </w:rPr>
        <w:t>With certain limited exceptions, the founder shares are not transferable, assignable or salable (except to our officers and directors and other persons or entities affiliated with our sponsor, each of whom will be subject to the same transfer restrictions) until the earlier of (A) one year after the completion of our initial business combination or (B) subsequent to our initial business combination, (x) if the last reported sale price of the ordinary shares equals or exceeds $12.00 per share (as adjusted for share splits, share dividends, rights issuances, subdivisions, reorganizations, recapitalizations and the like) for any 20 trading days within any 30-trading day period commencing at least 150 days after our initial business combination, or (y) the date following the completion of our initial business combination on which we complete a liquidation, merger, amalgamation, share exchange, reorganization or other similar transaction that results in all of our public shareholders having the right to exchange their Class A ordinary shares for cash, securities or other property.</w:t>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Register of Members</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Under Cayman Islands law, we must keep a register of members and there shall be entered therein:</w:t>
      </w:r>
    </w:p>
    <w:p>
      <w:pPr>
        <w:spacing w:after="0" w:line="240" w:lineRule="exact"/>
        <w:rPr>
          <w:sz w:val="20"/>
          <w:szCs w:val="20"/>
          <w:color w:val="auto"/>
        </w:rPr>
      </w:pPr>
    </w:p>
    <w:p>
      <w:pPr>
        <w:ind w:left="660" w:right="60" w:hanging="328"/>
        <w:spacing w:after="0" w:line="277"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names and addresses of the members and a statement of the shares held by each member and of the amount paid or agreed to be considered as paid on the shares of each member;</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date on which the name of any person was entered on the register as a member;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280670</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109" w:name="page110"/>
    <w:bookmarkEnd w:id="109"/>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date on which any person ceased to be a member.</w:t>
      </w:r>
    </w:p>
    <w:p>
      <w:pPr>
        <w:spacing w:after="0" w:line="245" w:lineRule="exact"/>
        <w:rPr>
          <w:sz w:val="20"/>
          <w:szCs w:val="20"/>
          <w:color w:val="auto"/>
        </w:rPr>
      </w:pPr>
    </w:p>
    <w:p>
      <w:pPr>
        <w:ind w:right="180" w:firstLine="324"/>
        <w:spacing w:after="0" w:line="273" w:lineRule="auto"/>
        <w:rPr>
          <w:sz w:val="20"/>
          <w:szCs w:val="20"/>
          <w:color w:val="auto"/>
        </w:rPr>
      </w:pPr>
      <w:r>
        <w:rPr>
          <w:rFonts w:ascii="Arial" w:cs="Arial" w:eastAsia="Arial" w:hAnsi="Arial"/>
          <w:sz w:val="19"/>
          <w:szCs w:val="19"/>
          <w:color w:val="auto"/>
        </w:rPr>
        <w:t>Under Cayman Islands law, the register of members of our company is prima facie evidence of the matters set out therein (i.e., the register of members will raise a presumption of fact on the matters referred to above unless rebutted) and a member registered in the register of members shall be deemed as a matter of Cayman Islands law to have legal title to the shares as set against its name in the register of members. Upon the closing of our initial public offering, the register of members was immediately updated to reflect the issue of shares by us. Once our register of members has been updated, the shareholders recorded in the register of members shall be deemed to have legal title to the shares set against their name. However, there are certain limited circumstances where an application may be made to a Cayman Islands court for a determination on whether the register of members reflects the correct legal position. Further, the Cayman Islands court has the power to order that the register of members maintained by a company should be rectified where it considers that the register of members does not reflect the correct legal position. If an application for an order for rectification of the register of members were made in respect of our ordinary shares, then the validity of such shares may be subject to re-examination by a Cayman Islands court.</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Preferred Shares</w:t>
      </w:r>
    </w:p>
    <w:p>
      <w:pPr>
        <w:spacing w:after="0" w:line="239" w:lineRule="exact"/>
        <w:rPr>
          <w:sz w:val="20"/>
          <w:szCs w:val="20"/>
          <w:color w:val="auto"/>
        </w:rPr>
      </w:pPr>
    </w:p>
    <w:p>
      <w:pPr>
        <w:ind w:right="60" w:firstLine="324"/>
        <w:spacing w:after="0" w:line="274" w:lineRule="auto"/>
        <w:rPr>
          <w:sz w:val="20"/>
          <w:szCs w:val="20"/>
          <w:color w:val="auto"/>
        </w:rPr>
      </w:pPr>
      <w:r>
        <w:rPr>
          <w:rFonts w:ascii="Arial" w:cs="Arial" w:eastAsia="Arial" w:hAnsi="Arial"/>
          <w:sz w:val="19"/>
          <w:szCs w:val="19"/>
          <w:color w:val="auto"/>
        </w:rPr>
        <w:t>Our amended and restated memorandum and articles of association authorizes 1,000,000 preferred shares and provides that preferred shares may be issued from time to time in one or more series. Our board of directors is authorized to fix the voting rights, if any, designations, powers, preferences, the relative, participating, optional or other special rights and any qualifications, limitations and restrictions thereof, applicable to the shares of each series. Our board of directors is able to, without shareholder approval, issue preferred shares with voting and other rights that could adversely affect the voting power and other rights of the holders of the ordinary shares and could have anti-takeover effects. The ability of our board of directors to issue preferred shares without shareholder approval could have the effect of delaying, deferring or preventing a change of control of us or the removal of existing management. We have no preferred shares issued and outstanding at the date hereof. Although we do not currently intend to issue any preferred shares, we cannot assure you that we will not do so in the future.</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Warrants</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Public Shareholders’ Redeemable Warrants</w:t>
      </w:r>
    </w:p>
    <w:p>
      <w:pPr>
        <w:spacing w:after="0" w:line="233" w:lineRule="exact"/>
        <w:rPr>
          <w:sz w:val="20"/>
          <w:szCs w:val="20"/>
          <w:color w:val="auto"/>
        </w:rPr>
      </w:pPr>
    </w:p>
    <w:p>
      <w:pPr>
        <w:ind w:right="20" w:firstLine="324"/>
        <w:spacing w:after="0" w:line="273" w:lineRule="auto"/>
        <w:rPr>
          <w:sz w:val="20"/>
          <w:szCs w:val="20"/>
          <w:color w:val="auto"/>
        </w:rPr>
      </w:pPr>
      <w:r>
        <w:rPr>
          <w:rFonts w:ascii="Arial" w:cs="Arial" w:eastAsia="Arial" w:hAnsi="Arial"/>
          <w:sz w:val="19"/>
          <w:szCs w:val="19"/>
          <w:color w:val="auto"/>
        </w:rPr>
        <w:t>Each whole warrant entitles the registered holder to purchase one Class A ordinary share at a price of $11.50 per share, at any time commencing on the later of 12 months from the closing of our initial public offering and 30 days after the completion of our initial business combination, provided in each case that we have an effective registration statement under the Securities Act covering the issuance of the Class A ordinary shares issuable upon exercise of the warrants and a current prospectus relating to them is available and such shares are registered, qualified or exempt from registration under the securities, or blue sky, laws of the state of residence of the holder (or we permit holders to exercise their warrants on a cashless basis under the circumstances specified in the warrant agreement). Pursuant to the warrant agreement, a warrant holder may exercise its warrants only for a whole number of Class A ordinary shares. This means only a whole warrant may be exercised at a given time by a warrant holder. No fractional warrants will be issued upon separation of the units and only whole warrants will trade. The warrants will expire five years after the completion of our initial business combination, at 5:00 p.m., New York City time, or earlier upon redemption or liquidation.</w:t>
      </w:r>
    </w:p>
    <w:p>
      <w:pPr>
        <w:spacing w:after="0" w:line="200" w:lineRule="exact"/>
        <w:rPr>
          <w:sz w:val="20"/>
          <w:szCs w:val="20"/>
          <w:color w:val="auto"/>
        </w:rPr>
      </w:pPr>
    </w:p>
    <w:p>
      <w:pPr>
        <w:spacing w:after="0" w:line="231" w:lineRule="exact"/>
        <w:rPr>
          <w:sz w:val="20"/>
          <w:szCs w:val="20"/>
          <w:color w:val="auto"/>
        </w:rPr>
      </w:pPr>
    </w:p>
    <w:p>
      <w:pPr>
        <w:ind w:firstLine="324"/>
        <w:spacing w:after="0" w:line="275" w:lineRule="auto"/>
        <w:rPr>
          <w:sz w:val="20"/>
          <w:szCs w:val="20"/>
          <w:color w:val="auto"/>
        </w:rPr>
      </w:pPr>
      <w:r>
        <w:rPr>
          <w:rFonts w:ascii="Arial" w:cs="Arial" w:eastAsia="Arial" w:hAnsi="Arial"/>
          <w:sz w:val="19"/>
          <w:szCs w:val="19"/>
          <w:color w:val="auto"/>
        </w:rPr>
        <w:t>We are not be obligated to deliver any Class A ordinary shares pursuant to the exercise of a warrant and have no obligation to settle such warrant exercise unless a registration statement under the Securities Act covering the issuance of the Class A ordinary shares issuable upon exercise of the warrants is then effective and a prospectus relating thereto is current, subject to our satisfying our obligations described below with respect to registration. No public warrant is exercisable for cash or on a cashless basis, and we are not obligated to issue any shares to holders seeking to exercise their warrants, unless the issuance of the shares upon such exercise is registered or qualified under the securities laws of the state of the exercising holder, or an exemption is available. In the event that the conditions in the two immediately preceding sentences are not satisfied with respect to a warrant, the holder of such warrant are not entitled to exercise such warrant and such warrant may have no value and expire worthless.</w:t>
      </w:r>
    </w:p>
    <w:p>
      <w:pPr>
        <w:spacing w:after="0" w:line="184" w:lineRule="exact"/>
        <w:rPr>
          <w:sz w:val="20"/>
          <w:szCs w:val="20"/>
          <w:color w:val="auto"/>
        </w:rPr>
      </w:pPr>
    </w:p>
    <w:p>
      <w:pPr>
        <w:ind w:firstLine="324"/>
        <w:spacing w:after="0" w:line="273" w:lineRule="auto"/>
        <w:rPr>
          <w:sz w:val="20"/>
          <w:szCs w:val="20"/>
          <w:color w:val="auto"/>
        </w:rPr>
      </w:pPr>
      <w:r>
        <w:rPr>
          <w:rFonts w:ascii="Arial" w:cs="Arial" w:eastAsia="Arial" w:hAnsi="Arial"/>
          <w:sz w:val="19"/>
          <w:szCs w:val="19"/>
          <w:color w:val="auto"/>
        </w:rPr>
        <w:t>We have agreed that as soon as practicable, but in no event later than 15 business days, after the closing of our initial business combination, we will use our reasonable best efforts to file with the SEC and have an effective registration statement covering the issuance, under the Securities Act, of the Class A ordinary shares issuable upon exercise of the warrants, and we will use our reasonable best efforts to cause the same to become effective within 60 business days after the closing of our initial business combination and to maintain the effectiveness of such registration statement, and a current prospectus relating thereto, until the expiration of the warrants in accordance with the provisions of the warrant agreement. Notwithstanding the above, if our Class A ordinary shares are, at the time of any exercise of a warrant, not listed on a national securities exchange such that it satisfies the definition of a “covered security” under Section 18(b)(1) of the Securities Act, we may, at our option, require holders of public warrants who exercise their warrants to do so on a “cashless basis” in accordance with Section 3(a)(9) of the Securities Act and, in the event we so elect, we will not be required to file or maintain in effect a registration statement, but will use our reasonable best efforts to qualify the shares under applicable blue sky laws to the extent an exemption is not available.</w:t>
      </w:r>
    </w:p>
    <w:p>
      <w:pPr>
        <w:spacing w:after="0" w:line="182" w:lineRule="exact"/>
        <w:rPr>
          <w:sz w:val="20"/>
          <w:szCs w:val="20"/>
          <w:color w:val="auto"/>
        </w:rPr>
      </w:pPr>
    </w:p>
    <w:p>
      <w:pPr>
        <w:ind w:left="340"/>
        <w:spacing w:after="0"/>
        <w:rPr>
          <w:sz w:val="20"/>
          <w:szCs w:val="20"/>
          <w:color w:val="auto"/>
        </w:rPr>
      </w:pPr>
      <w:r>
        <w:rPr>
          <w:rFonts w:ascii="Arial" w:cs="Arial" w:eastAsia="Arial" w:hAnsi="Arial"/>
          <w:sz w:val="22"/>
          <w:szCs w:val="22"/>
          <w:color w:val="auto"/>
        </w:rPr>
        <w:t>Once the warrants become exercisable, we may redeem the warrants for redemption: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620" w:gutter="0" w:footer="0" w:header="0"/>
        </w:sectPr>
      </w:pPr>
    </w:p>
    <w:bookmarkStart w:id="110" w:name="page111"/>
    <w:bookmarkEnd w:id="110"/>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at a price of $0.01 per warrant;</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upon not less than 30 days’ prior written notice of redemption (the “30-day redemption period”) to each warrant holder; and</w:t>
      </w:r>
    </w:p>
    <w:p>
      <w:pPr>
        <w:spacing w:after="0" w:line="252" w:lineRule="exact"/>
        <w:rPr>
          <w:rFonts w:ascii="Arial" w:cs="Arial" w:eastAsia="Arial" w:hAnsi="Arial"/>
          <w:sz w:val="18"/>
          <w:szCs w:val="18"/>
          <w:color w:val="auto"/>
        </w:rPr>
      </w:pPr>
    </w:p>
    <w:p>
      <w:pPr>
        <w:ind w:left="660" w:right="320" w:hanging="328"/>
        <w:spacing w:after="0" w:line="286" w:lineRule="auto"/>
        <w:tabs>
          <w:tab w:leader="none" w:pos="660" w:val="left"/>
        </w:tabs>
        <w:numPr>
          <w:ilvl w:val="0"/>
          <w:numId w:val="47"/>
        </w:numPr>
        <w:rPr>
          <w:rFonts w:ascii="Arial" w:cs="Arial" w:eastAsia="Arial" w:hAnsi="Arial"/>
          <w:sz w:val="17"/>
          <w:szCs w:val="17"/>
          <w:color w:val="auto"/>
        </w:rPr>
      </w:pPr>
      <w:r>
        <w:rPr>
          <w:rFonts w:ascii="Arial" w:cs="Arial" w:eastAsia="Arial" w:hAnsi="Arial"/>
          <w:sz w:val="17"/>
          <w:szCs w:val="17"/>
          <w:color w:val="auto"/>
        </w:rPr>
        <w:t>if, and only if, the last reported sale price of the Class A ordinary shares equals or exceeds $18.00 per share (as adjusted for share splits, share dividends, rights issuances, subdivisions, reorganizations, recapitalizations and the like) for any 20 trading days within a 30-trading day period ending on the third trading day prior to the date we send the notice of redemption to the warrant holders.</w:t>
      </w:r>
    </w:p>
    <w:p>
      <w:pPr>
        <w:spacing w:after="0" w:line="185" w:lineRule="exact"/>
        <w:rPr>
          <w:sz w:val="20"/>
          <w:szCs w:val="20"/>
          <w:color w:val="auto"/>
        </w:rPr>
      </w:pPr>
    </w:p>
    <w:p>
      <w:pPr>
        <w:ind w:firstLine="324"/>
        <w:spacing w:after="0" w:line="235" w:lineRule="auto"/>
        <w:rPr>
          <w:sz w:val="20"/>
          <w:szCs w:val="20"/>
          <w:color w:val="auto"/>
        </w:rPr>
      </w:pPr>
      <w:r>
        <w:rPr>
          <w:rFonts w:ascii="Arial" w:cs="Arial" w:eastAsia="Arial" w:hAnsi="Arial"/>
          <w:sz w:val="22"/>
          <w:szCs w:val="22"/>
          <w:color w:val="auto"/>
        </w:rPr>
        <w:t>We will not redeem the warrants unless a registration statement under the Securities Act covering the issuance of the Class A ordinary shares issuable upon exercise of the warrants is then effective and a current prospectus relating to those Class A ordinary shares is available throughout the 30-day redemption period, except if the warrants may be exercised on a cashless basis and such cashless exercise is exempt from registration under the Securities Act. If and when the warrants become redeemable by us, we may exercise our redemption right even if we are unable to register or qualify the underlying securities for sale under all applicable state securities laws.</w:t>
      </w:r>
    </w:p>
    <w:p>
      <w:pPr>
        <w:spacing w:after="0" w:line="215" w:lineRule="exact"/>
        <w:rPr>
          <w:sz w:val="20"/>
          <w:szCs w:val="20"/>
          <w:color w:val="auto"/>
        </w:rPr>
      </w:pPr>
    </w:p>
    <w:p>
      <w:pPr>
        <w:ind w:right="60" w:firstLine="324"/>
        <w:spacing w:after="0" w:line="249" w:lineRule="auto"/>
        <w:rPr>
          <w:sz w:val="20"/>
          <w:szCs w:val="20"/>
          <w:color w:val="auto"/>
        </w:rPr>
      </w:pPr>
      <w:r>
        <w:rPr>
          <w:rFonts w:ascii="Arial" w:cs="Arial" w:eastAsia="Arial" w:hAnsi="Arial"/>
          <w:sz w:val="21"/>
          <w:szCs w:val="21"/>
          <w:color w:val="auto"/>
        </w:rPr>
        <w:t>We have established the last of the redemption criterion discussed above to prevent a redemption call unless there is at the time of the call a significant premium to the warrant exercise price. If the foregoing conditions are satisfied and we issue a notice of redemption of the warrants, each warrant holder will be entitled to exercise his, her or its warrant prior to the scheduled redemption date. However, the price of the Class A ordinary shares may fall below the $18.00 redemption trigger price as well as the $11.50 warrant exercise price after the redemption notice is issued.</w:t>
      </w:r>
    </w:p>
    <w:p>
      <w:pPr>
        <w:spacing w:after="0" w:line="205" w:lineRule="exact"/>
        <w:rPr>
          <w:sz w:val="20"/>
          <w:szCs w:val="20"/>
          <w:color w:val="auto"/>
        </w:rPr>
      </w:pPr>
    </w:p>
    <w:p>
      <w:pPr>
        <w:ind w:right="60" w:firstLine="324"/>
        <w:spacing w:after="0" w:line="270" w:lineRule="auto"/>
        <w:rPr>
          <w:sz w:val="20"/>
          <w:szCs w:val="20"/>
          <w:color w:val="auto"/>
        </w:rPr>
      </w:pPr>
      <w:r>
        <w:rPr>
          <w:rFonts w:ascii="Arial" w:cs="Arial" w:eastAsia="Arial" w:hAnsi="Arial"/>
          <w:sz w:val="19"/>
          <w:szCs w:val="19"/>
          <w:color w:val="auto"/>
        </w:rPr>
        <w:t>If we call the warrants for redemption as described above, our management will have the option to require any holder that wishes to exercise his, her or its warrant to do so on a “cashless basis.” In determining whether to require all holders to exercise their warrants on a “cashless basis,” our management will consider, among other factors, our cash position, the number of warrants that are outstanding and the dilutive effect on our shareholders of issuing the maximum number of Class A ordinary shares issuable upon the exercise of our warrants. If our management takes advantage of this option, all holders of warrants would pay the exercise price by surrendering their warrants for that number of Class A ordinary shares equal to the quotient obtained by dividing (x) the product of the number of Class A ordinary shares underlying the warrants, multiplied by the excess of the “fair market value” (defined below) over the exercise price of the warrants by (y) the fair market value. The “fair market value” shall mean the average last reported sale price of the Class A ordinary shares for the 10 trading days ending on the third trading day prior to the date on which the notice of redemption is sent to the holders of warrants. If our management takes advantage of this option, the notice of redemption will contain the information necessary to calculate the number of Class A ordinary shares to be received upon exercise of the warrants, including the “fair market value” in such case. Requiring a cashless exercise in this manner will reduce the number of shares to be issued and thereby lessen the dilutive effect of a warrant redemption. We believe this feature is an attractive option to us if we do not need the cash from the exercise of the warrants after our initial business combination. If we call our warrants for redemption and our management does not take advantage of this option, our sponsor and its permitted transferees would still be entitled to exercise their private placement warrants for cash or on a cashless basis using the same formula described above that other warrant holders would have been required to use had all warrant holders been required to exercise their warrants on a cashless basis, as described in more detail below.</w:t>
      </w:r>
    </w:p>
    <w:p>
      <w:pPr>
        <w:spacing w:after="0" w:line="193" w:lineRule="exact"/>
        <w:rPr>
          <w:sz w:val="20"/>
          <w:szCs w:val="20"/>
          <w:color w:val="auto"/>
        </w:rPr>
      </w:pPr>
    </w:p>
    <w:p>
      <w:pPr>
        <w:ind w:right="20" w:firstLine="324"/>
        <w:spacing w:after="0" w:line="287" w:lineRule="auto"/>
        <w:rPr>
          <w:sz w:val="20"/>
          <w:szCs w:val="20"/>
          <w:color w:val="auto"/>
        </w:rPr>
      </w:pPr>
      <w:r>
        <w:rPr>
          <w:rFonts w:ascii="Arial" w:cs="Arial" w:eastAsia="Arial" w:hAnsi="Arial"/>
          <w:sz w:val="19"/>
          <w:szCs w:val="19"/>
          <w:color w:val="auto"/>
        </w:rPr>
        <w:t>A holder of a warrant may notify us in writing in the event it elects to be subject to a requirement that such holder will not have the right to exercise such warrant, to the extent that after giving effect to such exercise, such person (together with such person’s affiliates), to the warrant agent’s actual knowledge, would beneficially own in excess of 9.8% (or such other amount as a holder may specify) of the Class A ordinary shares issued and outstanding immediately after giving effect to such exercise.</w:t>
      </w:r>
    </w:p>
    <w:p>
      <w:pPr>
        <w:spacing w:after="0" w:line="170" w:lineRule="exact"/>
        <w:rPr>
          <w:sz w:val="20"/>
          <w:szCs w:val="20"/>
          <w:color w:val="auto"/>
        </w:rPr>
      </w:pPr>
    </w:p>
    <w:p>
      <w:pPr>
        <w:ind w:firstLine="324"/>
        <w:spacing w:after="0" w:line="272" w:lineRule="auto"/>
        <w:rPr>
          <w:sz w:val="20"/>
          <w:szCs w:val="20"/>
          <w:color w:val="auto"/>
        </w:rPr>
      </w:pPr>
      <w:r>
        <w:rPr>
          <w:rFonts w:ascii="Arial" w:cs="Arial" w:eastAsia="Arial" w:hAnsi="Arial"/>
          <w:sz w:val="19"/>
          <w:szCs w:val="19"/>
          <w:color w:val="auto"/>
        </w:rPr>
        <w:t>If the number of issued and outstanding ordinary shares is increased by a capitalization or share dividend payable in ordinary shares, or by a split-up of ordinary shares or other similar event, then, on the effective date of such share dividend, split-up or similar event, the number of Class A ordinary shares issuable on exercise of each warrant will be increased in proportion to such increase in the issued and outstanding ordinary shares. A rights offering to holders of ordinary shares entitling holders to purchase ordinary shares at a price less than the fair market value will be deemed a share dividend of a number of ordinary shares equal to the product of (1) the number of ordinary shares actually sold in such rights offering (or issuable under any other equity securities sold in such rights offering that are convertible into or exercisable for ordinary shares) multiplied by (2) one minus the quotient of (x) the price per ordinary share paid in such rights offering divided by (y) the fair market value. For these purposes (1) if the rights offering is for securities convertible into or exercisable for Class A ordinary shares, in determining the price payable for Class A ordinary shares, there will be taken into account any consideration received for such rights, as well as any additional amount payable upon exercise or conversion and (2) fair market value means the volume weighted average price of Class A ordinary shares as reported during the 10 trading day period ending on the trading day prior to the first date on which the Class A ordinary shares trade on the applicable exchange or in the applicable market, regular way, without the right to receive such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241300</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1" w:name="page112"/>
    <w:bookmarkEnd w:id="111"/>
    <w:p>
      <w:pPr>
        <w:ind w:firstLine="324"/>
        <w:spacing w:after="0" w:line="244" w:lineRule="auto"/>
        <w:rPr>
          <w:sz w:val="20"/>
          <w:szCs w:val="20"/>
          <w:color w:val="auto"/>
        </w:rPr>
      </w:pPr>
      <w:r>
        <w:rPr>
          <w:rFonts w:ascii="Arial" w:cs="Arial" w:eastAsia="Arial" w:hAnsi="Arial"/>
          <w:sz w:val="21"/>
          <w:szCs w:val="21"/>
          <w:color w:val="auto"/>
        </w:rPr>
        <w:t>In addition, if we, at any time while the warrants are outstanding and unexpired, pay a dividend or make a distribution in cash, securities or other assets to the holders of Class A ordinary shares on account of such Class A ordinary shares (or other securities into which the warrants are convertible), other than (a) as described above, (b) certain ordinary cash dividends, (c) to satisfy the redemption rights of the holders of Class A ordinary shares in connection with a proposed initial business combination, (d) to satisfy the redemption rights of the holders of Class A ordinary shares in connection with a shareholder vote to amend our amended and restated memorandum and articles of association (i) to modify the substance or timing of our obligation to redeem 100% of our public shares if we do not complete our initial business combination within 18 months from the closing of our initial public offering or (ii) with respect to any other provision relating to shareholders’ rights or pre-initial business combination activity, or (e) in connection with the redemption of our public shares upon our failure to complete our initial business combination, then the warrant exercise price will be decreased, effective immediately after the effective date of such event, by the amount of cash and/or the fair market value of any securities or other assets paid on each Class A ordinary share in respect of such event.</w:t>
      </w:r>
    </w:p>
    <w:p>
      <w:pPr>
        <w:spacing w:after="0" w:line="213" w:lineRule="exact"/>
        <w:rPr>
          <w:sz w:val="20"/>
          <w:szCs w:val="20"/>
          <w:color w:val="auto"/>
        </w:rPr>
      </w:pPr>
    </w:p>
    <w:p>
      <w:pPr>
        <w:ind w:right="200" w:firstLine="324"/>
        <w:spacing w:after="0" w:line="287" w:lineRule="auto"/>
        <w:rPr>
          <w:sz w:val="20"/>
          <w:szCs w:val="20"/>
          <w:color w:val="auto"/>
        </w:rPr>
      </w:pPr>
      <w:r>
        <w:rPr>
          <w:rFonts w:ascii="Arial" w:cs="Arial" w:eastAsia="Arial" w:hAnsi="Arial"/>
          <w:sz w:val="19"/>
          <w:szCs w:val="19"/>
          <w:color w:val="auto"/>
        </w:rPr>
        <w:t>If the number of issued and outstanding Class A ordinary shares is decreased by a consolidation, combination, reverse share split or reclassification of Class A ordinary shares or other similar event, then, on the effective date of such consolidation, combination, reverse share split, reclassification or similar event, the number of Class A ordinary shares issuable on exercise of each warrant will be decreased in proportion to such decrease in issued and outstanding Class A ordinary shares.</w:t>
      </w:r>
    </w:p>
    <w:p>
      <w:pPr>
        <w:spacing w:after="0" w:line="170" w:lineRule="exact"/>
        <w:rPr>
          <w:sz w:val="20"/>
          <w:szCs w:val="20"/>
          <w:color w:val="auto"/>
        </w:rPr>
      </w:pPr>
    </w:p>
    <w:p>
      <w:pPr>
        <w:ind w:right="60" w:firstLine="324"/>
        <w:spacing w:after="0" w:line="236" w:lineRule="auto"/>
        <w:rPr>
          <w:sz w:val="20"/>
          <w:szCs w:val="20"/>
          <w:color w:val="auto"/>
        </w:rPr>
      </w:pPr>
      <w:r>
        <w:rPr>
          <w:rFonts w:ascii="Arial" w:cs="Arial" w:eastAsia="Arial" w:hAnsi="Arial"/>
          <w:sz w:val="22"/>
          <w:szCs w:val="22"/>
          <w:color w:val="auto"/>
        </w:rPr>
        <w:t>Whenever the number of Class A ordinary shares purchasable upon the exercise of the warrants is adjusted, as described above, the warrant exercise price will be adjusted by multiplying the warrant exercise price immediately prior to such adjustment by a fraction (x) the numerator of which will be the number of Class A ordinary shares purchasable upon the exercise of the warrants immediately prior to such adjustment, and (y) the denominator of which will be the number of Class A ordinary shares so purchasable immediately thereafter.</w:t>
      </w:r>
    </w:p>
    <w:p>
      <w:pPr>
        <w:spacing w:after="0" w:line="214" w:lineRule="exact"/>
        <w:rPr>
          <w:sz w:val="20"/>
          <w:szCs w:val="20"/>
          <w:color w:val="auto"/>
        </w:rPr>
      </w:pPr>
    </w:p>
    <w:p>
      <w:pPr>
        <w:ind w:right="40" w:firstLine="324"/>
        <w:spacing w:after="0" w:line="273" w:lineRule="auto"/>
        <w:rPr>
          <w:sz w:val="20"/>
          <w:szCs w:val="20"/>
          <w:color w:val="auto"/>
        </w:rPr>
      </w:pPr>
      <w:r>
        <w:rPr>
          <w:rFonts w:ascii="Arial" w:cs="Arial" w:eastAsia="Arial" w:hAnsi="Arial"/>
          <w:sz w:val="19"/>
          <w:szCs w:val="19"/>
          <w:color w:val="auto"/>
        </w:rPr>
        <w:t>In addition, if (x) we issue additional Class A ordinary shares or equity-linked securities for capital raising purposes in connection with the closing of our initial business combination at a Newly Issued Price of less than $9.20 per Class A ordinary share (with such issue price or effective issue price to be determined in good faith by our board of directors and, in the case of any such issuance to our sponsor or its affiliates, without taking into account any founder shares held by our sponsor or such affiliates, as applicable, prior to such issuance), (y) the aggregate gross proceeds from such issuances represent more than 60% of the total equity proceeds, and interest thereon, available for the funding of our initial business combination on the date of the completion of our initial business combination (net of redemptions), and (z) the Market Value is below $9.20 per share, the exercise price of the warrants will be adjusted (to the nearest cent) to be equal to 115% of the higher of the Market Value and the Newly Issued Price, and the $18.00 per share redemption trigger price described above will be adjusted (to the nearest cent) to be equal to 180% of the higher of the Market Value and the Newly Issued Price.</w:t>
      </w:r>
    </w:p>
    <w:p>
      <w:pPr>
        <w:spacing w:after="0" w:line="188" w:lineRule="exact"/>
        <w:rPr>
          <w:sz w:val="20"/>
          <w:szCs w:val="20"/>
          <w:color w:val="auto"/>
        </w:rPr>
      </w:pPr>
    </w:p>
    <w:p>
      <w:pPr>
        <w:ind w:right="20" w:firstLine="324"/>
        <w:spacing w:after="0" w:line="268" w:lineRule="auto"/>
        <w:rPr>
          <w:sz w:val="20"/>
          <w:szCs w:val="20"/>
          <w:color w:val="auto"/>
        </w:rPr>
      </w:pPr>
      <w:r>
        <w:rPr>
          <w:rFonts w:ascii="Arial" w:cs="Arial" w:eastAsia="Arial" w:hAnsi="Arial"/>
          <w:sz w:val="19"/>
          <w:szCs w:val="19"/>
          <w:color w:val="auto"/>
        </w:rPr>
        <w:t>In case of any reclassification or reorganization of the issued and outstanding Class A ordinary shares (other than those described above or that solely affects the par value of such Class A ordinary shares), or in the case of any merger or consolidation of us with or into another corporation (other than a consolidation or merger in which we are the continuing corporation and that does not result in any reclassification or reorganization of our issued and outstanding Class A ordinary shares), or in the case of any sale or conveyance to another corporation or entity of the assets or other property of us as an entirety or substantially as an entirety in connection with which we are dissolved, the holders of the warrants will thereafter have the right to purchase and receive, upon the basis and upon the terms and conditions specified in the warrants and in lieu of our Class A ordinary shares immediately theretofore purchasable and receivable upon the exercise of the rights represented thereby, the kind and amount of shares of stock or other securities or property (including cash) receivable upon such reclassification, reorganization, merger or consolidation, or upon a dissolution following any such sale or transfer, that the holder of the warrants would have received if such holder had exercised their warrants immediately prior to such event. However, if such holders were entitled to exercise a right of election as to the kind or amount of securities, cash or other assets receivable upon such consolidation or merger, then the kind and amount of securities, cash or other assets for which each warrant will become exercisable will be deemed to be the weighted average of the kind and amount received per share by such holders in such consolidation or merger that affirmatively make such election, and if a tender, exchange or redemption offer has been made to and accepted by such holders (other than a tender, exchange or redemption offer made by the company in connection with redemption rights held by shareholders of the company as provided for in the company’s amended and restated memorandum and articles of association or as a result of the redemption of Class A ordinary shares by the company if a proposed initial business combination is presented to the shareholders of the company for approval) under circumstances in which, upon completion of such tender or exchange offer, the maker thereof, together with members of any group (within the meaning of Rule 13d-5(b)(1) under the Exchange Act) of which such maker is a part, and together with any affiliate or associate of such maker (within the meaning of Rule 12b-2 under the Exchange Act) and any members of any such group of which any such affiliate or associate is a part, own beneficially (within the meaning of Rule 13d-3 under the Exchange Act) more than 50% of the issued and outstanding ordinary shares, the holder of a warrant will be entitled to receive the highest amount of cash, securities or other property to which such holder would actually have been entitled as a shareholder if such warrant holder had exercised the warrant prior to the expiration of such tender or exchange offer, accepted such offer and all of the Class A ordinary shares held by such holder had been purchased pursuant to such tender or exchange offer, subject to adjustment (from and after the consummation of such tender or exchange offer) as nearly equivalent as possible to the adjustments provided for in the warrant agreement. Additionally, if less than 70% of the consideration receivable by the holders of Class A ordinary shares in such a transaction is payable in the form of ordinary shares in the successor entity that is listed for trading on a national securities exchange or is quoted in an established over-the-counter market, or is to be so listed for trading or quoted immediately following such event, and if the registered holder of the warrant properly exercises the warrant within 30 days following public disclosure of such transaction, the warrant exercise price will be reduced as specified in</w:t>
      </w:r>
    </w:p>
    <w:p>
      <w:pPr>
        <w:sectPr>
          <w:pgSz w:w="11900" w:h="16838" w:orient="portrait"/>
          <w:cols w:equalWidth="0" w:num="1">
            <w:col w:w="11240"/>
          </w:cols>
          <w:pgMar w:left="320" w:top="118" w:right="339" w:bottom="0" w:gutter="0" w:footer="0" w:header="0"/>
        </w:sectPr>
      </w:pPr>
    </w:p>
    <w:bookmarkStart w:id="112" w:name="page113"/>
    <w:bookmarkEnd w:id="112"/>
    <w:p>
      <w:pPr>
        <w:spacing w:after="0" w:line="251" w:lineRule="auto"/>
        <w:rPr>
          <w:sz w:val="20"/>
          <w:szCs w:val="20"/>
          <w:color w:val="auto"/>
        </w:rPr>
      </w:pPr>
      <w:r>
        <w:rPr>
          <w:rFonts w:ascii="Arial" w:cs="Arial" w:eastAsia="Arial" w:hAnsi="Arial"/>
          <w:sz w:val="22"/>
          <w:szCs w:val="22"/>
          <w:color w:val="auto"/>
        </w:rPr>
        <w:t>the warrant agreement based on the per share consideration minus Black-Scholes Warrant Value (as defined in the warrant agreement) of the warrant.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252095</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60"/>
          </w:cols>
          <w:pgMar w:left="320" w:top="118" w:right="1019" w:bottom="1440" w:gutter="0" w:footer="0" w:header="0"/>
        </w:sectPr>
      </w:pPr>
    </w:p>
    <w:bookmarkStart w:id="113" w:name="page114"/>
    <w:bookmarkEnd w:id="113"/>
    <w:p>
      <w:pPr>
        <w:ind w:right="60" w:firstLine="324"/>
        <w:spacing w:after="0" w:line="236" w:lineRule="auto"/>
        <w:rPr>
          <w:sz w:val="20"/>
          <w:szCs w:val="20"/>
          <w:color w:val="auto"/>
        </w:rPr>
      </w:pPr>
      <w:r>
        <w:rPr>
          <w:rFonts w:ascii="Arial" w:cs="Arial" w:eastAsia="Arial" w:hAnsi="Arial"/>
          <w:sz w:val="22"/>
          <w:szCs w:val="22"/>
          <w:color w:val="auto"/>
        </w:rPr>
        <w:t>The warrants are issued in registered form under a warrant agreement between Continental Stock Transfer &amp; Trust Company, as warrant agent, and us. The warrant agreement provides that the terms of the warrants may be amended without the consent of any holder to cure any ambiguity or correct any defective provision, but requires the approval by the holders of at least 65% of the then issued and outstanding public warrants to make any change that adversely affects the interests of the registered holders of public warrants.</w:t>
      </w:r>
    </w:p>
    <w:p>
      <w:pPr>
        <w:spacing w:after="0" w:line="215" w:lineRule="exact"/>
        <w:rPr>
          <w:sz w:val="20"/>
          <w:szCs w:val="20"/>
          <w:color w:val="auto"/>
        </w:rPr>
      </w:pPr>
    </w:p>
    <w:p>
      <w:pPr>
        <w:ind w:right="20" w:firstLine="324"/>
        <w:spacing w:after="0" w:line="246" w:lineRule="auto"/>
        <w:rPr>
          <w:sz w:val="20"/>
          <w:szCs w:val="20"/>
          <w:color w:val="auto"/>
        </w:rPr>
      </w:pPr>
      <w:r>
        <w:rPr>
          <w:rFonts w:ascii="Arial" w:cs="Arial" w:eastAsia="Arial" w:hAnsi="Arial"/>
          <w:sz w:val="21"/>
          <w:szCs w:val="21"/>
          <w:color w:val="auto"/>
        </w:rPr>
        <w:t>The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(or on a cashless basis, if applicable), by certified or official bank check payable to us, for the number of warrants being exercised. The warrant holders do not have the rights or privileges of holders of ordinary shares and any voting rights until they exercise their warrants and receive Class A ordinary shares. After the issuance of Class A ordinary shares upon exercise of the warrants, each holder will be entitled to one vote for each share held of record on all matters to be voted on by shareholders.</w:t>
      </w: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Private Placement Warrants</w:t>
      </w:r>
    </w:p>
    <w:p>
      <w:pPr>
        <w:spacing w:after="0" w:line="233" w:lineRule="exact"/>
        <w:rPr>
          <w:sz w:val="20"/>
          <w:szCs w:val="20"/>
          <w:color w:val="auto"/>
        </w:rPr>
      </w:pPr>
    </w:p>
    <w:p>
      <w:pPr>
        <w:ind w:right="60" w:firstLine="324"/>
        <w:spacing w:after="0" w:line="274" w:lineRule="auto"/>
        <w:rPr>
          <w:sz w:val="20"/>
          <w:szCs w:val="20"/>
          <w:color w:val="auto"/>
        </w:rPr>
      </w:pPr>
      <w:r>
        <w:rPr>
          <w:rFonts w:ascii="Arial" w:cs="Arial" w:eastAsia="Arial" w:hAnsi="Arial"/>
          <w:sz w:val="19"/>
          <w:szCs w:val="19"/>
          <w:color w:val="auto"/>
        </w:rPr>
        <w:t>The private placement warrants (including the Class A ordinary shares issuable upon exercise of the private placement warrants) are not be transferable, assignable or salable until 30 days after the completion of our initial business combination (except, among other limited exceptions, to our officers and directors and other persons or entities affiliated with our sponsor) and they are not be redeemable by us so long as they are held by our sponsor or its permitted transferees. Our sponsor, as well as its permitted transferees, have the option to exercise the private placement warrants on a cashless basis and will have certain registration rights related to such private placement warrants. Otherwise, the private placement warrants have terms and provisions that are identical to those of the warrants being sold as part of the units in our initial public offering. If the private placement warrants are held by holders other than our sponsor or its permitted transferees, the private placement warrants will be redeemable by us and exercisable by the holders on the same basis as the warrants included in the units being sold in our initial public offering.</w:t>
      </w:r>
    </w:p>
    <w:p>
      <w:pPr>
        <w:spacing w:after="0" w:line="200" w:lineRule="exact"/>
        <w:rPr>
          <w:sz w:val="20"/>
          <w:szCs w:val="20"/>
          <w:color w:val="auto"/>
        </w:rPr>
      </w:pPr>
    </w:p>
    <w:p>
      <w:pPr>
        <w:spacing w:after="0" w:line="228" w:lineRule="exact"/>
        <w:rPr>
          <w:sz w:val="20"/>
          <w:szCs w:val="20"/>
          <w:color w:val="auto"/>
        </w:rPr>
      </w:pPr>
    </w:p>
    <w:p>
      <w:pPr>
        <w:ind w:firstLine="324"/>
        <w:spacing w:after="0" w:line="271" w:lineRule="auto"/>
        <w:rPr>
          <w:sz w:val="20"/>
          <w:szCs w:val="20"/>
          <w:color w:val="auto"/>
        </w:rPr>
      </w:pPr>
      <w:r>
        <w:rPr>
          <w:rFonts w:ascii="Arial" w:cs="Arial" w:eastAsia="Arial" w:hAnsi="Arial"/>
          <w:sz w:val="19"/>
          <w:szCs w:val="19"/>
          <w:color w:val="auto"/>
        </w:rPr>
        <w:t>If holders of the private placement warrants elect to exercise them on a cashless basis, they would pay the exercise price by surrendering his, her or its warrants for that number of Class A ordinary shares equal to the quotient obtained by dividing (x) the product of the number of Class A ordinary shares underlying the warrants, multiplied by the excess of the “fair market value” (defined below) over the exercise price of the warrants by (y) the fair market value. The “fair market value” shall mean the average last reported sale price of the Class A ordinary shares for the 10 trading days ending on the third trading day prior to the date on which the notice of warrant exercise is sent to the warrant agent. The reason that we have agreed that these warrants will be exercisable on a cashless basis so long as they are held by our sponsor and its permitted transferees is because it is not known at this time whether they will be affiliated with us following a business combination. If they remain affiliated with us, their ability to sell our securities in the open market will be significantly limited. We expect to have policies in place that prohibit insiders from selling our securities except during specific periods of time. Even during such periods of time when insiders will be permitted to sell our securities, an insider cannot trade in our securities if he or she is in possession of material non-public information. Accordingly, unlike public shareholders who could exercise their warrants and sell the Class A ordinary shares received upon such exercise freely in the open market in order to recoup the cost of such exercise, the insiders could be significantly restricted from selling such securities. As a result, we believe that allowing the holders to exercise such warrants on a cashless basis is appropriate.</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Dividends</w:t>
      </w:r>
    </w:p>
    <w:p>
      <w:pPr>
        <w:spacing w:after="0" w:line="239" w:lineRule="exact"/>
        <w:rPr>
          <w:sz w:val="20"/>
          <w:szCs w:val="20"/>
          <w:color w:val="auto"/>
        </w:rPr>
      </w:pPr>
    </w:p>
    <w:p>
      <w:pPr>
        <w:ind w:right="40" w:firstLine="324"/>
        <w:spacing w:after="0" w:line="234" w:lineRule="auto"/>
        <w:rPr>
          <w:sz w:val="20"/>
          <w:szCs w:val="20"/>
          <w:color w:val="auto"/>
        </w:rPr>
      </w:pPr>
      <w:r>
        <w:rPr>
          <w:rFonts w:ascii="Arial" w:cs="Arial" w:eastAsia="Arial" w:hAnsi="Arial"/>
          <w:sz w:val="22"/>
          <w:szCs w:val="22"/>
          <w:color w:val="auto"/>
        </w:rPr>
        <w:t>We have not paid any cash dividends on our ordinary shares to date and do not intend to pay cash dividends prior to the completion of our initial business combination. The payment of cash dividends in the future will be dependent upon our revenues and earnings, if any, capital requirements and general financial condition subsequent to completion of our initial business combination. The payment of any cash dividends subsequent to our initial business combination will be within the discretion of our board of directors at such time. In addition, our board of directors is not currently contemplating and does not anticipate declaring any share dividends in the foreseeable future. Further, if we incur any indebtedness in connection with our initial business combination, our ability to declare dividends may be limited by restrictive covenants we may agree to in connection therewith.</w:t>
      </w:r>
    </w:p>
    <w:p>
      <w:pPr>
        <w:spacing w:after="0" w:line="20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Our Transfer Agent and Warrant Agent</w:t>
      </w:r>
    </w:p>
    <w:p>
      <w:pPr>
        <w:spacing w:after="0" w:line="239" w:lineRule="exact"/>
        <w:rPr>
          <w:sz w:val="20"/>
          <w:szCs w:val="20"/>
          <w:color w:val="auto"/>
        </w:rPr>
      </w:pPr>
    </w:p>
    <w:p>
      <w:pPr>
        <w:ind w:firstLine="324"/>
        <w:spacing w:after="0" w:line="282" w:lineRule="auto"/>
        <w:rPr>
          <w:sz w:val="20"/>
          <w:szCs w:val="20"/>
          <w:color w:val="auto"/>
        </w:rPr>
      </w:pPr>
      <w:r>
        <w:rPr>
          <w:rFonts w:ascii="Arial" w:cs="Arial" w:eastAsia="Arial" w:hAnsi="Arial"/>
          <w:sz w:val="19"/>
          <w:szCs w:val="19"/>
          <w:color w:val="auto"/>
        </w:rPr>
        <w:t>The transfer agent for our ordinary shares and warrant agent for our warrants is Continental Stock Transfer &amp; Trust Company. We have agreed to indemnify Continental Stock Transfer &amp; Trust Company in its roles as transfer agent and warrant agent, its agents and each of its shareholders, directors, officers and employees against all liabilities, including judgments, costs and reasonable counsel fees that may arise out of acts performed or omitted for its activities in that capacity, except for any liability due to any gross negligence, willful misconduct or bad faith of the indemnified person or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235585</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14" w:name="page115"/>
    <w:bookmarkEnd w:id="114"/>
    <w:p>
      <w:pPr>
        <w:spacing w:after="0"/>
        <w:rPr>
          <w:sz w:val="20"/>
          <w:szCs w:val="20"/>
          <w:color w:val="auto"/>
        </w:rPr>
      </w:pPr>
      <w:r>
        <w:rPr>
          <w:rFonts w:ascii="Arial" w:cs="Arial" w:eastAsia="Arial" w:hAnsi="Arial"/>
          <w:sz w:val="22"/>
          <w:szCs w:val="22"/>
          <w:b w:val="1"/>
          <w:bCs w:val="1"/>
          <w:color w:val="auto"/>
        </w:rPr>
        <w:t>Certain Differences in Corporate Law</w:t>
      </w:r>
    </w:p>
    <w:p>
      <w:pPr>
        <w:spacing w:after="0" w:line="240" w:lineRule="exact"/>
        <w:rPr>
          <w:sz w:val="20"/>
          <w:szCs w:val="20"/>
          <w:color w:val="auto"/>
        </w:rPr>
      </w:pPr>
    </w:p>
    <w:p>
      <w:pPr>
        <w:ind w:right="160" w:firstLine="324"/>
        <w:spacing w:after="0" w:line="287" w:lineRule="auto"/>
        <w:rPr>
          <w:sz w:val="20"/>
          <w:szCs w:val="20"/>
          <w:color w:val="auto"/>
        </w:rPr>
      </w:pPr>
      <w:r>
        <w:rPr>
          <w:rFonts w:ascii="Arial" w:cs="Arial" w:eastAsia="Arial" w:hAnsi="Arial"/>
          <w:sz w:val="19"/>
          <w:szCs w:val="19"/>
          <w:color w:val="auto"/>
        </w:rPr>
        <w:t>Cayman Islands companies are governed by the Companies Law. The Companies Law is modeled on English Law but does not follow recent English Law statutory enactments and differs from laws applicable to United States corporations and their shareholders. Set forth below is a summary of the material differences between the provisions of the Companies Law applicable to us and the laws applicable to companies incorporated in the United States and their shareholders.</w:t>
      </w:r>
    </w:p>
    <w:p>
      <w:pPr>
        <w:spacing w:after="0" w:line="170" w:lineRule="exact"/>
        <w:rPr>
          <w:sz w:val="20"/>
          <w:szCs w:val="20"/>
          <w:color w:val="auto"/>
        </w:rPr>
      </w:pPr>
    </w:p>
    <w:p>
      <w:pPr>
        <w:jc w:val="both"/>
        <w:ind w:right="600" w:firstLine="324"/>
        <w:spacing w:after="0" w:line="257" w:lineRule="auto"/>
        <w:rPr>
          <w:sz w:val="20"/>
          <w:szCs w:val="20"/>
          <w:color w:val="auto"/>
        </w:rPr>
      </w:pPr>
      <w:r>
        <w:rPr>
          <w:rFonts w:ascii="Arial" w:cs="Arial" w:eastAsia="Arial" w:hAnsi="Arial"/>
          <w:sz w:val="21"/>
          <w:szCs w:val="21"/>
          <w:i w:val="1"/>
          <w:iCs w:val="1"/>
          <w:color w:val="auto"/>
        </w:rPr>
        <w:t>Mergers and Similar Arrangements</w:t>
      </w:r>
      <w:r>
        <w:rPr>
          <w:rFonts w:ascii="Arial" w:cs="Arial" w:eastAsia="Arial" w:hAnsi="Arial"/>
          <w:sz w:val="21"/>
          <w:szCs w:val="21"/>
          <w:color w:val="auto"/>
        </w:rPr>
        <w:t>. In certain circumstances, the Companies Law allows for mergers or consolidations</w:t>
      </w:r>
      <w:r>
        <w:rPr>
          <w:rFonts w:ascii="Arial" w:cs="Arial" w:eastAsia="Arial" w:hAnsi="Arial"/>
          <w:sz w:val="21"/>
          <w:szCs w:val="21"/>
          <w:i w:val="1"/>
          <w:iCs w:val="1"/>
          <w:color w:val="auto"/>
        </w:rPr>
        <w:t xml:space="preserve"> </w:t>
      </w:r>
      <w:r>
        <w:rPr>
          <w:rFonts w:ascii="Arial" w:cs="Arial" w:eastAsia="Arial" w:hAnsi="Arial"/>
          <w:sz w:val="21"/>
          <w:szCs w:val="21"/>
          <w:color w:val="auto"/>
        </w:rPr>
        <w:t>between two Cayman Islands companies, or between a Cayman Islands exempted company and a company incorporated in another jurisdiction (provided that is facilitated by the laws of that other jurisdiction).</w:t>
      </w:r>
    </w:p>
    <w:p>
      <w:pPr>
        <w:spacing w:after="0" w:line="196" w:lineRule="exact"/>
        <w:rPr>
          <w:sz w:val="20"/>
          <w:szCs w:val="20"/>
          <w:color w:val="auto"/>
        </w:rPr>
      </w:pPr>
    </w:p>
    <w:p>
      <w:pPr>
        <w:ind w:firstLine="324"/>
        <w:spacing w:after="0" w:line="274" w:lineRule="auto"/>
        <w:rPr>
          <w:sz w:val="20"/>
          <w:szCs w:val="20"/>
          <w:color w:val="auto"/>
        </w:rPr>
      </w:pPr>
      <w:r>
        <w:rPr>
          <w:rFonts w:ascii="Arial" w:cs="Arial" w:eastAsia="Arial" w:hAnsi="Arial"/>
          <w:sz w:val="19"/>
          <w:szCs w:val="19"/>
          <w:color w:val="auto"/>
        </w:rPr>
        <w:t>Where the merger or consolidation is between two Cayman Islands companies, the directors of each company must approve a written plan of merger or consolidation containing certain prescribed information. That plan of merger or consolidation must then be authorized by (a) a special resolution (at least a majority of 66 2/3% in value who attend and vote at a general meeting) of the shareholders of each company; and (b) such other authorization, if any, as may be specified in such constituent company’s articles of association. No shareholder resolution is required for a merger between a parent company (i.e., a company that owns at least 90% of the issued shares of each class in a subsidiary company) and its subsidiary company. The consent of each holder of a fixed or floating security interest of a constituent company must be obtained, unless the court waives such requirement. If the Cayman Islands Registrar of Companies is satisfied that the requirements of the Companies Law (which includes certain other formalities) have been complied with, the Registrar of Companies will register the plan of merger or consolidation.</w:t>
      </w:r>
    </w:p>
    <w:p>
      <w:pPr>
        <w:spacing w:after="0" w:line="185" w:lineRule="exact"/>
        <w:rPr>
          <w:sz w:val="20"/>
          <w:szCs w:val="20"/>
          <w:color w:val="auto"/>
        </w:rPr>
      </w:pPr>
    </w:p>
    <w:p>
      <w:pPr>
        <w:ind w:right="20" w:firstLine="324"/>
        <w:spacing w:after="0" w:line="273" w:lineRule="auto"/>
        <w:rPr>
          <w:sz w:val="20"/>
          <w:szCs w:val="20"/>
          <w:color w:val="auto"/>
        </w:rPr>
      </w:pPr>
      <w:r>
        <w:rPr>
          <w:rFonts w:ascii="Arial" w:cs="Arial" w:eastAsia="Arial" w:hAnsi="Arial"/>
          <w:sz w:val="19"/>
          <w:szCs w:val="19"/>
          <w:color w:val="auto"/>
        </w:rPr>
        <w:t>Where the merger or consolidation involves a foreign company, the procedure is similar, save that with respect to the foreign company, the directors of the Cayman Islands exempted company are required to make a declaration to the effect that, having made due enquiry, they are of the opinion that the requirements set out below have been met: (1) that the merger or consolidation is permitted or not prohibited by the constitutional documents of the foreign company and by the laws of the jurisdiction in which the foreign company is incorporated, and that those laws and any requirements of those constitutional documents have been or will be complied with; (2) that no petition or other similar proceeding has been filed and remains outstanding or order made or resolution adopted to wind up or liquidate the foreign company in any jurisdictions; (3) that no receiver, trustee, administrator or other similar person has been appointed in any jurisdiction and is acting in respect of the foreign company, its affairs or its property or any part thereof; and (4) that no scheme, order, compromise or other similar arrangement has been entered into or made in any jurisdiction whereby the rights of creditors of the foreign company are and continue to be suspended or restricted; and (5) there is no other reason why it would be against the public interest to permit the merger or consolidation.</w:t>
      </w:r>
    </w:p>
    <w:p>
      <w:pPr>
        <w:spacing w:after="0" w:line="182" w:lineRule="exact"/>
        <w:rPr>
          <w:sz w:val="20"/>
          <w:szCs w:val="20"/>
          <w:color w:val="auto"/>
        </w:rPr>
      </w:pPr>
    </w:p>
    <w:p>
      <w:pPr>
        <w:ind w:right="60" w:firstLine="324"/>
        <w:spacing w:after="0" w:line="274" w:lineRule="auto"/>
        <w:rPr>
          <w:sz w:val="20"/>
          <w:szCs w:val="20"/>
          <w:color w:val="auto"/>
        </w:rPr>
      </w:pPr>
      <w:r>
        <w:rPr>
          <w:rFonts w:ascii="Arial" w:cs="Arial" w:eastAsia="Arial" w:hAnsi="Arial"/>
          <w:sz w:val="19"/>
          <w:szCs w:val="19"/>
          <w:color w:val="auto"/>
        </w:rPr>
        <w:t>Where the surviving company is the Cayman Islands exempted company, the directors of the Cayman Islands exempted company are further required to make a declaration to the effect that, having made due enquiry, they are of the opinion that the requirements set out below have been met: (1) that the foreign company is able to pay its debts as they fall due and that the merger or consolidated is bona fide and not intended to defraud unsecured creditors of the foreign company; (2) that in respect of the transfer of any security interest granted by the foreign company to the surviving or consolidated company (a) consent or approval to the transfer has been obtained, released or waived; (b) the transfer is permitted by and has been approved in accordance with the constitutional documents of the foreign company; and (c) the laws of the jurisdiction of the foreign company with respect to the transfer have been or will be complied with; and (3) that the foreign company will, upon the merger or consolidation becoming effective, cease to be incorporated, registered or exist under the laws of the relevant foreign jurisdiction.</w:t>
      </w:r>
    </w:p>
    <w:p>
      <w:pPr>
        <w:spacing w:after="0" w:line="185" w:lineRule="exact"/>
        <w:rPr>
          <w:sz w:val="20"/>
          <w:szCs w:val="20"/>
          <w:color w:val="auto"/>
        </w:rPr>
      </w:pPr>
    </w:p>
    <w:p>
      <w:pPr>
        <w:ind w:right="20" w:firstLine="324"/>
        <w:spacing w:after="0" w:line="269" w:lineRule="auto"/>
        <w:rPr>
          <w:sz w:val="20"/>
          <w:szCs w:val="20"/>
          <w:color w:val="auto"/>
        </w:rPr>
      </w:pPr>
      <w:r>
        <w:rPr>
          <w:rFonts w:ascii="Arial" w:cs="Arial" w:eastAsia="Arial" w:hAnsi="Arial"/>
          <w:sz w:val="19"/>
          <w:szCs w:val="19"/>
          <w:color w:val="auto"/>
        </w:rPr>
        <w:t>The Companies Law provides for a right of dissenting shareholders to be paid a payment of the fair value of his or her shares upon their dissenting to the merger or consolidation in certain circumstances if they follow a prescribed procedure. In essence, where such rights apply, that procedure is as follows: (a) the shareholder must give his or her written objection to the merger or consolidation to the constituent company before the vote on the merger or consolidation, including a statement that the shareholder proposes to demand payment for his or her shares if the merger or consolidation is authorized by the vote; (b) within 20 days following the date on which the merger or consolidation is approved by the shareholders, the constituent company must give written notice to each shareholder who made a written objection; (c) a shareholder must within 20 days following receipt of such notice from the constituent company, give the constituent company a written notice of his or her intention to dissent including, among other details, a demand for payment of the fair value of his or her shares; (d) within seven days following the date of the expiration of the period set out in paragraph (b) above or seven days following the date on which the plan of merger or consolidation is filed, whichever is later, the constituent company, the surviving company or the consolidated company must make a written offer to each dissenting shareholder to purchase his or her shares at a price that the company determines is the fair value and if the company and the shareholder agrees to the price within 30 days following the date on which the offer was made, the company must pay the shareholder such amount; and (e) if the company and the shareholder fails to agree to a price within such 30-day period, within 20 days following the date on which such 30-day period expires, the company (and any dissenting shareholder) must file a petition with the Cayman Islands Grand Court to determine the fair value and such petition must be accompanied by a list of the names and addresses of the dissenting shareholders with whom agreements as to the fair value of their shares have not been reached by the company. At the hearing of that petition, the court has the power to determine the fair value of the shares together with a fair rate of interest, if any, to be paid by the company upon the amount determined to be the fair value. Any dissenting shareholder whose name appears on the list filed by the company may participate fully in all proceedings until the determination of fair value is reached. These rights of a dissenting shareholder are not to be available in certain circumstances, for example, to dissenters holding shares of any class in respect of which an open market exists on a recognized stock exchange or recognized interdealer quotation system at the relevant date or where the consideration for such shares to be contributed are shares of any company listed on a national securities exchange or shares of the surviving or consolidated company, or in the context of a parent and subsidiary merger.</w:t>
      </w:r>
    </w:p>
    <w:p>
      <w:pPr>
        <w:sectPr>
          <w:pgSz w:w="11900" w:h="16838" w:orient="portrait"/>
          <w:cols w:equalWidth="0" w:num="1">
            <w:col w:w="11240"/>
          </w:cols>
          <w:pgMar w:left="320" w:top="111" w:right="339" w:bottom="0" w:gutter="0" w:footer="0" w:header="0"/>
        </w:sectPr>
      </w:pPr>
    </w:p>
    <w:bookmarkStart w:id="115" w:name="page116"/>
    <w:bookmarkEnd w:id="115"/>
    <w:p>
      <w:pPr>
        <w:spacing w:after="0" w:line="269"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6" w:name="page117"/>
    <w:bookmarkEnd w:id="116"/>
    <w:p>
      <w:pPr>
        <w:ind w:firstLine="324"/>
        <w:spacing w:after="0" w:line="273" w:lineRule="auto"/>
        <w:rPr>
          <w:sz w:val="20"/>
          <w:szCs w:val="20"/>
          <w:color w:val="auto"/>
        </w:rPr>
      </w:pPr>
      <w:r>
        <w:rPr>
          <w:rFonts w:ascii="Arial" w:cs="Arial" w:eastAsia="Arial" w:hAnsi="Arial"/>
          <w:sz w:val="19"/>
          <w:szCs w:val="19"/>
          <w:color w:val="auto"/>
        </w:rPr>
        <w:t>Moreover, Cayman Islands law also has separate statutory provisions that facilitate the reconstruction or amalgamation of companies in certain circumstances, such schemes of arrangement will generally be more suited for complex mergers or other transactions involving widely held companies, commonly referred to in the Cayman Islands as a “scheme of arrangement” which may be tantamount to a merger. In the event that a merger was sought pursuant to a scheme of arrangement (the procedures of which are more rigorous and take longer to complete than the procedures typically required to consummate a merger in the United States), the arrangement in question must be approved by a majority in number of each class of shareholders and creditors with whom the arrangement is to be made and who must in addition represent three-fourths in value of each such class of shareholders or creditors, as the case may be, that are present and voting either in person or by proxy at a meeting, or meeting summoned for that purpose. The convening of the meetings and subsequently the terms of the arrangement must be sanctioned by the Grand Court of the Cayman Islands. While a dissenting shareholder would have the right to express to the court the view that the transaction should not be approved, the court can be expected to approve the arrangement if it is satisfied that:</w:t>
      </w:r>
    </w:p>
    <w:p>
      <w:pPr>
        <w:spacing w:after="0" w:line="190" w:lineRule="exact"/>
        <w:rPr>
          <w:sz w:val="20"/>
          <w:szCs w:val="20"/>
          <w:color w:val="auto"/>
        </w:rPr>
      </w:pPr>
    </w:p>
    <w:p>
      <w:pPr>
        <w:ind w:left="660" w:right="460" w:hanging="328"/>
        <w:spacing w:after="0" w:line="277"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we are not proposing to act illegally or beyond the scope of our corporate authority and we have complied with the statutory provisions as to majority vote;</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shareholders have been fairly represented at the meeting in question;</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arrangement is such as a business-person would reasonably approve; and</w:t>
      </w:r>
    </w:p>
    <w:p>
      <w:pPr>
        <w:spacing w:after="0" w:line="252" w:lineRule="exact"/>
        <w:rPr>
          <w:rFonts w:ascii="Arial" w:cs="Arial" w:eastAsia="Arial" w:hAnsi="Arial"/>
          <w:sz w:val="18"/>
          <w:szCs w:val="18"/>
          <w:color w:val="auto"/>
        </w:rPr>
      </w:pPr>
    </w:p>
    <w:p>
      <w:pPr>
        <w:ind w:left="660" w:right="160" w:hanging="328"/>
        <w:spacing w:after="0" w:line="277"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arrangement is not one that would more properly be sanctioned under some other provision of the Companies Law or that would amount to a “fraud on the minority.”</w:t>
      </w:r>
    </w:p>
    <w:p>
      <w:pPr>
        <w:spacing w:after="0" w:line="190" w:lineRule="exact"/>
        <w:rPr>
          <w:sz w:val="20"/>
          <w:szCs w:val="20"/>
          <w:color w:val="auto"/>
        </w:rPr>
      </w:pPr>
    </w:p>
    <w:p>
      <w:pPr>
        <w:ind w:right="380" w:firstLine="324"/>
        <w:spacing w:after="0" w:line="297" w:lineRule="auto"/>
        <w:rPr>
          <w:sz w:val="20"/>
          <w:szCs w:val="20"/>
          <w:color w:val="auto"/>
        </w:rPr>
      </w:pPr>
      <w:r>
        <w:rPr>
          <w:rFonts w:ascii="Arial" w:cs="Arial" w:eastAsia="Arial" w:hAnsi="Arial"/>
          <w:sz w:val="19"/>
          <w:szCs w:val="19"/>
          <w:color w:val="auto"/>
        </w:rPr>
        <w:t>If a scheme of arrangement or takeover offer (as described below) is approved, any dissenting shareholder would have no rights comparable to appraisal rights, which would otherwise ordinarily be available to dissenting shareholders of U.S. corporations, providing rights to receive payment in cash for the judicially determined value of the shares.</w:t>
      </w:r>
    </w:p>
    <w:p>
      <w:pPr>
        <w:spacing w:after="0" w:line="161" w:lineRule="exact"/>
        <w:rPr>
          <w:sz w:val="20"/>
          <w:szCs w:val="20"/>
          <w:color w:val="auto"/>
        </w:rPr>
      </w:pPr>
    </w:p>
    <w:p>
      <w:pPr>
        <w:ind w:right="120" w:firstLine="324"/>
        <w:spacing w:after="0" w:line="287" w:lineRule="auto"/>
        <w:rPr>
          <w:sz w:val="20"/>
          <w:szCs w:val="20"/>
          <w:color w:val="auto"/>
        </w:rPr>
      </w:pPr>
      <w:r>
        <w:rPr>
          <w:rFonts w:ascii="Arial" w:cs="Arial" w:eastAsia="Arial" w:hAnsi="Arial"/>
          <w:sz w:val="19"/>
          <w:szCs w:val="19"/>
          <w:i w:val="1"/>
          <w:iCs w:val="1"/>
          <w:color w:val="auto"/>
        </w:rPr>
        <w:t>Squeeze-out Provisions</w:t>
      </w:r>
      <w:r>
        <w:rPr>
          <w:rFonts w:ascii="Arial" w:cs="Arial" w:eastAsia="Arial" w:hAnsi="Arial"/>
          <w:sz w:val="19"/>
          <w:szCs w:val="19"/>
          <w:color w:val="auto"/>
        </w:rPr>
        <w:t>. When a takeover offer is made and accepted by holders of 90% of the shares to whom the offer</w:t>
      </w:r>
      <w:r>
        <w:rPr>
          <w:rFonts w:ascii="Arial" w:cs="Arial" w:eastAsia="Arial" w:hAnsi="Arial"/>
          <w:sz w:val="19"/>
          <w:szCs w:val="19"/>
          <w:i w:val="1"/>
          <w:iCs w:val="1"/>
          <w:color w:val="auto"/>
        </w:rPr>
        <w:t xml:space="preserve"> </w:t>
      </w:r>
      <w:r>
        <w:rPr>
          <w:rFonts w:ascii="Arial" w:cs="Arial" w:eastAsia="Arial" w:hAnsi="Arial"/>
          <w:sz w:val="19"/>
          <w:szCs w:val="19"/>
          <w:color w:val="auto"/>
        </w:rPr>
        <w:t>relates within four months, the offeror may, within a two-month period, require the holders of the remaining shares to transfer such shares on the terms of the offer. An objection can be made to the Grand Court of the Cayman Islands, but this is unlikely to succeed unless there is evidence of fraud, bad faith, collusion or inequitable treatment of the shareholders.</w:t>
      </w:r>
    </w:p>
    <w:p>
      <w:pPr>
        <w:spacing w:after="0" w:line="170" w:lineRule="exact"/>
        <w:rPr>
          <w:sz w:val="20"/>
          <w:szCs w:val="20"/>
          <w:color w:val="auto"/>
        </w:rPr>
      </w:pPr>
    </w:p>
    <w:p>
      <w:pPr>
        <w:ind w:right="440" w:firstLine="324"/>
        <w:spacing w:after="0"/>
        <w:rPr>
          <w:sz w:val="20"/>
          <w:szCs w:val="20"/>
          <w:color w:val="auto"/>
        </w:rPr>
      </w:pPr>
      <w:r>
        <w:rPr>
          <w:rFonts w:ascii="Arial" w:cs="Arial" w:eastAsia="Arial" w:hAnsi="Arial"/>
          <w:sz w:val="22"/>
          <w:szCs w:val="22"/>
          <w:color w:val="auto"/>
        </w:rPr>
        <w:t>Further, transactions similar to a merger, reconstruction and/or an amalgamation may in some circumstances be achieved through other means to these statutory provisions, such as a share capital exchange, asset acquisition or control, through contractual arrangements, of an operating business.</w:t>
      </w:r>
    </w:p>
    <w:p>
      <w:pPr>
        <w:spacing w:after="0" w:line="213" w:lineRule="exact"/>
        <w:rPr>
          <w:sz w:val="20"/>
          <w:szCs w:val="20"/>
          <w:color w:val="auto"/>
        </w:rPr>
      </w:pPr>
    </w:p>
    <w:p>
      <w:pPr>
        <w:ind w:right="40" w:firstLine="324"/>
        <w:spacing w:after="0" w:line="279" w:lineRule="auto"/>
        <w:rPr>
          <w:sz w:val="20"/>
          <w:szCs w:val="20"/>
          <w:color w:val="auto"/>
        </w:rPr>
      </w:pPr>
      <w:r>
        <w:rPr>
          <w:rFonts w:ascii="Arial" w:cs="Arial" w:eastAsia="Arial" w:hAnsi="Arial"/>
          <w:sz w:val="19"/>
          <w:szCs w:val="19"/>
          <w:i w:val="1"/>
          <w:iCs w:val="1"/>
          <w:color w:val="auto"/>
        </w:rPr>
        <w:t>Shareholders’ Suits</w:t>
      </w:r>
      <w:r>
        <w:rPr>
          <w:rFonts w:ascii="Arial" w:cs="Arial" w:eastAsia="Arial" w:hAnsi="Arial"/>
          <w:sz w:val="19"/>
          <w:szCs w:val="19"/>
          <w:color w:val="auto"/>
        </w:rPr>
        <w:t>. Our Cayman Islands counsel is not aware of any reported class action having been brought in a Cayman</w:t>
      </w:r>
      <w:r>
        <w:rPr>
          <w:rFonts w:ascii="Arial" w:cs="Arial" w:eastAsia="Arial" w:hAnsi="Arial"/>
          <w:sz w:val="19"/>
          <w:szCs w:val="19"/>
          <w:i w:val="1"/>
          <w:iCs w:val="1"/>
          <w:color w:val="auto"/>
        </w:rPr>
        <w:t xml:space="preserve"> </w:t>
      </w:r>
      <w:r>
        <w:rPr>
          <w:rFonts w:ascii="Arial" w:cs="Arial" w:eastAsia="Arial" w:hAnsi="Arial"/>
          <w:sz w:val="19"/>
          <w:szCs w:val="19"/>
          <w:color w:val="auto"/>
        </w:rPr>
        <w:t>Islands court. Derivative actions have been brought in the Cayman Islands courts, and the Cayman Islands courts have confirmed the availability of such actions. In most cases, we will be the proper plaintiff in any claim based on a breach of duty owed to us, and a claim against (for example) our officers or directors usually may not be brought by a shareholder. However, based both on Cayman Islands authorities and on English authorities, which would in all likelihood be of persuasive authority and applied by a court in the Cayman Islands, exceptions to the foregoing principle apply in circumstances in which:</w:t>
      </w:r>
    </w:p>
    <w:p>
      <w:pPr>
        <w:spacing w:after="0" w:line="184" w:lineRule="exact"/>
        <w:rPr>
          <w:sz w:val="20"/>
          <w:szCs w:val="20"/>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 company is acting, or proposing to act, illegally or beyond the scope of its authority;</w:t>
      </w:r>
    </w:p>
    <w:p>
      <w:pPr>
        <w:spacing w:after="0" w:line="252" w:lineRule="exact"/>
        <w:rPr>
          <w:rFonts w:ascii="Arial" w:cs="Arial" w:eastAsia="Arial" w:hAnsi="Arial"/>
          <w:sz w:val="18"/>
          <w:szCs w:val="18"/>
          <w:color w:val="auto"/>
        </w:rPr>
      </w:pPr>
    </w:p>
    <w:p>
      <w:pPr>
        <w:ind w:left="660" w:right="140" w:hanging="328"/>
        <w:spacing w:after="0" w:line="277"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act complained of, although not beyond the scope of the authority, could be effected if duly authorized by more than the number of votes that have actually been obtained; or</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those who control the company are perpetrating a “fraud on the minority.”</w:t>
      </w:r>
    </w:p>
    <w:p>
      <w:pPr>
        <w:spacing w:after="0" w:line="245" w:lineRule="exact"/>
        <w:rPr>
          <w:sz w:val="20"/>
          <w:szCs w:val="20"/>
          <w:color w:val="auto"/>
        </w:rPr>
      </w:pPr>
    </w:p>
    <w:p>
      <w:pPr>
        <w:ind w:right="80" w:firstLine="324"/>
        <w:spacing w:after="0" w:line="250" w:lineRule="auto"/>
        <w:rPr>
          <w:sz w:val="20"/>
          <w:szCs w:val="20"/>
          <w:color w:val="auto"/>
        </w:rPr>
      </w:pPr>
      <w:r>
        <w:rPr>
          <w:rFonts w:ascii="Arial" w:cs="Arial" w:eastAsia="Arial" w:hAnsi="Arial"/>
          <w:sz w:val="22"/>
          <w:szCs w:val="22"/>
          <w:color w:val="auto"/>
        </w:rPr>
        <w:t>A shareholder may have a direct right of action against us where the individual rights of that shareholder have been infringed or are about to be infringed.</w:t>
      </w:r>
    </w:p>
    <w:p>
      <w:pPr>
        <w:spacing w:after="0" w:line="202" w:lineRule="exact"/>
        <w:rPr>
          <w:sz w:val="20"/>
          <w:szCs w:val="20"/>
          <w:color w:val="auto"/>
        </w:rPr>
      </w:pPr>
    </w:p>
    <w:p>
      <w:pPr>
        <w:ind w:right="60" w:firstLine="324"/>
        <w:spacing w:after="0"/>
        <w:rPr>
          <w:sz w:val="20"/>
          <w:szCs w:val="20"/>
          <w:color w:val="auto"/>
        </w:rPr>
      </w:pPr>
      <w:r>
        <w:rPr>
          <w:rFonts w:ascii="Arial" w:cs="Arial" w:eastAsia="Arial" w:hAnsi="Arial"/>
          <w:sz w:val="22"/>
          <w:szCs w:val="22"/>
          <w:i w:val="1"/>
          <w:iCs w:val="1"/>
          <w:color w:val="auto"/>
        </w:rPr>
        <w:t>Enforcement of Civil Liabilities</w:t>
      </w:r>
      <w:r>
        <w:rPr>
          <w:rFonts w:ascii="Arial" w:cs="Arial" w:eastAsia="Arial" w:hAnsi="Arial"/>
          <w:sz w:val="22"/>
          <w:szCs w:val="22"/>
          <w:color w:val="auto"/>
        </w:rPr>
        <w:t>. The Cayman Islands has a different body of securities laws as compared to the United States</w:t>
      </w:r>
      <w:r>
        <w:rPr>
          <w:rFonts w:ascii="Arial" w:cs="Arial" w:eastAsia="Arial" w:hAnsi="Arial"/>
          <w:sz w:val="22"/>
          <w:szCs w:val="22"/>
          <w:i w:val="1"/>
          <w:iCs w:val="1"/>
          <w:color w:val="auto"/>
        </w:rPr>
        <w:t xml:space="preserve"> </w:t>
      </w:r>
      <w:r>
        <w:rPr>
          <w:rFonts w:ascii="Arial" w:cs="Arial" w:eastAsia="Arial" w:hAnsi="Arial"/>
          <w:sz w:val="22"/>
          <w:szCs w:val="22"/>
          <w:color w:val="auto"/>
        </w:rPr>
        <w:t>and provides less protection to investors. Additionally, Cayman Islands companies may not have standing to sue before the federal courts of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17" w:name="page118"/>
    <w:bookmarkEnd w:id="117"/>
    <w:p>
      <w:pPr>
        <w:ind w:firstLine="324"/>
        <w:spacing w:after="0" w:line="271" w:lineRule="auto"/>
        <w:rPr>
          <w:sz w:val="20"/>
          <w:szCs w:val="20"/>
          <w:color w:val="auto"/>
        </w:rPr>
      </w:pPr>
      <w:r>
        <w:rPr>
          <w:rFonts w:ascii="Arial" w:cs="Arial" w:eastAsia="Arial" w:hAnsi="Arial"/>
          <w:sz w:val="19"/>
          <w:szCs w:val="19"/>
          <w:color w:val="auto"/>
        </w:rPr>
        <w:t>We have been advised by our Cayman Islands legal counsel that the courts of the Cayman Islands are unlikely (1) to recognize or enforce against us judgments of courts of the United States predicated upon the civil liability provisions of the federal securities laws of the United States or any state and (2) in original actions brought in the Cayman Islands, to impose liabilities against us predicated upon the civil liability provisions of the federal securities laws of the United States or any state, so far as the liabilities imposed by those provisions are penal in nature. In those circumstances, although there is no statutory enforcement in the Cayman Islands of judgments obtained in the United States, the courts of the Cayman Islands will recognize and enforce a foreign money judgment of a foreign court of competent jurisdiction without retrial on the merits based on the principle that a judgment of a competent foreign court imposes upon the judgment debtor an obligation to pay the sum for which judgment has been given provided certain conditions are met. For a foreign judgment to be enforced in the Cayman Islands, such judgment must be final and conclusive and for a liquidated sum, and must not be in respect of taxes or a fine or penalty, inconsistent with a Cayman Islands judgment in respect of the same matter, impeachable on the grounds of fraud or obtained in a manner, and or be of a kind the enforcement of which is, contrary to natural justice or the public policy of the Cayman Islands (awards of punitive or multiple damages may well be held to be contrary to public policy). A Cayman Islands Court may stay enforcement proceedings if concurrent proceedings are being brought elsewhere.</w:t>
      </w:r>
    </w:p>
    <w:p>
      <w:pPr>
        <w:spacing w:after="0" w:line="200" w:lineRule="exact"/>
        <w:rPr>
          <w:sz w:val="20"/>
          <w:szCs w:val="20"/>
          <w:color w:val="auto"/>
        </w:rPr>
      </w:pPr>
    </w:p>
    <w:p>
      <w:pPr>
        <w:spacing w:after="0" w:line="238" w:lineRule="exact"/>
        <w:rPr>
          <w:sz w:val="20"/>
          <w:szCs w:val="20"/>
          <w:color w:val="auto"/>
        </w:rPr>
      </w:pPr>
    </w:p>
    <w:p>
      <w:pPr>
        <w:ind w:right="160" w:firstLine="324"/>
        <w:spacing w:after="0" w:line="279" w:lineRule="auto"/>
        <w:rPr>
          <w:sz w:val="20"/>
          <w:szCs w:val="20"/>
          <w:color w:val="auto"/>
        </w:rPr>
      </w:pPr>
      <w:r>
        <w:rPr>
          <w:rFonts w:ascii="Arial" w:cs="Arial" w:eastAsia="Arial" w:hAnsi="Arial"/>
          <w:sz w:val="19"/>
          <w:szCs w:val="19"/>
          <w:i w:val="1"/>
          <w:iCs w:val="1"/>
          <w:color w:val="auto"/>
        </w:rPr>
        <w:t>Special Considerations for Exempted Companies</w:t>
      </w:r>
      <w:r>
        <w:rPr>
          <w:rFonts w:ascii="Arial" w:cs="Arial" w:eastAsia="Arial" w:hAnsi="Arial"/>
          <w:sz w:val="19"/>
          <w:szCs w:val="19"/>
          <w:color w:val="auto"/>
        </w:rPr>
        <w:t>. We are an exempted company with limited liability (meaning our public</w:t>
      </w:r>
      <w:r>
        <w:rPr>
          <w:rFonts w:ascii="Arial" w:cs="Arial" w:eastAsia="Arial" w:hAnsi="Arial"/>
          <w:sz w:val="19"/>
          <w:szCs w:val="19"/>
          <w:i w:val="1"/>
          <w:iCs w:val="1"/>
          <w:color w:val="auto"/>
        </w:rPr>
        <w:t xml:space="preserve"> </w:t>
      </w:r>
      <w:r>
        <w:rPr>
          <w:rFonts w:ascii="Arial" w:cs="Arial" w:eastAsia="Arial" w:hAnsi="Arial"/>
          <w:sz w:val="19"/>
          <w:szCs w:val="19"/>
          <w:color w:val="auto"/>
        </w:rPr>
        <w:t>shareholders have no liability, as members of the Company, for liabilities of the Company over and above the amount paid for their shares) under the Companies Law. The Companies Law distinguishes between ordinary resident companies and exempted companies. Any company that is registered in the Cayman Islands but conducts business mainly outside of the Cayman Islands may apply to be registered as an exempted company. The requirements for an exempted company are essentially the same as for an ordinary company except for the exemptions and privileges listed below:</w:t>
      </w:r>
    </w:p>
    <w:p>
      <w:pPr>
        <w:spacing w:after="0" w:line="184" w:lineRule="exact"/>
        <w:rPr>
          <w:sz w:val="20"/>
          <w:szCs w:val="20"/>
          <w:color w:val="auto"/>
        </w:rPr>
      </w:pPr>
    </w:p>
    <w:p>
      <w:pPr>
        <w:ind w:left="660" w:right="120" w:hanging="328"/>
        <w:spacing w:after="0" w:line="277" w:lineRule="auto"/>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annual reporting requirements are minimal and consist mainly of a statement that the company has conducted its operations mainly outside of the Cayman Islands and has complied with the provisions of the Companies Law;</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 exempted company’s register of members is not open to inspection;</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 exempted company does not have to hold an annual general meeting;</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 exempted company may issue negotiable or bearer shares or shares with no par value;</w:t>
      </w:r>
    </w:p>
    <w:p>
      <w:pPr>
        <w:spacing w:after="0" w:line="252" w:lineRule="exact"/>
        <w:rPr>
          <w:rFonts w:ascii="Arial" w:cs="Arial" w:eastAsia="Arial" w:hAnsi="Arial"/>
          <w:sz w:val="18"/>
          <w:szCs w:val="18"/>
          <w:color w:val="auto"/>
        </w:rPr>
      </w:pPr>
    </w:p>
    <w:p>
      <w:pPr>
        <w:ind w:left="660" w:right="180" w:hanging="328"/>
        <w:spacing w:after="0" w:line="277" w:lineRule="auto"/>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 exempted company may obtain an undertaking against the imposition of any future taxation (such undertakings are usually given for 30 years in the first instance);</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 exempted company may register by way of continuation in another jurisdiction and be deregistered in the Cayman Islands;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 exempted company may register as a limited duration company;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 exempted company may register as a segregated portfolio company.</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Our Amended and Restated Memorandum and Articles of Association</w:t>
      </w:r>
    </w:p>
    <w:p>
      <w:pPr>
        <w:spacing w:after="0" w:line="239" w:lineRule="exact"/>
        <w:rPr>
          <w:sz w:val="20"/>
          <w:szCs w:val="20"/>
          <w:color w:val="auto"/>
        </w:rPr>
      </w:pPr>
    </w:p>
    <w:p>
      <w:pPr>
        <w:ind w:right="100" w:firstLine="324"/>
        <w:spacing w:after="0" w:line="273" w:lineRule="auto"/>
        <w:rPr>
          <w:sz w:val="20"/>
          <w:szCs w:val="20"/>
          <w:color w:val="auto"/>
        </w:rPr>
      </w:pPr>
      <w:r>
        <w:rPr>
          <w:rFonts w:ascii="Arial" w:cs="Arial" w:eastAsia="Arial" w:hAnsi="Arial"/>
          <w:sz w:val="19"/>
          <w:szCs w:val="19"/>
          <w:color w:val="auto"/>
        </w:rPr>
        <w:t>Our amended and restated memorandum and articles of association contain certain requirements and restrictions that will apply to us until the completion of our initial business combination. These provisions cannot be amended without a special resolution. As a matter of Cayman Islands law, a resolution is deemed to be a special resolution where it has been approved by either (1) at least two-thirds (or any higher threshold specified in a company’s articles of association) of a company’s shareholders at a general meeting for which notice specifying the intention to propose the resolution as a special resolution has been given or (2) if so authorized by a company’s articles of association, by a unanimous written resolution of all of the company’s shareholders. Our amended and restated memorandum and articles of association will provide that special resolutions must be approved either by at least two-thirds of our shareholders who attend and vote at a shareholders meeting (i.e., the lowest threshold permissible under Cayman Islands law) (other than amendments relating to the appointment or removal of directors prior to our initial business combination, which require the approval of at least 90% of our ordinary shares voting in a general meeting), or by a unanimous written resolution of all of our shareholders.</w:t>
      </w:r>
    </w:p>
    <w:p>
      <w:pPr>
        <w:spacing w:after="0" w:line="182" w:lineRule="exact"/>
        <w:rPr>
          <w:sz w:val="20"/>
          <w:szCs w:val="20"/>
          <w:color w:val="auto"/>
        </w:rPr>
      </w:pPr>
    </w:p>
    <w:p>
      <w:pPr>
        <w:ind w:right="60" w:firstLine="324"/>
        <w:spacing w:after="0" w:line="238" w:lineRule="auto"/>
        <w:rPr>
          <w:sz w:val="20"/>
          <w:szCs w:val="20"/>
          <w:color w:val="auto"/>
        </w:rPr>
      </w:pPr>
      <w:r>
        <w:rPr>
          <w:rFonts w:ascii="Arial" w:cs="Arial" w:eastAsia="Arial" w:hAnsi="Arial"/>
          <w:sz w:val="22"/>
          <w:szCs w:val="22"/>
          <w:color w:val="auto"/>
        </w:rPr>
        <w:t>Our initial shareholders, who collectively beneficially own 20% of our ordinary shares upon the closing of our initial public offering, may participate in any vote to amend our amended and restated memorandum and articles of association and will have the discretion to vote in any manner they choose. Specifically, our amended and restated memorandum and articles of association provide, among other things, that:</w:t>
      </w:r>
    </w:p>
    <w:p>
      <w:pPr>
        <w:spacing w:after="0" w:line="219" w:lineRule="exact"/>
        <w:rPr>
          <w:sz w:val="20"/>
          <w:szCs w:val="20"/>
          <w:color w:val="auto"/>
        </w:rPr>
      </w:pPr>
    </w:p>
    <w:p>
      <w:pPr>
        <w:ind w:left="660" w:right="20" w:hanging="328"/>
        <w:spacing w:after="0" w:line="271" w:lineRule="auto"/>
        <w:tabs>
          <w:tab w:leader="none" w:pos="660" w:val="left"/>
        </w:tabs>
        <w:numPr>
          <w:ilvl w:val="0"/>
          <w:numId w:val="51"/>
        </w:numPr>
        <w:rPr>
          <w:rFonts w:ascii="Arial" w:cs="Arial" w:eastAsia="Arial" w:hAnsi="Arial"/>
          <w:sz w:val="17"/>
          <w:szCs w:val="17"/>
          <w:color w:val="auto"/>
        </w:rPr>
      </w:pPr>
      <w:r>
        <w:rPr>
          <w:rFonts w:ascii="Arial" w:cs="Arial" w:eastAsia="Arial" w:hAnsi="Arial"/>
          <w:sz w:val="17"/>
          <w:szCs w:val="17"/>
          <w:color w:val="auto"/>
        </w:rPr>
        <w:t>if we are unable to complete our initial business combination within 18 months from the closing of our initial public offering, we will: (1) cease all operations except for the purpose of winding up; (2) as promptly as reasonably possible but not more than 10 business days thereafter, redeem 100% of the public shares, at a per-share price, payable in cash, equal to the aggregate amount then on deposit in the trust account, including interest (less up to $100,000 of interest to pay dissolution expenses and which interest shall be net of taxes payable), divided by the number of then issued and outstanding public shares, which redemption will completely extinguish public shareholders’ rights as shareholders (including the right to receive further liquidating distributions, if any); and (3) as promptly as reasonably possible following such redemption, subject to the approval of our remaining shareholders and our board of directors, dissolve and liquidate, subject in each case to our obligations under Cayman Islands law to provide for claims of creditors and the requirements of other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315" w:gutter="0" w:footer="0" w:header="0"/>
        </w:sectPr>
      </w:pPr>
    </w:p>
    <w:bookmarkStart w:id="118" w:name="page119"/>
    <w:bookmarkEnd w:id="118"/>
    <w:p>
      <w:pPr>
        <w:ind w:left="660" w:right="120" w:hanging="328"/>
        <w:spacing w:after="0" w:line="279" w:lineRule="auto"/>
        <w:tabs>
          <w:tab w:leader="none" w:pos="660" w:val="left"/>
        </w:tabs>
        <w:numPr>
          <w:ilvl w:val="0"/>
          <w:numId w:val="52"/>
        </w:numPr>
        <w:rPr>
          <w:rFonts w:ascii="Arial" w:cs="Arial" w:eastAsia="Arial" w:hAnsi="Arial"/>
          <w:sz w:val="17"/>
          <w:szCs w:val="17"/>
          <w:color w:val="auto"/>
        </w:rPr>
      </w:pPr>
      <w:r>
        <w:rPr>
          <w:rFonts w:ascii="Arial" w:cs="Arial" w:eastAsia="Arial" w:hAnsi="Arial"/>
          <w:sz w:val="17"/>
          <w:szCs w:val="17"/>
          <w:color w:val="auto"/>
        </w:rPr>
        <w:t>prior to our initial business combination, we may not issue additional shares that would entitle the holders thereof to (1) receive funds from the trust account or (2) vote as a class with our public shares (a) on any initial business combination or (b) to approve an amendment to our amended and restated memorandum and articles of association to (x) extend the time we have to consummate a business combination beyond 18 months from the closing of our initial public offering or (y) amend the foregoing provisions;</w:t>
      </w:r>
    </w:p>
    <w:p>
      <w:pPr>
        <w:spacing w:after="0" w:line="198" w:lineRule="exact"/>
        <w:rPr>
          <w:rFonts w:ascii="Arial" w:cs="Arial" w:eastAsia="Arial" w:hAnsi="Arial"/>
          <w:sz w:val="17"/>
          <w:szCs w:val="17"/>
          <w:color w:val="auto"/>
        </w:rPr>
      </w:pPr>
    </w:p>
    <w:p>
      <w:pPr>
        <w:ind w:left="660" w:right="120" w:hanging="328"/>
        <w:spacing w:after="0" w:line="259" w:lineRule="auto"/>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 the event we enter into a business combination with a target business that is affiliated with our sponsor, our directors or our officers (which we currently do not intend to do), we, or a committee of independent and disinterested directors, will obtain an opinion from an independent investment banking firm, or from an independent accounting firm, that such a business combination is fair to our company from a financial point of view;</w:t>
      </w:r>
    </w:p>
    <w:p>
      <w:pPr>
        <w:spacing w:after="0" w:line="213" w:lineRule="exact"/>
        <w:rPr>
          <w:rFonts w:ascii="Arial" w:cs="Arial" w:eastAsia="Arial" w:hAnsi="Arial"/>
          <w:sz w:val="18"/>
          <w:szCs w:val="18"/>
          <w:color w:val="auto"/>
        </w:rPr>
      </w:pPr>
    </w:p>
    <w:p>
      <w:pPr>
        <w:ind w:left="660" w:right="20" w:hanging="328"/>
        <w:spacing w:after="0" w:line="279" w:lineRule="auto"/>
        <w:tabs>
          <w:tab w:leader="none" w:pos="660" w:val="left"/>
        </w:tabs>
        <w:numPr>
          <w:ilvl w:val="0"/>
          <w:numId w:val="52"/>
        </w:numPr>
        <w:rPr>
          <w:rFonts w:ascii="Arial" w:cs="Arial" w:eastAsia="Arial" w:hAnsi="Arial"/>
          <w:sz w:val="17"/>
          <w:szCs w:val="17"/>
          <w:color w:val="auto"/>
        </w:rPr>
      </w:pPr>
      <w:r>
        <w:rPr>
          <w:rFonts w:ascii="Arial" w:cs="Arial" w:eastAsia="Arial" w:hAnsi="Arial"/>
          <w:sz w:val="17"/>
          <w:szCs w:val="17"/>
          <w:color w:val="auto"/>
        </w:rPr>
        <w:t>if a shareholder vote on our initial business combination is not required by law and we do not decide to hold a shareholder vote for business or other reasons, we will offer to redeem our public shares pursuant to Rule 13e-4 and Regulation 14E of the Exchange Act, and will file tender offer documents with the SEC prior to completing our initial business combination which contain substantially the same financial and other information about our initial business combination and the redemption rights as is required under Regulation 14A of the Exchange Act;</w:t>
      </w:r>
    </w:p>
    <w:p>
      <w:pPr>
        <w:spacing w:after="0" w:line="198" w:lineRule="exact"/>
        <w:rPr>
          <w:rFonts w:ascii="Arial" w:cs="Arial" w:eastAsia="Arial" w:hAnsi="Arial"/>
          <w:sz w:val="17"/>
          <w:szCs w:val="17"/>
          <w:color w:val="auto"/>
        </w:rPr>
      </w:pPr>
    </w:p>
    <w:p>
      <w:pPr>
        <w:ind w:left="660" w:right="160" w:hanging="328"/>
        <w:spacing w:after="0" w:line="286" w:lineRule="auto"/>
        <w:tabs>
          <w:tab w:leader="none" w:pos="660" w:val="left"/>
        </w:tabs>
        <w:numPr>
          <w:ilvl w:val="0"/>
          <w:numId w:val="52"/>
        </w:numPr>
        <w:rPr>
          <w:rFonts w:ascii="Arial" w:cs="Arial" w:eastAsia="Arial" w:hAnsi="Arial"/>
          <w:sz w:val="17"/>
          <w:szCs w:val="17"/>
          <w:color w:val="auto"/>
        </w:rPr>
      </w:pPr>
      <w:r>
        <w:rPr>
          <w:rFonts w:ascii="Arial" w:cs="Arial" w:eastAsia="Arial" w:hAnsi="Arial"/>
          <w:sz w:val="17"/>
          <w:szCs w:val="17"/>
          <w:color w:val="auto"/>
        </w:rPr>
        <w:t>in the event our units are listed on Nasdaq, our initial business combination must be with one or more operating businesses or assets with a fair market value equal to at least 80% of the assets held in the trust account (excluding the deferred underwriting commissions and taxes payable on the income earned on the trust account) at the time of the agreement to enter into the initial business combination;</w:t>
      </w:r>
    </w:p>
    <w:p>
      <w:pPr>
        <w:spacing w:after="0" w:line="192" w:lineRule="exact"/>
        <w:rPr>
          <w:rFonts w:ascii="Arial" w:cs="Arial" w:eastAsia="Arial" w:hAnsi="Arial"/>
          <w:sz w:val="17"/>
          <w:szCs w:val="17"/>
          <w:color w:val="auto"/>
        </w:rPr>
      </w:pPr>
    </w:p>
    <w:p>
      <w:pPr>
        <w:ind w:left="660" w:hanging="328"/>
        <w:spacing w:after="0" w:line="259" w:lineRule="auto"/>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(x) in the event we enter into a business combination with a target business in the cannabis industry, we must determine that such target business is compliant with all applicable laws and regulations within the jurisdictions in which they are located or operate, and (y) we will not invest in, or consummate a business combination with, a target business that we determine has been operating, or whose business plan is to operate, in violation of U.S. federal laws, including the U.S. Controlled Substances Act;</w:t>
      </w:r>
    </w:p>
    <w:p>
      <w:pPr>
        <w:spacing w:after="0" w:line="213" w:lineRule="exact"/>
        <w:rPr>
          <w:rFonts w:ascii="Arial" w:cs="Arial" w:eastAsia="Arial" w:hAnsi="Arial"/>
          <w:sz w:val="18"/>
          <w:szCs w:val="18"/>
          <w:color w:val="auto"/>
        </w:rPr>
      </w:pPr>
    </w:p>
    <w:p>
      <w:pPr>
        <w:ind w:left="660" w:right="140" w:hanging="328"/>
        <w:spacing w:after="0" w:line="273" w:lineRule="auto"/>
        <w:tabs>
          <w:tab w:leader="none" w:pos="660" w:val="left"/>
        </w:tabs>
        <w:numPr>
          <w:ilvl w:val="0"/>
          <w:numId w:val="52"/>
        </w:numPr>
        <w:rPr>
          <w:rFonts w:ascii="Arial" w:cs="Arial" w:eastAsia="Arial" w:hAnsi="Arial"/>
          <w:sz w:val="17"/>
          <w:szCs w:val="17"/>
          <w:color w:val="auto"/>
        </w:rPr>
      </w:pPr>
      <w:r>
        <w:rPr>
          <w:rFonts w:ascii="Arial" w:cs="Arial" w:eastAsia="Arial" w:hAnsi="Arial"/>
          <w:sz w:val="17"/>
          <w:szCs w:val="17"/>
          <w:color w:val="auto"/>
        </w:rPr>
        <w:t>if our shareholders approve an amendment to our amended and restated memorandum and articles of association (A) to modify the substance or timing of our obligation to redeem 100% of our public shares if we do not complete our initial business combination within 18 months from the closing of our initial public offering or (B) with respect to any other provision relating to shareholders’ rights or pre-initial business combination activity, we will provide our public shareholders with the opportunity to redeem all or a portion of their ordinary shares upon such approval at a per-share price, payable in cash, equal to the aggregate amount then on deposit in the trust account, including interest (which interest shall be net of taxes payable), divided by the number of then issued and outstanding public shares; and</w:t>
      </w:r>
    </w:p>
    <w:p>
      <w:pPr>
        <w:spacing w:after="0" w:line="204" w:lineRule="exact"/>
        <w:rPr>
          <w:rFonts w:ascii="Arial" w:cs="Arial" w:eastAsia="Arial" w:hAnsi="Arial"/>
          <w:sz w:val="17"/>
          <w:szCs w:val="17"/>
          <w:color w:val="auto"/>
        </w:rPr>
      </w:pPr>
    </w:p>
    <w:p>
      <w:pPr>
        <w:ind w:left="660" w:hanging="328"/>
        <w:spacing w:after="0"/>
        <w:tabs>
          <w:tab w:leader="none" w:pos="660" w:val="left"/>
        </w:tabs>
        <w:numPr>
          <w:ilvl w:val="0"/>
          <w:numId w:val="52"/>
        </w:numPr>
        <w:rPr>
          <w:rFonts w:ascii="Arial" w:cs="Arial" w:eastAsia="Arial" w:hAnsi="Arial"/>
          <w:sz w:val="17"/>
          <w:szCs w:val="17"/>
          <w:color w:val="auto"/>
        </w:rPr>
      </w:pPr>
      <w:r>
        <w:rPr>
          <w:rFonts w:ascii="Arial" w:cs="Arial" w:eastAsia="Arial" w:hAnsi="Arial"/>
          <w:sz w:val="17"/>
          <w:szCs w:val="17"/>
          <w:color w:val="auto"/>
        </w:rPr>
        <w:t>we will not effectuate our initial business combination with another blank check company or a similar company with nominal operations.</w:t>
      </w:r>
    </w:p>
    <w:p>
      <w:pPr>
        <w:spacing w:after="0" w:line="256" w:lineRule="exact"/>
        <w:rPr>
          <w:sz w:val="20"/>
          <w:szCs w:val="20"/>
          <w:color w:val="auto"/>
        </w:rPr>
      </w:pPr>
    </w:p>
    <w:p>
      <w:pPr>
        <w:ind w:right="200" w:firstLine="324"/>
        <w:spacing w:after="0" w:line="297" w:lineRule="auto"/>
        <w:rPr>
          <w:sz w:val="20"/>
          <w:szCs w:val="20"/>
          <w:color w:val="auto"/>
        </w:rPr>
      </w:pPr>
      <w:r>
        <w:rPr>
          <w:rFonts w:ascii="Arial" w:cs="Arial" w:eastAsia="Arial" w:hAnsi="Arial"/>
          <w:sz w:val="19"/>
          <w:szCs w:val="19"/>
          <w:color w:val="auto"/>
        </w:rPr>
        <w:t>In addition, our amended and restated memorandum and articles of association provide that under no circumstances will we redeem our public shares in an amount that would cause our net tangible assets, after payment of the deferred underwriting commissions, to be less than $5,000,001 upon completion of our initial business combination.</w:t>
      </w:r>
    </w:p>
    <w:p>
      <w:pPr>
        <w:spacing w:after="0" w:line="161" w:lineRule="exact"/>
        <w:rPr>
          <w:sz w:val="20"/>
          <w:szCs w:val="20"/>
          <w:color w:val="auto"/>
        </w:rPr>
      </w:pPr>
    </w:p>
    <w:p>
      <w:pPr>
        <w:ind w:right="120" w:firstLine="324"/>
        <w:spacing w:after="0" w:line="277" w:lineRule="auto"/>
        <w:rPr>
          <w:sz w:val="20"/>
          <w:szCs w:val="20"/>
          <w:color w:val="auto"/>
        </w:rPr>
      </w:pPr>
      <w:r>
        <w:rPr>
          <w:rFonts w:ascii="Arial" w:cs="Arial" w:eastAsia="Arial" w:hAnsi="Arial"/>
          <w:sz w:val="19"/>
          <w:szCs w:val="19"/>
          <w:color w:val="auto"/>
        </w:rPr>
        <w:t>The Companies Law permits a company incorporated in the Cayman Islands to amend its memorandum and articles of association with the approval of the holders of at least two-thirds of such company’s issued and outstanding ordinary shares. A company’s articles of association may specify that the approval of a higher majority is required. Accordingly, although we could amend any of the provisions relating to our initial public offering, structure and business plan which are contained in our amended and restated memorandum and articles of association, we view all of these provisions as binding obligations to our shareholders and neither we, nor our officers or directors, will take any action to amend or waive any of these provisions unless we provide dissenting public shareholders with the opportunity to redeem their public shares.</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Certain Anti-Takeover Provisions of Our Amended and Restated Memorandum and Articles of Association</w:t>
      </w:r>
    </w:p>
    <w:p>
      <w:pPr>
        <w:spacing w:after="0" w:line="239" w:lineRule="exact"/>
        <w:rPr>
          <w:sz w:val="20"/>
          <w:szCs w:val="20"/>
          <w:color w:val="auto"/>
        </w:rPr>
      </w:pPr>
    </w:p>
    <w:p>
      <w:pPr>
        <w:ind w:right="520" w:firstLine="324"/>
        <w:spacing w:after="0" w:line="249" w:lineRule="auto"/>
        <w:rPr>
          <w:sz w:val="20"/>
          <w:szCs w:val="20"/>
          <w:color w:val="auto"/>
        </w:rPr>
      </w:pPr>
      <w:r>
        <w:rPr>
          <w:rFonts w:ascii="Arial" w:cs="Arial" w:eastAsia="Arial" w:hAnsi="Arial"/>
          <w:sz w:val="21"/>
          <w:szCs w:val="21"/>
          <w:color w:val="auto"/>
        </w:rPr>
        <w:t>Our authorized but unissued Class A ordinary shares and preferred shares are available for future issuances without shareholder approval and could be utilized for a variety of corporate purposes, including future offerings to raise additional capital, acquisitions and employee benefit plans. The existence of authorized but unissued and unreserved Class A ordinary shares and preferred shares could render more difficult or discourage an attempt to obtain control of us by means of a proxy contest, tender offer, merger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255270</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19" w:name="page120"/>
    <w:bookmarkEnd w:id="119"/>
    <w:p>
      <w:pPr>
        <w:spacing w:after="0" w:line="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Securities Eligible for Future Sale</w:t>
      </w:r>
    </w:p>
    <w:p>
      <w:pPr>
        <w:spacing w:after="0" w:line="240" w:lineRule="exact"/>
        <w:rPr>
          <w:sz w:val="20"/>
          <w:szCs w:val="20"/>
          <w:color w:val="auto"/>
        </w:rPr>
      </w:pPr>
    </w:p>
    <w:p>
      <w:pPr>
        <w:ind w:right="100" w:firstLine="324"/>
        <w:spacing w:after="0" w:line="282" w:lineRule="auto"/>
        <w:rPr>
          <w:sz w:val="20"/>
          <w:szCs w:val="20"/>
          <w:color w:val="auto"/>
        </w:rPr>
      </w:pPr>
      <w:r>
        <w:rPr>
          <w:rFonts w:ascii="Arial" w:cs="Arial" w:eastAsia="Arial" w:hAnsi="Arial"/>
          <w:sz w:val="19"/>
          <w:szCs w:val="19"/>
          <w:color w:val="auto"/>
        </w:rPr>
        <w:t>We have 31,250,000 ordinary shares issued and outstanding. Of these shares, the 25,000,000 Class A ordinary shares are freely tradable without restriction or further registration under the Securities Act, except for any shares purchased by one of our affiliates within the meaning of Rule 144 under the Securities Act. All of the remaining 6,250,000 founder shares and all 7,000,000 private placement warrants are restricted securities under Rule 144, in that they were issued in private transactions not involving a public offering, and are subject to transfer restrictions as set forth in the prospectus for our initial public offering.</w:t>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Rule 144</w:t>
      </w:r>
    </w:p>
    <w:p>
      <w:pPr>
        <w:spacing w:after="0" w:line="239" w:lineRule="exact"/>
        <w:rPr>
          <w:sz w:val="20"/>
          <w:szCs w:val="20"/>
          <w:color w:val="auto"/>
        </w:rPr>
      </w:pPr>
    </w:p>
    <w:p>
      <w:pPr>
        <w:ind w:firstLine="324"/>
        <w:spacing w:after="0" w:line="282" w:lineRule="auto"/>
        <w:rPr>
          <w:sz w:val="20"/>
          <w:szCs w:val="20"/>
          <w:color w:val="auto"/>
        </w:rPr>
      </w:pPr>
      <w:r>
        <w:rPr>
          <w:rFonts w:ascii="Arial" w:cs="Arial" w:eastAsia="Arial" w:hAnsi="Arial"/>
          <w:sz w:val="19"/>
          <w:szCs w:val="19"/>
          <w:color w:val="auto"/>
        </w:rPr>
        <w:t>Pursuant to Rule 144, a person who has beneficially owned restricted shares or warrants for at least six months would be entitled to sell their securities provided that (1) such person is not deemed to have been one of our affiliates at the time of, or at any time during the three months preceding, a sale and (2) we are subject to the Exchange Act periodic reporting requirements for at least three months before the sale and have filed all required reports under Section 13 or 15(d) of the Exchange Act during the 12 months (or such shorter period as we were required to file reports) preceding the sale.</w:t>
      </w:r>
    </w:p>
    <w:p>
      <w:pPr>
        <w:spacing w:after="0" w:line="174" w:lineRule="exact"/>
        <w:rPr>
          <w:sz w:val="20"/>
          <w:szCs w:val="20"/>
          <w:color w:val="auto"/>
        </w:rPr>
      </w:pPr>
    </w:p>
    <w:p>
      <w:pPr>
        <w:ind w:right="20" w:firstLine="324"/>
        <w:spacing w:after="0" w:line="297" w:lineRule="auto"/>
        <w:rPr>
          <w:sz w:val="20"/>
          <w:szCs w:val="20"/>
          <w:color w:val="auto"/>
        </w:rPr>
      </w:pPr>
      <w:r>
        <w:rPr>
          <w:rFonts w:ascii="Arial" w:cs="Arial" w:eastAsia="Arial" w:hAnsi="Arial"/>
          <w:sz w:val="19"/>
          <w:szCs w:val="19"/>
          <w:color w:val="auto"/>
        </w:rPr>
        <w:t>Persons who have beneficially owned restricted shares or warrants for at least six months but who are our affiliates at the time of, or at any time during the three months preceding, a sale, would be subject to additional restrictions, by which such person would be entitled to sell within any three-month period only a number of securities that does not exceed the greater of:</w:t>
      </w:r>
    </w:p>
    <w:p>
      <w:pPr>
        <w:spacing w:after="0" w:line="168" w:lineRule="exact"/>
        <w:rPr>
          <w:sz w:val="20"/>
          <w:szCs w:val="20"/>
          <w:color w:val="auto"/>
        </w:rPr>
      </w:pPr>
    </w:p>
    <w:p>
      <w:pPr>
        <w:ind w:left="660" w:right="560" w:hanging="328"/>
        <w:spacing w:after="0" w:line="277" w:lineRule="auto"/>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1% of the total number of ordinary shares then issued and outstanding, which will equal 312,500 shares immediately after our initial public offering (or 359,375 if the underwriters exercise their over-allotment option in full); or</w:t>
      </w:r>
    </w:p>
    <w:p>
      <w:pPr>
        <w:spacing w:after="0" w:line="19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average weekly reported trading volume of the Class A ordinary shares during the four calendar weeks preceding the filing of a notice on Form 144 with respect to the sale.</w:t>
      </w:r>
    </w:p>
    <w:p>
      <w:pPr>
        <w:spacing w:after="0" w:line="190" w:lineRule="exact"/>
        <w:rPr>
          <w:sz w:val="20"/>
          <w:szCs w:val="20"/>
          <w:color w:val="auto"/>
        </w:rPr>
      </w:pPr>
    </w:p>
    <w:p>
      <w:pPr>
        <w:ind w:right="680" w:firstLine="324"/>
        <w:spacing w:after="0" w:line="250" w:lineRule="auto"/>
        <w:rPr>
          <w:sz w:val="20"/>
          <w:szCs w:val="20"/>
          <w:color w:val="auto"/>
        </w:rPr>
      </w:pPr>
      <w:r>
        <w:rPr>
          <w:rFonts w:ascii="Arial" w:cs="Arial" w:eastAsia="Arial" w:hAnsi="Arial"/>
          <w:sz w:val="22"/>
          <w:szCs w:val="22"/>
          <w:color w:val="auto"/>
        </w:rPr>
        <w:t>Sales by our affiliates under Rule 144 are also limited by manner of sale provisions and notice requirements and to the availability of current public information about us.</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Restrictions on the Use of Rule 144 by Shell Companies or Former Shell Companies</w:t>
      </w:r>
    </w:p>
    <w:p>
      <w:pPr>
        <w:spacing w:after="0" w:line="239" w:lineRule="exact"/>
        <w:rPr>
          <w:sz w:val="20"/>
          <w:szCs w:val="20"/>
          <w:color w:val="auto"/>
        </w:rPr>
      </w:pPr>
    </w:p>
    <w:p>
      <w:pPr>
        <w:ind w:right="320" w:firstLine="324"/>
        <w:spacing w:after="0"/>
        <w:rPr>
          <w:sz w:val="20"/>
          <w:szCs w:val="20"/>
          <w:color w:val="auto"/>
        </w:rPr>
      </w:pPr>
      <w:r>
        <w:rPr>
          <w:rFonts w:ascii="Arial" w:cs="Arial" w:eastAsia="Arial" w:hAnsi="Arial"/>
          <w:sz w:val="22"/>
          <w:szCs w:val="22"/>
          <w:color w:val="auto"/>
        </w:rPr>
        <w:t>Rule 144 is not available for the resale of securities initially issued by shell companies (other than business combination related shell companies) or issuers that have been at any time previously a shell company. However, Rule 144 also includes an important exception to this prohibition if the following conditions are met:</w:t>
      </w:r>
    </w:p>
    <w:p>
      <w:pPr>
        <w:spacing w:after="0" w:line="220" w:lineRule="exact"/>
        <w:rPr>
          <w:sz w:val="20"/>
          <w:szCs w:val="20"/>
          <w:color w:val="auto"/>
        </w:rPr>
      </w:pPr>
    </w:p>
    <w:p>
      <w:pPr>
        <w:ind w:left="660" w:hanging="328"/>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issuer of the securities that was formerly a shell company has ceased to be a shell company;</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issuer of the securities is subject to the reporting requirements of Section 13 or 15(d) of the Exchange Act;</w:t>
      </w:r>
    </w:p>
    <w:p>
      <w:pPr>
        <w:spacing w:after="0" w:line="252" w:lineRule="exact"/>
        <w:rPr>
          <w:rFonts w:ascii="Arial" w:cs="Arial" w:eastAsia="Arial" w:hAnsi="Arial"/>
          <w:sz w:val="18"/>
          <w:szCs w:val="18"/>
          <w:color w:val="auto"/>
        </w:rPr>
      </w:pPr>
    </w:p>
    <w:p>
      <w:pPr>
        <w:ind w:left="660" w:right="220" w:hanging="328"/>
        <w:spacing w:after="0" w:line="342" w:lineRule="auto"/>
        <w:tabs>
          <w:tab w:leader="none" w:pos="660"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issuer of the securities has filed all Exchange Act reports and material required to be filed, as applicable, during the preceding 12 months (or such shorter period that the issuer was required to file such reports and materials), other than Current Reports on Form 8-K; and</w:t>
      </w:r>
    </w:p>
    <w:p>
      <w:pPr>
        <w:spacing w:after="0" w:line="150" w:lineRule="exact"/>
        <w:rPr>
          <w:rFonts w:ascii="Arial" w:cs="Arial" w:eastAsia="Arial" w:hAnsi="Arial"/>
          <w:sz w:val="16"/>
          <w:szCs w:val="16"/>
          <w:color w:val="auto"/>
        </w:rPr>
      </w:pPr>
    </w:p>
    <w:p>
      <w:pPr>
        <w:ind w:left="660" w:right="60" w:hanging="328"/>
        <w:spacing w:after="0" w:line="277" w:lineRule="auto"/>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at least one year has elapsed from the time that the issuer filed current Form 10 type information with the SEC reflecting its status as an entity that is not a shell company.</w:t>
      </w:r>
    </w:p>
    <w:p>
      <w:pPr>
        <w:spacing w:after="0" w:line="190" w:lineRule="exact"/>
        <w:rPr>
          <w:sz w:val="20"/>
          <w:szCs w:val="20"/>
          <w:color w:val="auto"/>
        </w:rPr>
      </w:pPr>
    </w:p>
    <w:p>
      <w:pPr>
        <w:ind w:right="500" w:firstLine="324"/>
        <w:spacing w:after="0"/>
        <w:rPr>
          <w:sz w:val="20"/>
          <w:szCs w:val="20"/>
          <w:color w:val="auto"/>
        </w:rPr>
      </w:pPr>
      <w:r>
        <w:rPr>
          <w:rFonts w:ascii="Arial" w:cs="Arial" w:eastAsia="Arial" w:hAnsi="Arial"/>
          <w:sz w:val="22"/>
          <w:szCs w:val="22"/>
          <w:color w:val="auto"/>
        </w:rPr>
        <w:t>As a result, our initial shareholders will be able to sell their founder shares and our sponsor will be able to sell its private placement warrants, pursuant to Rule 144 without registration, one year after we have completed our initial business combination.</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Registration Rights</w:t>
      </w:r>
    </w:p>
    <w:p>
      <w:pPr>
        <w:spacing w:after="0" w:line="239" w:lineRule="exact"/>
        <w:rPr>
          <w:sz w:val="20"/>
          <w:szCs w:val="20"/>
          <w:color w:val="auto"/>
        </w:rPr>
      </w:pPr>
    </w:p>
    <w:p>
      <w:pPr>
        <w:ind w:firstLine="324"/>
        <w:spacing w:after="0" w:line="270" w:lineRule="auto"/>
        <w:rPr>
          <w:sz w:val="20"/>
          <w:szCs w:val="20"/>
          <w:color w:val="auto"/>
        </w:rPr>
      </w:pPr>
      <w:r>
        <w:rPr>
          <w:rFonts w:ascii="Arial" w:cs="Arial" w:eastAsia="Arial" w:hAnsi="Arial"/>
          <w:sz w:val="19"/>
          <w:szCs w:val="19"/>
          <w:color w:val="auto"/>
        </w:rPr>
        <w:t>The holders of the founder shares, private placement warrants and any warrants that may be issued on conversion of working capital loans (and any ordinary shares issuable upon the exercise of the private placement warrants or warrants issued upon conversion of the working capital loans and upon conversion of the founder shares) are be entitled to registration rights pursuant to a registration rights agreement requiring us to register such securities for resale. The holders of these securities are entitled to make up to three demands, excluding short form registration demands, that we register such securities. In addition, the holders have certain “piggy-back” registration rights with respect to registration statements filed subsequent to our completion of our initial business combination and rights to require us to register for resale such securities pursuant to Rule 415 under the Securities Act. However, the registration rights agreement provides that we will not permit any registration statement filed under the Securities Act to become effective until termination of the applicable lock-up period, which occurs (1) in the case of the founder shares, on the earlier of (A) one year after the completion of our initial business combination or (B) subsequent to our initial business combination, (x) if the last reported sale price of Class A ordinary shares equals or exceeds $12.00 per share (as adjusted for share splits, share dividends, rights issuances, subdivisions, reorganizations, recapitalizations and the like) for any 20 trading days within any 30-trading day period commencing at least 150 days after our initial business combination, or (y) the date following the completion of our initial business combination on which we complete a liquidation, merger, amalgamation, share exchange, reorganization or other similar transaction that results in all of our public shareholders having the right to exchange their Class A ordinary shares for cash, securities or other property, and (2) in the case of the private placement warrants and the respective Class A ordinary shares underlying such warrants, 30 days after the completion of our initial business combination. We will bear the expenses incurred in connection with the filing of any such registration statements.</w:t>
      </w:r>
    </w:p>
    <w:p>
      <w:pPr>
        <w:sectPr>
          <w:pgSz w:w="11900" w:h="16866" w:orient="portrait"/>
          <w:cols w:equalWidth="0" w:num="1">
            <w:col w:w="11240"/>
          </w:cols>
          <w:pgMar w:left="320" w:top="111" w:right="339" w:bottom="0" w:gutter="0" w:footer="0" w:header="0"/>
        </w:sectPr>
      </w:pPr>
    </w:p>
    <w:bookmarkStart w:id="120" w:name="page121"/>
    <w:bookmarkEnd w:id="120"/>
    <w:p>
      <w:pPr>
        <w:spacing w:after="0"/>
        <w:rPr>
          <w:sz w:val="20"/>
          <w:szCs w:val="20"/>
          <w:color w:val="auto"/>
        </w:rPr>
      </w:pPr>
      <w:r>
        <w:rPr>
          <w:rFonts w:ascii="Arial" w:cs="Arial" w:eastAsia="Arial" w:hAnsi="Arial"/>
          <w:sz w:val="22"/>
          <w:szCs w:val="22"/>
          <w:b w:val="1"/>
          <w:bCs w:val="1"/>
          <w:color w:val="auto"/>
        </w:rPr>
        <w:t>Listing of Securities</w:t>
      </w:r>
    </w:p>
    <w:p>
      <w:pPr>
        <w:spacing w:after="0" w:line="239" w:lineRule="exact"/>
        <w:rPr>
          <w:sz w:val="20"/>
          <w:szCs w:val="20"/>
          <w:color w:val="auto"/>
        </w:rPr>
      </w:pPr>
    </w:p>
    <w:p>
      <w:pPr>
        <w:ind w:firstLine="324"/>
        <w:spacing w:after="0" w:line="250" w:lineRule="auto"/>
        <w:rPr>
          <w:sz w:val="20"/>
          <w:szCs w:val="20"/>
          <w:color w:val="auto"/>
        </w:rPr>
      </w:pPr>
      <w:r>
        <w:rPr>
          <w:rFonts w:ascii="Arial" w:cs="Arial" w:eastAsia="Arial" w:hAnsi="Arial"/>
          <w:sz w:val="22"/>
          <w:szCs w:val="22"/>
          <w:color w:val="auto"/>
        </w:rPr>
        <w:t>Our units, Class A ordinary shares and warrants have been approved for trading on Nasdaq under the symbols “SSPKU,” “SSPK” and “SSPKW,”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364490</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00"/>
          </w:cols>
          <w:pgMar w:left="320" w:top="355" w:right="779" w:bottom="1440" w:gutter="0" w:footer="0" w:header="0"/>
        </w:sectPr>
      </w:pPr>
    </w:p>
    <w:bookmarkStart w:id="121" w:name="page122"/>
    <w:bookmarkEnd w:id="121"/>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4">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31.1</w:t>
      </w:r>
    </w:p>
    <w:p>
      <w:pPr>
        <w:spacing w:after="0" w:line="233" w:lineRule="exact"/>
        <w:rPr>
          <w:sz w:val="20"/>
          <w:szCs w:val="20"/>
          <w:color w:val="auto"/>
        </w:rPr>
      </w:pPr>
    </w:p>
    <w:p>
      <w:pPr>
        <w:jc w:val="center"/>
        <w:ind w:left="340" w:right="2760"/>
        <w:spacing w:after="0" w:line="239" w:lineRule="auto"/>
        <w:rPr>
          <w:sz w:val="20"/>
          <w:szCs w:val="20"/>
          <w:color w:val="auto"/>
        </w:rPr>
      </w:pPr>
      <w:r>
        <w:rPr>
          <w:rFonts w:ascii="Arial" w:cs="Arial" w:eastAsia="Arial" w:hAnsi="Arial"/>
          <w:sz w:val="22"/>
          <w:szCs w:val="22"/>
          <w:b w:val="1"/>
          <w:bCs w:val="1"/>
          <w:color w:val="auto"/>
        </w:rPr>
        <w:t>CERTIFICATION OF THE CHIEF EXECUTIVE OFFICER PURSUANT TO RULE 13a-14(a) AS ADOPTED PURSUANT TO SECTION 302 OF THE SARBANES-OXLEY ACT OF 2002</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color w:val="auto"/>
        </w:rPr>
        <w:t>I, Scott Gordon, certify that:</w:t>
      </w:r>
    </w:p>
    <w:p>
      <w:pPr>
        <w:spacing w:after="0" w:line="240" w:lineRule="exact"/>
        <w:rPr>
          <w:sz w:val="20"/>
          <w:szCs w:val="20"/>
          <w:color w:val="auto"/>
        </w:rPr>
      </w:pPr>
    </w:p>
    <w:p>
      <w:pPr>
        <w:ind w:left="600" w:hanging="592"/>
        <w:spacing w:after="0"/>
        <w:tabs>
          <w:tab w:leader="none" w:pos="6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Silver Spike Acquisition Corp. (the “Company”);</w:t>
      </w:r>
    </w:p>
    <w:p>
      <w:pPr>
        <w:spacing w:after="0" w:line="252" w:lineRule="exact"/>
        <w:rPr>
          <w:rFonts w:ascii="Arial" w:cs="Arial" w:eastAsia="Arial" w:hAnsi="Arial"/>
          <w:sz w:val="18"/>
          <w:szCs w:val="18"/>
          <w:color w:val="auto"/>
        </w:rPr>
      </w:pPr>
    </w:p>
    <w:p>
      <w:pPr>
        <w:jc w:val="both"/>
        <w:ind w:left="600" w:right="180" w:hanging="592"/>
        <w:spacing w:after="0" w:line="263" w:lineRule="auto"/>
        <w:tabs>
          <w:tab w:leader="none" w:pos="6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600" w:right="140" w:hanging="592"/>
        <w:spacing w:after="0" w:line="308" w:lineRule="auto"/>
        <w:tabs>
          <w:tab w:leader="none" w:pos="600" w:val="left"/>
        </w:tabs>
        <w:numPr>
          <w:ilvl w:val="0"/>
          <w:numId w:val="5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73" w:lineRule="exact"/>
        <w:rPr>
          <w:rFonts w:ascii="Arial" w:cs="Arial" w:eastAsia="Arial" w:hAnsi="Arial"/>
          <w:sz w:val="17"/>
          <w:szCs w:val="17"/>
          <w:color w:val="auto"/>
        </w:rPr>
      </w:pPr>
    </w:p>
    <w:p>
      <w:pPr>
        <w:ind w:left="600" w:right="340" w:hanging="592"/>
        <w:spacing w:after="0" w:line="277" w:lineRule="auto"/>
        <w:tabs>
          <w:tab w:leader="none" w:pos="6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Company’s other certifying officer and I are responsible for establishing and maintaining disclosure controls and procedures (as defined in Exchange Act Rules 13a-15(e) and 15d-15(e)) and have:</w:t>
      </w:r>
    </w:p>
    <w:p>
      <w:pPr>
        <w:spacing w:after="0" w:line="197" w:lineRule="exact"/>
        <w:rPr>
          <w:sz w:val="20"/>
          <w:szCs w:val="20"/>
          <w:color w:val="auto"/>
        </w:rPr>
      </w:pPr>
    </w:p>
    <w:p>
      <w:pPr>
        <w:ind w:left="1260" w:right="160" w:hanging="1252"/>
        <w:spacing w:after="0" w:line="263" w:lineRule="auto"/>
        <w:tabs>
          <w:tab w:leader="none" w:pos="12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ind w:left="1260" w:hanging="1252"/>
        <w:spacing w:after="0"/>
        <w:tabs>
          <w:tab w:leader="none" w:pos="12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[Paragraph intentionally omitted in accordance with SEC Release Nos. 34-47986 and 34-54942];</w:t>
      </w:r>
    </w:p>
    <w:p>
      <w:pPr>
        <w:spacing w:after="0" w:line="252" w:lineRule="exact"/>
        <w:rPr>
          <w:rFonts w:ascii="Arial" w:cs="Arial" w:eastAsia="Arial" w:hAnsi="Arial"/>
          <w:sz w:val="18"/>
          <w:szCs w:val="18"/>
          <w:color w:val="auto"/>
        </w:rPr>
      </w:pPr>
    </w:p>
    <w:p>
      <w:pPr>
        <w:jc w:val="both"/>
        <w:ind w:left="1260" w:right="260" w:hanging="1252"/>
        <w:spacing w:after="0" w:line="342" w:lineRule="auto"/>
        <w:tabs>
          <w:tab w:leader="none" w:pos="1260" w:val="left"/>
        </w:tabs>
        <w:numPr>
          <w:ilvl w:val="0"/>
          <w:numId w:val="56"/>
        </w:numPr>
        <w:rPr>
          <w:rFonts w:ascii="Arial" w:cs="Arial" w:eastAsia="Arial" w:hAnsi="Arial"/>
          <w:sz w:val="16"/>
          <w:szCs w:val="16"/>
          <w:color w:val="auto"/>
        </w:rPr>
      </w:pPr>
      <w:r>
        <w:rPr>
          <w:rFonts w:ascii="Arial" w:cs="Arial" w:eastAsia="Arial" w:hAnsi="Arial"/>
          <w:sz w:val="16"/>
          <w:szCs w:val="16"/>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1260" w:right="220" w:hanging="1252"/>
        <w:spacing w:after="0" w:line="263" w:lineRule="auto"/>
        <w:tabs>
          <w:tab w:leader="none" w:pos="12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Disclosed in this report any change in the Company’s internal control over financial reporting that occurred during the Company’s most recent fiscal quarter (the Company’s fourth fiscal quarter in the case of an annual report) that has materially affected, or is reasonably likely to materially affect, the Company’s internal control over financial reporting; and</w:t>
      </w:r>
    </w:p>
    <w:p>
      <w:pPr>
        <w:spacing w:after="0" w:line="211" w:lineRule="exact"/>
        <w:rPr>
          <w:sz w:val="20"/>
          <w:szCs w:val="20"/>
          <w:color w:val="auto"/>
        </w:rPr>
      </w:pPr>
    </w:p>
    <w:p>
      <w:pPr>
        <w:ind w:left="600" w:right="40" w:hanging="592"/>
        <w:spacing w:after="0" w:line="308" w:lineRule="auto"/>
        <w:tabs>
          <w:tab w:leader="none" w:pos="600" w:val="left"/>
        </w:tabs>
        <w:numPr>
          <w:ilvl w:val="0"/>
          <w:numId w:val="57"/>
        </w:numPr>
        <w:rPr>
          <w:rFonts w:ascii="Arial" w:cs="Arial" w:eastAsia="Arial" w:hAnsi="Arial"/>
          <w:sz w:val="17"/>
          <w:szCs w:val="17"/>
          <w:color w:val="auto"/>
        </w:rPr>
      </w:pPr>
      <w:r>
        <w:rPr>
          <w:rFonts w:ascii="Arial" w:cs="Arial" w:eastAsia="Arial" w:hAnsi="Arial"/>
          <w:sz w:val="17"/>
          <w:szCs w:val="17"/>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173" w:lineRule="exact"/>
        <w:rPr>
          <w:sz w:val="20"/>
          <w:szCs w:val="20"/>
          <w:color w:val="auto"/>
        </w:rPr>
      </w:pPr>
    </w:p>
    <w:p>
      <w:pPr>
        <w:ind w:left="1260" w:right="500" w:hanging="1252"/>
        <w:spacing w:after="0" w:line="342" w:lineRule="auto"/>
        <w:tabs>
          <w:tab w:leader="none" w:pos="1260" w:val="left"/>
        </w:tabs>
        <w:numPr>
          <w:ilvl w:val="0"/>
          <w:numId w:val="5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50" w:lineRule="exact"/>
        <w:rPr>
          <w:rFonts w:ascii="Arial" w:cs="Arial" w:eastAsia="Arial" w:hAnsi="Arial"/>
          <w:sz w:val="16"/>
          <w:szCs w:val="16"/>
          <w:color w:val="auto"/>
        </w:rPr>
      </w:pPr>
    </w:p>
    <w:p>
      <w:pPr>
        <w:ind w:left="1260" w:right="180" w:hanging="1252"/>
        <w:spacing w:after="0" w:line="277" w:lineRule="auto"/>
        <w:tabs>
          <w:tab w:leader="none" w:pos="12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March 30,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Scott Gordon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54325"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5">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Scott Gordon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 and Chariman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122" w:name="page123"/>
    <w:bookmarkEnd w:id="122"/>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7">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31.2</w:t>
      </w:r>
    </w:p>
    <w:p>
      <w:pPr>
        <w:spacing w:after="0" w:line="233" w:lineRule="exact"/>
        <w:rPr>
          <w:sz w:val="20"/>
          <w:szCs w:val="20"/>
          <w:color w:val="auto"/>
        </w:rPr>
      </w:pPr>
    </w:p>
    <w:p>
      <w:pPr>
        <w:jc w:val="center"/>
        <w:spacing w:after="0" w:line="239" w:lineRule="auto"/>
        <w:rPr>
          <w:sz w:val="20"/>
          <w:szCs w:val="20"/>
          <w:color w:val="auto"/>
        </w:rPr>
      </w:pPr>
      <w:r>
        <w:rPr>
          <w:rFonts w:ascii="Arial" w:cs="Arial" w:eastAsia="Arial" w:hAnsi="Arial"/>
          <w:sz w:val="22"/>
          <w:szCs w:val="22"/>
          <w:b w:val="1"/>
          <w:bCs w:val="1"/>
          <w:color w:val="auto"/>
        </w:rPr>
        <w:t>CERTIFICATION OF THE CHIEF FINANCIAL OFFICER PURSUANT TO RULE 13a-14(a) AS ADOPTED PURSUANT TO SECTION 302 OF THE SARBANES-OXLEY ACT OF 2002</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color w:val="auto"/>
        </w:rPr>
        <w:t>I, Gregory M. Gentile, certify that:</w:t>
      </w:r>
    </w:p>
    <w:p>
      <w:pPr>
        <w:spacing w:after="0" w:line="240" w:lineRule="exact"/>
        <w:rPr>
          <w:sz w:val="20"/>
          <w:szCs w:val="20"/>
          <w:color w:val="auto"/>
        </w:rPr>
      </w:pPr>
    </w:p>
    <w:p>
      <w:pPr>
        <w:ind w:left="600" w:hanging="592"/>
        <w:spacing w:after="0"/>
        <w:tabs>
          <w:tab w:leader="none" w:pos="6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Silver Spike Acquisition Corp. (the “Company”);</w:t>
      </w:r>
    </w:p>
    <w:p>
      <w:pPr>
        <w:spacing w:after="0" w:line="252" w:lineRule="exact"/>
        <w:rPr>
          <w:rFonts w:ascii="Arial" w:cs="Arial" w:eastAsia="Arial" w:hAnsi="Arial"/>
          <w:sz w:val="18"/>
          <w:szCs w:val="18"/>
          <w:color w:val="auto"/>
        </w:rPr>
      </w:pPr>
    </w:p>
    <w:p>
      <w:pPr>
        <w:jc w:val="both"/>
        <w:ind w:left="600" w:right="180" w:hanging="592"/>
        <w:spacing w:after="0" w:line="263" w:lineRule="auto"/>
        <w:tabs>
          <w:tab w:leader="none" w:pos="6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600" w:right="140" w:hanging="592"/>
        <w:spacing w:after="0" w:line="308" w:lineRule="auto"/>
        <w:tabs>
          <w:tab w:leader="none" w:pos="600" w:val="left"/>
        </w:tabs>
        <w:numPr>
          <w:ilvl w:val="0"/>
          <w:numId w:val="5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73" w:lineRule="exact"/>
        <w:rPr>
          <w:rFonts w:ascii="Arial" w:cs="Arial" w:eastAsia="Arial" w:hAnsi="Arial"/>
          <w:sz w:val="17"/>
          <w:szCs w:val="17"/>
          <w:color w:val="auto"/>
        </w:rPr>
      </w:pPr>
    </w:p>
    <w:p>
      <w:pPr>
        <w:ind w:left="600" w:right="340" w:hanging="592"/>
        <w:spacing w:after="0" w:line="277" w:lineRule="auto"/>
        <w:tabs>
          <w:tab w:leader="none" w:pos="6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Company’s other certifying officer and I are responsible for establishing and maintaining disclosure controls and procedures (as defined in Exchange Act Rules 13a-15(e) and have:</w:t>
      </w:r>
    </w:p>
    <w:p>
      <w:pPr>
        <w:spacing w:after="0" w:line="197" w:lineRule="exact"/>
        <w:rPr>
          <w:sz w:val="20"/>
          <w:szCs w:val="20"/>
          <w:color w:val="auto"/>
        </w:rPr>
      </w:pPr>
    </w:p>
    <w:p>
      <w:pPr>
        <w:ind w:left="1260" w:right="160" w:hanging="1252"/>
        <w:spacing w:after="0" w:line="263" w:lineRule="auto"/>
        <w:tabs>
          <w:tab w:leader="none" w:pos="12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ind w:left="1260" w:hanging="1252"/>
        <w:spacing w:after="0"/>
        <w:tabs>
          <w:tab w:leader="none" w:pos="12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[Paragraph intentionally omitted in accordance with SEC Release Nos. 34-47986 and 34-54942];</w:t>
      </w:r>
    </w:p>
    <w:p>
      <w:pPr>
        <w:spacing w:after="0" w:line="252" w:lineRule="exact"/>
        <w:rPr>
          <w:rFonts w:ascii="Arial" w:cs="Arial" w:eastAsia="Arial" w:hAnsi="Arial"/>
          <w:sz w:val="18"/>
          <w:szCs w:val="18"/>
          <w:color w:val="auto"/>
        </w:rPr>
      </w:pPr>
    </w:p>
    <w:p>
      <w:pPr>
        <w:jc w:val="both"/>
        <w:ind w:left="1260" w:right="260" w:hanging="1252"/>
        <w:spacing w:after="0" w:line="342" w:lineRule="auto"/>
        <w:tabs>
          <w:tab w:leader="none" w:pos="1260" w:val="left"/>
        </w:tabs>
        <w:numPr>
          <w:ilvl w:val="0"/>
          <w:numId w:val="60"/>
        </w:numPr>
        <w:rPr>
          <w:rFonts w:ascii="Arial" w:cs="Arial" w:eastAsia="Arial" w:hAnsi="Arial"/>
          <w:sz w:val="16"/>
          <w:szCs w:val="16"/>
          <w:color w:val="auto"/>
        </w:rPr>
      </w:pPr>
      <w:r>
        <w:rPr>
          <w:rFonts w:ascii="Arial" w:cs="Arial" w:eastAsia="Arial" w:hAnsi="Arial"/>
          <w:sz w:val="16"/>
          <w:szCs w:val="16"/>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1260" w:right="220" w:hanging="1252"/>
        <w:spacing w:after="0" w:line="263" w:lineRule="auto"/>
        <w:tabs>
          <w:tab w:leader="none" w:pos="12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Disclosed in this report any change in the Company’s internal control over financial reporting that occurred during the Company’s most recent fiscal quarter (the Company’s fourth fiscal quarter in the case of an annual report) that has materially affected, or is reasonably likely to materially affect, the Company’s internal control over financial reporting; and</w:t>
      </w:r>
    </w:p>
    <w:p>
      <w:pPr>
        <w:spacing w:after="0" w:line="211" w:lineRule="exact"/>
        <w:rPr>
          <w:sz w:val="20"/>
          <w:szCs w:val="20"/>
          <w:color w:val="auto"/>
        </w:rPr>
      </w:pPr>
    </w:p>
    <w:p>
      <w:pPr>
        <w:ind w:left="600" w:right="40" w:hanging="592"/>
        <w:spacing w:after="0" w:line="308" w:lineRule="auto"/>
        <w:tabs>
          <w:tab w:leader="none" w:pos="600" w:val="left"/>
        </w:tabs>
        <w:numPr>
          <w:ilvl w:val="0"/>
          <w:numId w:val="61"/>
        </w:numPr>
        <w:rPr>
          <w:rFonts w:ascii="Arial" w:cs="Arial" w:eastAsia="Arial" w:hAnsi="Arial"/>
          <w:sz w:val="17"/>
          <w:szCs w:val="17"/>
          <w:color w:val="auto"/>
        </w:rPr>
      </w:pPr>
      <w:r>
        <w:rPr>
          <w:rFonts w:ascii="Arial" w:cs="Arial" w:eastAsia="Arial" w:hAnsi="Arial"/>
          <w:sz w:val="17"/>
          <w:szCs w:val="17"/>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173" w:lineRule="exact"/>
        <w:rPr>
          <w:sz w:val="20"/>
          <w:szCs w:val="20"/>
          <w:color w:val="auto"/>
        </w:rPr>
      </w:pPr>
    </w:p>
    <w:p>
      <w:pPr>
        <w:ind w:left="1260" w:right="500" w:hanging="1252"/>
        <w:spacing w:after="0" w:line="342" w:lineRule="auto"/>
        <w:tabs>
          <w:tab w:leader="none" w:pos="1260" w:val="left"/>
        </w:tabs>
        <w:numPr>
          <w:ilvl w:val="0"/>
          <w:numId w:val="6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50" w:lineRule="exact"/>
        <w:rPr>
          <w:rFonts w:ascii="Arial" w:cs="Arial" w:eastAsia="Arial" w:hAnsi="Arial"/>
          <w:sz w:val="16"/>
          <w:szCs w:val="16"/>
          <w:color w:val="auto"/>
        </w:rPr>
      </w:pPr>
    </w:p>
    <w:p>
      <w:pPr>
        <w:ind w:left="1260" w:right="180" w:hanging="1252"/>
        <w:spacing w:after="0" w:line="277" w:lineRule="auto"/>
        <w:tabs>
          <w:tab w:leader="none" w:pos="12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March 30,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Gregory M. Gentile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6616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8">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Gregory M. Gentile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123" w:name="page124"/>
    <w:bookmarkEnd w:id="123"/>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0">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32.1</w:t>
      </w:r>
    </w:p>
    <w:p>
      <w:pPr>
        <w:spacing w:after="0" w:line="233" w:lineRule="exact"/>
        <w:rPr>
          <w:sz w:val="20"/>
          <w:szCs w:val="20"/>
          <w:color w:val="auto"/>
        </w:rPr>
      </w:pPr>
    </w:p>
    <w:p>
      <w:pPr>
        <w:jc w:val="center"/>
        <w:ind w:left="340" w:right="2760"/>
        <w:spacing w:after="0" w:line="239" w:lineRule="auto"/>
        <w:rPr>
          <w:sz w:val="20"/>
          <w:szCs w:val="20"/>
          <w:color w:val="auto"/>
        </w:rPr>
      </w:pPr>
      <w:r>
        <w:rPr>
          <w:rFonts w:ascii="Arial" w:cs="Arial" w:eastAsia="Arial" w:hAnsi="Arial"/>
          <w:sz w:val="22"/>
          <w:szCs w:val="22"/>
          <w:b w:val="1"/>
          <w:bCs w:val="1"/>
          <w:color w:val="auto"/>
        </w:rPr>
        <w:t>CERTIFICATION OF THE CHIEF EXECUTIVE OFFICER PURSUANT TO 18 U.S.C. § 1350 AS ADOPTED PURSUANT TO SECTION 906 OF THE SARBANES-OXLEY ACT OF 2002</w:t>
      </w:r>
    </w:p>
    <w:p>
      <w:pPr>
        <w:spacing w:after="0" w:line="213" w:lineRule="exact"/>
        <w:rPr>
          <w:sz w:val="20"/>
          <w:szCs w:val="20"/>
          <w:color w:val="auto"/>
        </w:rPr>
      </w:pPr>
    </w:p>
    <w:p>
      <w:pPr>
        <w:spacing w:after="0" w:line="328" w:lineRule="auto"/>
        <w:rPr>
          <w:sz w:val="20"/>
          <w:szCs w:val="20"/>
          <w:color w:val="auto"/>
        </w:rPr>
      </w:pPr>
      <w:r>
        <w:rPr>
          <w:rFonts w:ascii="Arial" w:cs="Arial" w:eastAsia="Arial" w:hAnsi="Arial"/>
          <w:sz w:val="19"/>
          <w:szCs w:val="19"/>
          <w:color w:val="auto"/>
        </w:rPr>
        <w:t>I, Scott Gordon, Chief Executive Officer and Chairman of Silver Spike Acquisition Corp. (the “Company”), certify, pursuant to 18 U.S.C. § 1350, as adopted pursuant to Section 906 of the Sarbanes-Oxley Act of 2002, that, to my knowledge:</w:t>
      </w:r>
    </w:p>
    <w:p>
      <w:pPr>
        <w:spacing w:after="0" w:line="139" w:lineRule="exact"/>
        <w:rPr>
          <w:sz w:val="20"/>
          <w:szCs w:val="20"/>
          <w:color w:val="auto"/>
        </w:rPr>
      </w:pPr>
    </w:p>
    <w:p>
      <w:pPr>
        <w:ind w:left="680" w:right="280" w:hanging="672"/>
        <w:spacing w:after="0" w:line="277" w:lineRule="auto"/>
        <w:tabs>
          <w:tab w:leader="none" w:pos="6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Annual Report of the Company on Form 10-K for the fiscal year ended December 31, 2019 (the “Annual Report”) fully complies with the requirements of Section 13(a) or Section 15(d) of the Securities Exchange Act of 1934; and</w:t>
      </w:r>
    </w:p>
    <w:p>
      <w:pPr>
        <w:spacing w:after="0" w:line="197" w:lineRule="exact"/>
        <w:rPr>
          <w:rFonts w:ascii="Arial" w:cs="Arial" w:eastAsia="Arial" w:hAnsi="Arial"/>
          <w:sz w:val="18"/>
          <w:szCs w:val="18"/>
          <w:color w:val="auto"/>
        </w:rPr>
      </w:pPr>
    </w:p>
    <w:p>
      <w:pPr>
        <w:ind w:left="680" w:right="320" w:hanging="672"/>
        <w:spacing w:after="0" w:line="277" w:lineRule="auto"/>
        <w:tabs>
          <w:tab w:leader="none" w:pos="6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information contained in the Annual Report fairly presents, in all material respects, the financial condition and results of operations of the Company.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March 30,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Scott Gordon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6616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1">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Scott Gordon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 and Chairman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pacing w:after="0" w:line="231"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This certification accompanies the Report pursuant to Section 906 of the Sarbanes-Oxley Act of 2002 and shall not, except to the extent required by such Act, be deemed filed by the Company for purposes of Section 18 of the Securities Exchange Act of 1934, as amended (the “Exchange Act”). Such certification will not be deemed to be incorporated by reference into any filing under the Securities Act of 1933, as amended, or the Exchange Act, except to the extent that the Company specifically incorporates it by reference.</w:t>
      </w:r>
    </w:p>
    <w:p>
      <w:pPr>
        <w:spacing w:after="0" w:line="214"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A signed original of this written statement required by Section 906 has been provided to the Company and will be retained by the Company and furnished to the U.S.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364490</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124" w:name="page125"/>
    <w:bookmarkEnd w:id="124"/>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3">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32.2</w:t>
      </w:r>
    </w:p>
    <w:p>
      <w:pPr>
        <w:spacing w:after="0" w:line="233" w:lineRule="exact"/>
        <w:rPr>
          <w:sz w:val="20"/>
          <w:szCs w:val="20"/>
          <w:color w:val="auto"/>
        </w:rPr>
      </w:pPr>
    </w:p>
    <w:p>
      <w:pPr>
        <w:jc w:val="center"/>
        <w:spacing w:after="0" w:line="239" w:lineRule="auto"/>
        <w:rPr>
          <w:sz w:val="20"/>
          <w:szCs w:val="20"/>
          <w:color w:val="auto"/>
        </w:rPr>
      </w:pPr>
      <w:r>
        <w:rPr>
          <w:rFonts w:ascii="Arial" w:cs="Arial" w:eastAsia="Arial" w:hAnsi="Arial"/>
          <w:sz w:val="22"/>
          <w:szCs w:val="22"/>
          <w:b w:val="1"/>
          <w:bCs w:val="1"/>
          <w:color w:val="auto"/>
        </w:rPr>
        <w:t>CERTIFICATION OF THE CHIEF FINANCIAL OFFICER PURSUANT TO 18 U.S.C. § 1350 AS ADOPTED PURSUANT TO SECTION 906 OF THE SARBANES-OXLEY ACT OF 2002</w:t>
      </w:r>
    </w:p>
    <w:p>
      <w:pPr>
        <w:spacing w:after="0" w:line="213" w:lineRule="exact"/>
        <w:rPr>
          <w:sz w:val="20"/>
          <w:szCs w:val="20"/>
          <w:color w:val="auto"/>
        </w:rPr>
      </w:pPr>
    </w:p>
    <w:p>
      <w:pPr>
        <w:spacing w:after="0"/>
        <w:rPr>
          <w:sz w:val="20"/>
          <w:szCs w:val="20"/>
          <w:color w:val="auto"/>
        </w:rPr>
      </w:pPr>
      <w:r>
        <w:rPr>
          <w:rFonts w:ascii="Arial" w:cs="Arial" w:eastAsia="Arial" w:hAnsi="Arial"/>
          <w:sz w:val="19"/>
          <w:szCs w:val="19"/>
          <w:color w:val="auto"/>
        </w:rPr>
        <w:t>I, Gregory M. Gentile, Chief Financial Officer of Silver Spike Acquisition Corp. (the “Company”), certify, pursuant to 18 U.S.C.</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 1350, as adopted pursuant to Section 906 of the Sarbanes-Oxley Act of 2002, that, to my knowledge:</w:t>
      </w:r>
    </w:p>
    <w:p>
      <w:pPr>
        <w:spacing w:after="0" w:line="222" w:lineRule="exact"/>
        <w:rPr>
          <w:sz w:val="20"/>
          <w:szCs w:val="20"/>
          <w:color w:val="auto"/>
        </w:rPr>
      </w:pPr>
    </w:p>
    <w:p>
      <w:pPr>
        <w:ind w:left="740" w:right="220" w:hanging="732"/>
        <w:spacing w:after="0" w:line="277" w:lineRule="auto"/>
        <w:tabs>
          <w:tab w:leader="none" w:pos="7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Annual Report of the Company on Form 10-K for the fiscal year ended December 31, 2019 (the “Annual Report”) fully complies with the requirements of Section 13(a) or Section 15(d) of the Securities Exchange Act of 1934; and</w:t>
      </w:r>
    </w:p>
    <w:p>
      <w:pPr>
        <w:spacing w:after="0" w:line="197" w:lineRule="exact"/>
        <w:rPr>
          <w:rFonts w:ascii="Arial" w:cs="Arial" w:eastAsia="Arial" w:hAnsi="Arial"/>
          <w:sz w:val="18"/>
          <w:szCs w:val="18"/>
          <w:color w:val="auto"/>
        </w:rPr>
      </w:pPr>
    </w:p>
    <w:p>
      <w:pPr>
        <w:ind w:left="740" w:right="260" w:hanging="732"/>
        <w:spacing w:after="0" w:line="277" w:lineRule="auto"/>
        <w:tabs>
          <w:tab w:leader="none" w:pos="7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information contained in the Annual Report fairly presents, in all material respects, the financial condition and results of operations of the Company.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March 30,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Gregory M. Gentile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6616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4">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Gregory M. Gentile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31"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This certification accompanies the Report pursuant to Section 906 of the Sarbanes-Oxley Act of 2002 and shall not, except to the extent required by such Act, be deemed filed by the Company for purposes of Section 18 of the Securities Exchange Act of 1934, as amended (the “Exchange Act”). Such certification will not be deemed to be incorporated by reference into any filing under the Securities Act of 1933, as amended, or the Exchange Act, except to the extent that the Company specifically incorporates it by reference.</w:t>
      </w:r>
    </w:p>
    <w:p>
      <w:pPr>
        <w:spacing w:after="0" w:line="214"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A signed original of this written statement required by Section 906 has been provided to the Company and will be retained by the Company and furnished to the U.S.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364490</wp:posOffset>
            </wp:positionV>
            <wp:extent cx="71323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27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2221A70"/>
    <w:multiLevelType w:val="hybridMultilevel"/>
    <w:lvl w:ilvl="0">
      <w:lvlJc w:val="left"/>
      <w:lvlText w:val="☒"/>
      <w:numFmt w:val="bullet"/>
      <w:start w:val="1"/>
    </w:lvl>
  </w:abstractNum>
  <w:abstractNum w:abstractNumId="1">
    <w:nsid w:val="4516DDE9"/>
    <w:multiLevelType w:val="hybridMultilevel"/>
    <w:lvl w:ilvl="0">
      <w:lvlJc w:val="left"/>
      <w:lvlText w:val="☐"/>
      <w:numFmt w:val="bullet"/>
      <w:start w:val="1"/>
    </w:lvl>
  </w:abstractNum>
  <w:abstractNum w:abstractNumId="2">
    <w:nsid w:val="3006C83E"/>
    <w:multiLevelType w:val="hybridMultilevel"/>
    <w:lvl w:ilvl="0">
      <w:lvlJc w:val="left"/>
      <w:lvlText w:val="1"/>
      <w:numFmt w:val="bullet"/>
      <w:start w:val="1"/>
    </w:lvl>
  </w:abstractNum>
  <w:abstractNum w:abstractNumId="3">
    <w:nsid w:val="614FD4A1"/>
    <w:multiLevelType w:val="hybridMultilevel"/>
    <w:lvl w:ilvl="0">
      <w:lvlJc w:val="left"/>
      <w:lvlText w:val="•"/>
      <w:numFmt w:val="bullet"/>
      <w:start w:val="1"/>
    </w:lvl>
  </w:abstractNum>
  <w:abstractNum w:abstractNumId="4">
    <w:nsid w:val="419AC241"/>
    <w:multiLevelType w:val="hybridMultilevel"/>
    <w:lvl w:ilvl="0">
      <w:lvlJc w:val="left"/>
      <w:lvlText w:val="•"/>
      <w:numFmt w:val="bullet"/>
      <w:start w:val="1"/>
    </w:lvl>
  </w:abstractNum>
  <w:abstractNum w:abstractNumId="5">
    <w:nsid w:val="5577F8E1"/>
    <w:multiLevelType w:val="hybridMultilevel"/>
    <w:lvl w:ilvl="0">
      <w:lvlJc w:val="left"/>
      <w:lvlText w:val="•"/>
      <w:numFmt w:val="bullet"/>
      <w:start w:val="1"/>
    </w:lvl>
  </w:abstractNum>
  <w:abstractNum w:abstractNumId="6">
    <w:nsid w:val="440BADFC"/>
    <w:multiLevelType w:val="hybridMultilevel"/>
    <w:lvl w:ilvl="0">
      <w:lvlJc w:val="left"/>
      <w:lvlText w:val="•"/>
      <w:numFmt w:val="bullet"/>
      <w:start w:val="1"/>
    </w:lvl>
  </w:abstractNum>
  <w:abstractNum w:abstractNumId="7">
    <w:nsid w:val="5072367"/>
    <w:multiLevelType w:val="hybridMultilevel"/>
    <w:lvl w:ilvl="0">
      <w:lvlJc w:val="left"/>
      <w:lvlText w:val="•"/>
      <w:numFmt w:val="bullet"/>
      <w:start w:val="1"/>
    </w:lvl>
  </w:abstractNum>
  <w:abstractNum w:abstractNumId="8">
    <w:nsid w:val="3804823E"/>
    <w:multiLevelType w:val="hybridMultilevel"/>
    <w:lvl w:ilvl="0">
      <w:lvlJc w:val="left"/>
      <w:lvlText w:val="•"/>
      <w:numFmt w:val="bullet"/>
      <w:start w:val="1"/>
    </w:lvl>
  </w:abstractNum>
  <w:abstractNum w:abstractNumId="9">
    <w:nsid w:val="77465F01"/>
    <w:multiLevelType w:val="hybridMultilevel"/>
    <w:lvl w:ilvl="0">
      <w:lvlJc w:val="left"/>
      <w:lvlText w:val="(%1)"/>
      <w:numFmt w:val="upperLetter"/>
      <w:start w:val="2"/>
    </w:lvl>
  </w:abstractNum>
  <w:abstractNum w:abstractNumId="10">
    <w:nsid w:val="7724C67E"/>
    <w:multiLevelType w:val="hybridMultilevel"/>
    <w:lvl w:ilvl="0">
      <w:lvlJc w:val="left"/>
      <w:lvlText w:val="•"/>
      <w:numFmt w:val="bullet"/>
      <w:start w:val="1"/>
    </w:lvl>
  </w:abstractNum>
  <w:abstractNum w:abstractNumId="11">
    <w:nsid w:val="5C482A97"/>
    <w:multiLevelType w:val="hybridMultilevel"/>
    <w:lvl w:ilvl="0">
      <w:lvlJc w:val="left"/>
      <w:lvlText w:val="•"/>
      <w:numFmt w:val="bullet"/>
      <w:start w:val="1"/>
    </w:lvl>
  </w:abstractNum>
  <w:abstractNum w:abstractNumId="12">
    <w:nsid w:val="2463B9EA"/>
    <w:multiLevelType w:val="hybridMultilevel"/>
    <w:lvl w:ilvl="0">
      <w:lvlJc w:val="left"/>
      <w:lvlText w:val="•"/>
      <w:numFmt w:val="bullet"/>
      <w:start w:val="1"/>
    </w:lvl>
  </w:abstractNum>
  <w:abstractNum w:abstractNumId="13">
    <w:nsid w:val="5E884ADC"/>
    <w:multiLevelType w:val="hybridMultilevel"/>
    <w:lvl w:ilvl="0">
      <w:lvlJc w:val="left"/>
      <w:lvlText w:val="•"/>
      <w:numFmt w:val="bullet"/>
      <w:start w:val="1"/>
    </w:lvl>
  </w:abstractNum>
  <w:abstractNum w:abstractNumId="14">
    <w:nsid w:val="51EAD36B"/>
    <w:multiLevelType w:val="hybridMultilevel"/>
    <w:lvl w:ilvl="0">
      <w:lvlJc w:val="left"/>
      <w:lvlText w:val="•"/>
      <w:numFmt w:val="bullet"/>
      <w:start w:val="1"/>
    </w:lvl>
  </w:abstractNum>
  <w:abstractNum w:abstractNumId="15">
    <w:nsid w:val="2D517796"/>
    <w:multiLevelType w:val="hybridMultilevel"/>
    <w:lvl w:ilvl="0">
      <w:lvlJc w:val="left"/>
      <w:lvlText w:val="•"/>
      <w:numFmt w:val="bullet"/>
      <w:start w:val="1"/>
    </w:lvl>
  </w:abstractNum>
  <w:abstractNum w:abstractNumId="16">
    <w:nsid w:val="580BD78F"/>
    <w:multiLevelType w:val="hybridMultilevel"/>
    <w:lvl w:ilvl="0">
      <w:lvlJc w:val="left"/>
      <w:lvlText w:val="•"/>
      <w:numFmt w:val="bullet"/>
      <w:start w:val="1"/>
    </w:lvl>
  </w:abstractNum>
  <w:abstractNum w:abstractNumId="17">
    <w:nsid w:val="153EA438"/>
    <w:multiLevelType w:val="hybridMultilevel"/>
    <w:lvl w:ilvl="0">
      <w:lvlJc w:val="left"/>
      <w:lvlText w:val="•"/>
      <w:numFmt w:val="bullet"/>
      <w:start w:val="1"/>
    </w:lvl>
  </w:abstractNum>
  <w:abstractNum w:abstractNumId="18">
    <w:nsid w:val="3855585C"/>
    <w:multiLevelType w:val="hybridMultilevel"/>
    <w:lvl w:ilvl="0">
      <w:lvlJc w:val="left"/>
      <w:lvlText w:val="•"/>
      <w:numFmt w:val="bullet"/>
      <w:start w:val="1"/>
    </w:lvl>
  </w:abstractNum>
  <w:abstractNum w:abstractNumId="19">
    <w:nsid w:val="70A64E2A"/>
    <w:multiLevelType w:val="hybridMultilevel"/>
    <w:lvl w:ilvl="0">
      <w:lvlJc w:val="left"/>
      <w:lvlText w:val="(%1)"/>
      <w:numFmt w:val="lowerRoman"/>
      <w:start w:val="1"/>
    </w:lvl>
  </w:abstractNum>
  <w:abstractNum w:abstractNumId="20">
    <w:nsid w:val="6A2342EC"/>
    <w:multiLevelType w:val="hybridMultilevel"/>
    <w:lvl w:ilvl="0">
      <w:lvlJc w:val="left"/>
      <w:lvlText w:val="•"/>
      <w:numFmt w:val="bullet"/>
      <w:start w:val="1"/>
    </w:lvl>
  </w:abstractNum>
  <w:abstractNum w:abstractNumId="21">
    <w:nsid w:val="2A487CB0"/>
    <w:multiLevelType w:val="hybridMultilevel"/>
    <w:lvl w:ilvl="0">
      <w:lvlJc w:val="left"/>
      <w:lvlText w:val="•"/>
      <w:numFmt w:val="bullet"/>
      <w:start w:val="1"/>
    </w:lvl>
  </w:abstractNum>
  <w:abstractNum w:abstractNumId="22">
    <w:nsid w:val="1D4ED43B"/>
    <w:multiLevelType w:val="hybridMultilevel"/>
    <w:lvl w:ilvl="0">
      <w:lvlJc w:val="left"/>
      <w:lvlText w:val="(%1)"/>
      <w:numFmt w:val="lowerRoman"/>
      <w:start w:val="4"/>
    </w:lvl>
  </w:abstractNum>
  <w:abstractNum w:abstractNumId="23">
    <w:nsid w:val="725A06FB"/>
    <w:multiLevelType w:val="hybridMultilevel"/>
    <w:lvl w:ilvl="0">
      <w:lvlJc w:val="left"/>
      <w:lvlText w:val="(%1)"/>
      <w:numFmt w:val="lowerLetter"/>
      <w:start w:val="7"/>
    </w:lvl>
  </w:abstractNum>
  <w:abstractNum w:abstractNumId="24">
    <w:nsid w:val="2CD89A32"/>
    <w:multiLevelType w:val="hybridMultilevel"/>
    <w:lvl w:ilvl="0">
      <w:lvlJc w:val="left"/>
      <w:lvlText w:val="•"/>
      <w:numFmt w:val="bullet"/>
      <w:start w:val="1"/>
    </w:lvl>
  </w:abstractNum>
  <w:abstractNum w:abstractNumId="25">
    <w:nsid w:val="57E4CCAF"/>
    <w:multiLevelType w:val="hybridMultilevel"/>
    <w:lvl w:ilvl="0">
      <w:lvlJc w:val="left"/>
      <w:lvlText w:val="•"/>
      <w:numFmt w:val="bullet"/>
      <w:start w:val="1"/>
    </w:lvl>
  </w:abstractNum>
  <w:abstractNum w:abstractNumId="26">
    <w:nsid w:val="7A6D8D3C"/>
    <w:multiLevelType w:val="hybridMultilevel"/>
    <w:lvl w:ilvl="0">
      <w:lvlJc w:val="left"/>
      <w:lvlText w:val="•"/>
      <w:numFmt w:val="bullet"/>
      <w:start w:val="1"/>
    </w:lvl>
  </w:abstractNum>
  <w:abstractNum w:abstractNumId="27">
    <w:nsid w:val="4B588F54"/>
    <w:multiLevelType w:val="hybridMultilevel"/>
    <w:lvl w:ilvl="0">
      <w:lvlJc w:val="left"/>
      <w:lvlText w:val="•"/>
      <w:numFmt w:val="bullet"/>
      <w:start w:val="1"/>
    </w:lvl>
  </w:abstractNum>
  <w:abstractNum w:abstractNumId="28">
    <w:nsid w:val="542289EC"/>
    <w:multiLevelType w:val="hybridMultilevel"/>
    <w:lvl w:ilvl="0">
      <w:lvlJc w:val="left"/>
      <w:lvlText w:val="•"/>
      <w:numFmt w:val="bullet"/>
      <w:start w:val="1"/>
    </w:lvl>
  </w:abstractNum>
  <w:abstractNum w:abstractNumId="29">
    <w:nsid w:val="6DE91B18"/>
    <w:multiLevelType w:val="hybridMultilevel"/>
    <w:lvl w:ilvl="0">
      <w:lvlJc w:val="left"/>
      <w:lvlText w:val="•"/>
      <w:numFmt w:val="bullet"/>
      <w:start w:val="1"/>
    </w:lvl>
  </w:abstractNum>
  <w:abstractNum w:abstractNumId="30">
    <w:nsid w:val="38437FDB"/>
    <w:multiLevelType w:val="hybridMultilevel"/>
    <w:lvl w:ilvl="0">
      <w:lvlJc w:val="left"/>
      <w:lvlText w:val="•"/>
      <w:numFmt w:val="bullet"/>
      <w:start w:val="1"/>
    </w:lvl>
  </w:abstractNum>
  <w:abstractNum w:abstractNumId="31">
    <w:nsid w:val="7644A45C"/>
    <w:multiLevelType w:val="hybridMultilevel"/>
    <w:lvl w:ilvl="0">
      <w:lvlJc w:val="left"/>
      <w:lvlText w:val="•"/>
      <w:numFmt w:val="bullet"/>
      <w:start w:val="1"/>
    </w:lvl>
  </w:abstractNum>
  <w:abstractNum w:abstractNumId="32">
    <w:nsid w:val="32FFF902"/>
    <w:multiLevelType w:val="hybridMultilevel"/>
    <w:lvl w:ilvl="0">
      <w:lvlJc w:val="left"/>
      <w:lvlText w:val="•"/>
      <w:numFmt w:val="bullet"/>
      <w:start w:val="1"/>
    </w:lvl>
  </w:abstractNum>
  <w:abstractNum w:abstractNumId="33">
    <w:nsid w:val="684A481A"/>
    <w:multiLevelType w:val="hybridMultilevel"/>
    <w:lvl w:ilvl="0">
      <w:lvlJc w:val="left"/>
      <w:lvlText w:val="•"/>
      <w:numFmt w:val="bullet"/>
      <w:start w:val="1"/>
    </w:lvl>
  </w:abstractNum>
  <w:abstractNum w:abstractNumId="34">
    <w:nsid w:val="579478FE"/>
    <w:multiLevelType w:val="hybridMultilevel"/>
    <w:lvl w:ilvl="0">
      <w:lvlJc w:val="left"/>
      <w:lvlText w:val="*"/>
      <w:numFmt w:val="bullet"/>
      <w:start w:val="1"/>
    </w:lvl>
  </w:abstractNum>
  <w:abstractNum w:abstractNumId="35">
    <w:nsid w:val="749ABB43"/>
    <w:multiLevelType w:val="hybridMultilevel"/>
    <w:lvl w:ilvl="0">
      <w:lvlJc w:val="left"/>
      <w:lvlText w:val="(%1)"/>
      <w:numFmt w:val="decimal"/>
      <w:start w:val="1"/>
    </w:lvl>
  </w:abstractNum>
  <w:abstractNum w:abstractNumId="36">
    <w:nsid w:val="3DC240FB"/>
    <w:multiLevelType w:val="hybridMultilevel"/>
    <w:lvl w:ilvl="0">
      <w:lvlJc w:val="left"/>
      <w:lvlText w:val="(%1)"/>
      <w:numFmt w:val="decimal"/>
      <w:start w:val="5"/>
    </w:lvl>
  </w:abstractNum>
  <w:abstractNum w:abstractNumId="37">
    <w:nsid w:val="1BA026FA"/>
    <w:multiLevelType w:val="hybridMultilevel"/>
    <w:lvl w:ilvl="0">
      <w:lvlJc w:val="left"/>
      <w:lvlText w:val="•"/>
      <w:numFmt w:val="bullet"/>
      <w:start w:val="1"/>
    </w:lvl>
  </w:abstractNum>
  <w:abstractNum w:abstractNumId="38">
    <w:nsid w:val="79A1DEAA"/>
    <w:multiLevelType w:val="hybridMultilevel"/>
    <w:lvl w:ilvl="0">
      <w:lvlJc w:val="left"/>
      <w:lvlText w:val="(%1)"/>
      <w:numFmt w:val="lowerLetter"/>
      <w:start w:val="1"/>
    </w:lvl>
    <w:lvl w:ilvl="1">
      <w:lvlJc w:val="left"/>
      <w:lvlText w:val="(%2)"/>
      <w:numFmt w:val="decimal"/>
      <w:start w:val="1"/>
    </w:lvl>
  </w:abstractNum>
  <w:abstractNum w:abstractNumId="39">
    <w:nsid w:val="75C6C33A"/>
    <w:multiLevelType w:val="hybridMultilevel"/>
    <w:lvl w:ilvl="0">
      <w:lvlJc w:val="left"/>
      <w:lvlText w:val="*"/>
      <w:numFmt w:val="bullet"/>
      <w:start w:val="1"/>
    </w:lvl>
  </w:abstractNum>
  <w:abstractNum w:abstractNumId="40">
    <w:nsid w:val="12E685FB"/>
    <w:multiLevelType w:val="hybridMultilevel"/>
    <w:lvl w:ilvl="0">
      <w:lvlJc w:val="left"/>
      <w:lvlText w:val="(%1)"/>
      <w:numFmt w:val="decimal"/>
      <w:start w:val="1"/>
    </w:lvl>
  </w:abstractNum>
  <w:abstractNum w:abstractNumId="41">
    <w:nsid w:val="70C6A529"/>
    <w:multiLevelType w:val="hybridMultilevel"/>
    <w:lvl w:ilvl="0">
      <w:lvlJc w:val="left"/>
      <w:lvlText w:val="(%1)"/>
      <w:numFmt w:val="upperLetter"/>
      <w:start w:val="1"/>
    </w:lvl>
  </w:abstractNum>
  <w:abstractNum w:abstractNumId="42">
    <w:nsid w:val="520EEDD1"/>
    <w:multiLevelType w:val="hybridMultilevel"/>
    <w:lvl w:ilvl="0">
      <w:lvlJc w:val="left"/>
      <w:lvlText w:val="•"/>
      <w:numFmt w:val="bullet"/>
      <w:start w:val="1"/>
    </w:lvl>
  </w:abstractNum>
  <w:abstractNum w:abstractNumId="43">
    <w:nsid w:val="374A3FE6"/>
    <w:multiLevelType w:val="hybridMultilevel"/>
    <w:lvl w:ilvl="0">
      <w:lvlJc w:val="left"/>
      <w:lvlText w:val="•"/>
      <w:numFmt w:val="bullet"/>
      <w:start w:val="1"/>
    </w:lvl>
  </w:abstractNum>
  <w:abstractNum w:abstractNumId="44">
    <w:nsid w:val="4F4EF005"/>
    <w:multiLevelType w:val="hybridMultilevel"/>
    <w:lvl w:ilvl="0">
      <w:lvlJc w:val="left"/>
      <w:lvlText w:val="•"/>
      <w:numFmt w:val="bullet"/>
      <w:start w:val="1"/>
    </w:lvl>
  </w:abstractNum>
  <w:abstractNum w:abstractNumId="45">
    <w:nsid w:val="23F9C13C"/>
    <w:multiLevelType w:val="hybridMultilevel"/>
    <w:lvl w:ilvl="0">
      <w:lvlJc w:val="left"/>
      <w:lvlText w:val="•"/>
      <w:numFmt w:val="bullet"/>
      <w:start w:val="1"/>
    </w:lvl>
  </w:abstractNum>
  <w:abstractNum w:abstractNumId="46">
    <w:nsid w:val="649BB77C"/>
    <w:multiLevelType w:val="hybridMultilevel"/>
    <w:lvl w:ilvl="0">
      <w:lvlJc w:val="left"/>
      <w:lvlText w:val="•"/>
      <w:numFmt w:val="bullet"/>
      <w:start w:val="1"/>
    </w:lvl>
  </w:abstractNum>
  <w:abstractNum w:abstractNumId="47">
    <w:nsid w:val="275AC794"/>
    <w:multiLevelType w:val="hybridMultilevel"/>
    <w:lvl w:ilvl="0">
      <w:lvlJc w:val="left"/>
      <w:lvlText w:val="•"/>
      <w:numFmt w:val="bullet"/>
      <w:start w:val="1"/>
    </w:lvl>
  </w:abstractNum>
  <w:abstractNum w:abstractNumId="48">
    <w:nsid w:val="39386575"/>
    <w:multiLevelType w:val="hybridMultilevel"/>
    <w:lvl w:ilvl="0">
      <w:lvlJc w:val="left"/>
      <w:lvlText w:val="•"/>
      <w:numFmt w:val="bullet"/>
      <w:start w:val="1"/>
    </w:lvl>
  </w:abstractNum>
  <w:abstractNum w:abstractNumId="49">
    <w:nsid w:val="1CF10FD8"/>
    <w:multiLevelType w:val="hybridMultilevel"/>
    <w:lvl w:ilvl="0">
      <w:lvlJc w:val="left"/>
      <w:lvlText w:val="•"/>
      <w:numFmt w:val="bullet"/>
      <w:start w:val="1"/>
    </w:lvl>
  </w:abstractNum>
  <w:abstractNum w:abstractNumId="50">
    <w:nsid w:val="180115BE"/>
    <w:multiLevelType w:val="hybridMultilevel"/>
    <w:lvl w:ilvl="0">
      <w:lvlJc w:val="left"/>
      <w:lvlText w:val="•"/>
      <w:numFmt w:val="bullet"/>
      <w:start w:val="1"/>
    </w:lvl>
  </w:abstractNum>
  <w:abstractNum w:abstractNumId="51">
    <w:nsid w:val="235BA861"/>
    <w:multiLevelType w:val="hybridMultilevel"/>
    <w:lvl w:ilvl="0">
      <w:lvlJc w:val="left"/>
      <w:lvlText w:val="•"/>
      <w:numFmt w:val="bullet"/>
      <w:start w:val="1"/>
    </w:lvl>
  </w:abstractNum>
  <w:abstractNum w:abstractNumId="52">
    <w:nsid w:val="47398C89"/>
    <w:multiLevelType w:val="hybridMultilevel"/>
    <w:lvl w:ilvl="0">
      <w:lvlJc w:val="left"/>
      <w:lvlText w:val="•"/>
      <w:numFmt w:val="bullet"/>
      <w:start w:val="1"/>
    </w:lvl>
  </w:abstractNum>
  <w:abstractNum w:abstractNumId="53">
    <w:nsid w:val="354FE9F9"/>
    <w:multiLevelType w:val="hybridMultilevel"/>
    <w:lvl w:ilvl="0">
      <w:lvlJc w:val="left"/>
      <w:lvlText w:val="•"/>
      <w:numFmt w:val="bullet"/>
      <w:start w:val="1"/>
    </w:lvl>
  </w:abstractNum>
  <w:abstractNum w:abstractNumId="54">
    <w:nsid w:val="15B5AF5C"/>
    <w:multiLevelType w:val="hybridMultilevel"/>
    <w:lvl w:ilvl="0">
      <w:lvlJc w:val="left"/>
      <w:lvlText w:val="%1."/>
      <w:numFmt w:val="decimal"/>
      <w:start w:val="1"/>
    </w:lvl>
  </w:abstractNum>
  <w:abstractNum w:abstractNumId="55">
    <w:nsid w:val="741226BB"/>
    <w:multiLevelType w:val="hybridMultilevel"/>
    <w:lvl w:ilvl="0">
      <w:lvlJc w:val="left"/>
      <w:lvlText w:val="%1."/>
      <w:numFmt w:val="lowerLetter"/>
      <w:start w:val="1"/>
    </w:lvl>
  </w:abstractNum>
  <w:abstractNum w:abstractNumId="56">
    <w:nsid w:val="D34B6A8"/>
    <w:multiLevelType w:val="hybridMultilevel"/>
    <w:lvl w:ilvl="0">
      <w:lvlJc w:val="left"/>
      <w:lvlText w:val="%1."/>
      <w:numFmt w:val="decimal"/>
      <w:start w:val="5"/>
    </w:lvl>
  </w:abstractNum>
  <w:abstractNum w:abstractNumId="57">
    <w:nsid w:val="10233C99"/>
    <w:multiLevelType w:val="hybridMultilevel"/>
    <w:lvl w:ilvl="0">
      <w:lvlJc w:val="left"/>
      <w:lvlText w:val="%1."/>
      <w:numFmt w:val="lowerLetter"/>
      <w:start w:val="1"/>
    </w:lvl>
  </w:abstractNum>
  <w:abstractNum w:abstractNumId="58">
    <w:nsid w:val="3F6AB60F"/>
    <w:multiLevelType w:val="hybridMultilevel"/>
    <w:lvl w:ilvl="0">
      <w:lvlJc w:val="left"/>
      <w:lvlText w:val="%1."/>
      <w:numFmt w:val="decimal"/>
      <w:start w:val="1"/>
    </w:lvl>
  </w:abstractNum>
  <w:abstractNum w:abstractNumId="59">
    <w:nsid w:val="61574095"/>
    <w:multiLevelType w:val="hybridMultilevel"/>
    <w:lvl w:ilvl="0">
      <w:lvlJc w:val="left"/>
      <w:lvlText w:val="%1."/>
      <w:numFmt w:val="lowerLetter"/>
      <w:start w:val="1"/>
    </w:lvl>
  </w:abstractNum>
  <w:abstractNum w:abstractNumId="60">
    <w:nsid w:val="7E0C57B1"/>
    <w:multiLevelType w:val="hybridMultilevel"/>
    <w:lvl w:ilvl="0">
      <w:lvlJc w:val="left"/>
      <w:lvlText w:val="%1."/>
      <w:numFmt w:val="decimal"/>
      <w:start w:val="5"/>
    </w:lvl>
  </w:abstractNum>
  <w:abstractNum w:abstractNumId="61">
    <w:nsid w:val="77AE35EB"/>
    <w:multiLevelType w:val="hybridMultilevel"/>
    <w:lvl w:ilvl="0">
      <w:lvlJc w:val="left"/>
      <w:lvlText w:val="%1."/>
      <w:numFmt w:val="lowerLetter"/>
      <w:start w:val="1"/>
    </w:lvl>
  </w:abstractNum>
  <w:abstractNum w:abstractNumId="62">
    <w:nsid w:val="579BE4F1"/>
    <w:multiLevelType w:val="hybridMultilevel"/>
    <w:lvl w:ilvl="0">
      <w:lvlJc w:val="left"/>
      <w:lvlText w:val="%1."/>
      <w:numFmt w:val="decimal"/>
      <w:start w:val="1"/>
    </w:lvl>
  </w:abstractNum>
  <w:abstractNum w:abstractNumId="63">
    <w:nsid w:val="310C50B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106" Type="http://schemas.openxmlformats.org/officeDocument/2006/relationships/image" Target="media/image92.png"/><Relationship Id="rId107" Type="http://schemas.openxmlformats.org/officeDocument/2006/relationships/image" Target="media/image93.png"/><Relationship Id="rId108" Type="http://schemas.openxmlformats.org/officeDocument/2006/relationships/image" Target="media/image94.png"/><Relationship Id="rId109" Type="http://schemas.openxmlformats.org/officeDocument/2006/relationships/image" Target="media/image95.png"/><Relationship Id="rId110" Type="http://schemas.openxmlformats.org/officeDocument/2006/relationships/image" Target="media/image96.png"/><Relationship Id="rId111" Type="http://schemas.openxmlformats.org/officeDocument/2006/relationships/image" Target="media/image97.png"/><Relationship Id="rId112" Type="http://schemas.openxmlformats.org/officeDocument/2006/relationships/image" Target="media/image98.png"/><Relationship Id="rId113" Type="http://schemas.openxmlformats.org/officeDocument/2006/relationships/image" Target="media/image99.png"/><Relationship Id="rId114" Type="http://schemas.openxmlformats.org/officeDocument/2006/relationships/image" Target="media/image100.png"/><Relationship Id="rId115" Type="http://schemas.openxmlformats.org/officeDocument/2006/relationships/image" Target="media/image101.png"/><Relationship Id="rId116" Type="http://schemas.openxmlformats.org/officeDocument/2006/relationships/image" Target="media/image102.png"/><Relationship Id="rId117" Type="http://schemas.openxmlformats.org/officeDocument/2006/relationships/image" Target="media/image103.png"/><Relationship Id="rId118" Type="http://schemas.openxmlformats.org/officeDocument/2006/relationships/image" Target="media/image104.png"/><Relationship Id="rId119" Type="http://schemas.openxmlformats.org/officeDocument/2006/relationships/image" Target="media/image105.png"/><Relationship Id="rId120" Type="http://schemas.openxmlformats.org/officeDocument/2006/relationships/image" Target="media/image106.png"/><Relationship Id="rId121" Type="http://schemas.openxmlformats.org/officeDocument/2006/relationships/image" Target="media/image107.png"/><Relationship Id="rId122" Type="http://schemas.openxmlformats.org/officeDocument/2006/relationships/image" Target="media/image108.png"/><Relationship Id="rId123" Type="http://schemas.openxmlformats.org/officeDocument/2006/relationships/image" Target="media/image109.png"/><Relationship Id="rId124" Type="http://schemas.openxmlformats.org/officeDocument/2006/relationships/image" Target="media/image110.png"/><Relationship Id="rId125" Type="http://schemas.openxmlformats.org/officeDocument/2006/relationships/image" Target="media/image111.png"/><Relationship Id="rId126" Type="http://schemas.openxmlformats.org/officeDocument/2006/relationships/image" Target="media/image112.png"/><Relationship Id="rId127" Type="http://schemas.openxmlformats.org/officeDocument/2006/relationships/image" Target="media/image113.png"/><Relationship Id="rId128" Type="http://schemas.openxmlformats.org/officeDocument/2006/relationships/image" Target="media/image114.png"/><Relationship Id="rId129" Type="http://schemas.openxmlformats.org/officeDocument/2006/relationships/image" Target="media/image115.png"/><Relationship Id="rId130" Type="http://schemas.openxmlformats.org/officeDocument/2006/relationships/image" Target="media/image116.png"/><Relationship Id="rId131" Type="http://schemas.openxmlformats.org/officeDocument/2006/relationships/image" Target="media/image117.png"/><Relationship Id="rId132" Type="http://schemas.openxmlformats.org/officeDocument/2006/relationships/image" Target="media/image118.png"/><Relationship Id="rId133" Type="http://schemas.openxmlformats.org/officeDocument/2006/relationships/image" Target="media/image119.png"/><Relationship Id="rId134" Type="http://schemas.openxmlformats.org/officeDocument/2006/relationships/image" Target="media/image120.png"/><Relationship Id="rId135" Type="http://schemas.openxmlformats.org/officeDocument/2006/relationships/image" Target="media/image121.png"/><Relationship Id="rId136" Type="http://schemas.openxmlformats.org/officeDocument/2006/relationships/image" Target="media/image122.png"/><Relationship Id="rId137" Type="http://schemas.openxmlformats.org/officeDocument/2006/relationships/image" Target="media/image123.png"/><Relationship Id="rId138" Type="http://schemas.openxmlformats.org/officeDocument/2006/relationships/image" Target="media/image124.png"/><Relationship Id="rId139" Type="http://schemas.openxmlformats.org/officeDocument/2006/relationships/image" Target="media/image125.png"/><Relationship Id="rId140" Type="http://schemas.openxmlformats.org/officeDocument/2006/relationships/image" Target="media/image126.png"/><Relationship Id="rId141" Type="http://schemas.openxmlformats.org/officeDocument/2006/relationships/image" Target="media/image127.png"/><Relationship Id="rId142" Type="http://schemas.openxmlformats.org/officeDocument/2006/relationships/image" Target="media/image128.png"/><Relationship Id="rId143" Type="http://schemas.openxmlformats.org/officeDocument/2006/relationships/image" Target="media/image129.png"/><Relationship Id="rId144" Type="http://schemas.openxmlformats.org/officeDocument/2006/relationships/image" Target="media/image130.png"/><Relationship Id="rId145" Type="http://schemas.openxmlformats.org/officeDocument/2006/relationships/image" Target="media/image131.png"/><Relationship Id="rId146" Type="http://schemas.openxmlformats.org/officeDocument/2006/relationships/image" Target="media/image132.png"/><Relationship Id="rId147" Type="http://schemas.openxmlformats.org/officeDocument/2006/relationships/image" Target="media/image133.png"/><Relationship Id="rId148" Type="http://schemas.openxmlformats.org/officeDocument/2006/relationships/image" Target="media/image134.png"/><Relationship Id="rId149" Type="http://schemas.openxmlformats.org/officeDocument/2006/relationships/image" Target="media/image135.png"/><Relationship Id="rId150" Type="http://schemas.openxmlformats.org/officeDocument/2006/relationships/image" Target="media/image136.png"/><Relationship Id="rId151" Type="http://schemas.openxmlformats.org/officeDocument/2006/relationships/image" Target="media/image137.png"/><Relationship Id="rId152" Type="http://schemas.openxmlformats.org/officeDocument/2006/relationships/image" Target="media/image138.png"/><Relationship Id="rId153" Type="http://schemas.openxmlformats.org/officeDocument/2006/relationships/image" Target="media/image139.png"/><Relationship Id="rId154" Type="http://schemas.openxmlformats.org/officeDocument/2006/relationships/image" Target="media/image140.png"/><Relationship Id="rId155" Type="http://schemas.openxmlformats.org/officeDocument/2006/relationships/image" Target="media/image141.png"/><Relationship Id="rId99" Type="http://schemas.openxmlformats.org/officeDocument/2006/relationships/hyperlink" Target="http://www.sec.gov/Archives/edgar/data/1779474/000095010319009708/dp109955_ex0302.htm" TargetMode="External"/><Relationship Id="rId100" Type="http://schemas.openxmlformats.org/officeDocument/2006/relationships/hyperlink" Target="http://www.sec.gov/Archives/edgar/data/1779474/000095010319010751/dp111173_ex0401.htm" TargetMode="External"/><Relationship Id="rId101" Type="http://schemas.openxmlformats.org/officeDocument/2006/relationships/hyperlink" Target="http://www.sec.gov/Archives/edgar/data/1779474/000095010319010751/dp111173_ex1001.htm" TargetMode="External"/><Relationship Id="rId102" Type="http://schemas.openxmlformats.org/officeDocument/2006/relationships/hyperlink" Target="http://www.sec.gov/Archives/edgar/data/1779474/000095010319010751/dp111173_ex1002.htm" TargetMode="External"/><Relationship Id="rId103" Type="http://schemas.openxmlformats.org/officeDocument/2006/relationships/hyperlink" Target="http://www.sec.gov/Archives/edgar/data/1779474/000095010319010751/dp111173_ex1003.htm" TargetMode="External"/><Relationship Id="rId104" Type="http://schemas.openxmlformats.org/officeDocument/2006/relationships/hyperlink" Target="http://www.sec.gov/Archives/edgar/data/1779474/000095010319010751/dp111173_ex1004.htm" TargetMode="External"/><Relationship Id="rId105" Type="http://schemas.openxmlformats.org/officeDocument/2006/relationships/hyperlink" Target="http://www.sec.gov/Archives/edgar/data/1779474/000095010319010751/dp111173_ex100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2020-03-30T15:21:48Z</dcterms:created>
  <dcterms:modified xsi:type="dcterms:W3CDTF">2020-03-30T15:21:48Z</dcterms:modified>
</cp:coreProperties>
</file>