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Gordon Scott</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06/21/2022</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50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3"/>
              </w:rPr>
              <w:t>41,493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71,773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on the earlier of June 21, 2023 or the date of the Issuer's next annual meeting of stockholders, subject to acceleration, and subject to the Reporting Person's Continuous Service (as defined in the Issuer's 2021 Equity Incentive Plan) through such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Scott Gordon, by /s/ Ron A.</w:t>
      </w:r>
      <w:r>
        <w:rPr>
          <w:sz w:val="20"/>
          <w:szCs w:val="20"/>
          <w:color w:val="auto"/>
        </w:rPr>
        <w:tab/>
      </w:r>
      <w:r>
        <w:rPr>
          <w:rFonts w:ascii="Times New Roman" w:cs="Times New Roman" w:eastAsia="Times New Roman" w:hAnsi="Times New Roman"/>
          <w:sz w:val="26"/>
          <w:szCs w:val="26"/>
          <w:color w:val="0000FF"/>
          <w:vertAlign w:val="subscript"/>
        </w:rPr>
        <w:t>06/23/2022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231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445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2022-06-23T17:22:56Z</dcterms:created>
  <dcterms:modified xsi:type="dcterms:W3CDTF">2022-06-23T17:22:56Z</dcterms:modified>
</cp:coreProperties>
</file>