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484505</wp:posOffset>
            </wp:positionV>
            <wp:extent cx="71348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33655"/>
                    </a:xfrm>
                    <a:prstGeom prst="rect">
                      <a:avLst/>
                    </a:prstGeom>
                    <a:noFill/>
                  </pic:spPr>
                </pic:pic>
              </a:graphicData>
            </a:graphic>
          </wp:anchor>
        </w:drawing>
        <w:t>As filed with the Securities and Exchange Commission on October 5, 2022</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WM Technology,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9" w:lineRule="exact"/>
        <w:rPr>
          <w:sz w:val="24"/>
          <w:szCs w:val="24"/>
          <w:color w:val="auto"/>
        </w:rPr>
      </w:pPr>
    </w:p>
    <w:tbl>
      <w:tblPr>
        <w:tblLayout w:type="fixed"/>
        <w:tblInd w:w="680" w:type="dxa"/>
        <w:tblCellMar>
          <w:top w:w="0" w:type="dxa"/>
          <w:left w:w="0" w:type="dxa"/>
          <w:bottom w:w="0" w:type="dxa"/>
          <w:right w:w="0" w:type="dxa"/>
        </w:tblCellMar>
      </w:tblPr>
      <w:tr>
        <w:trPr>
          <w:trHeight w:val="229"/>
        </w:trPr>
        <w:tc>
          <w:tcPr>
            <w:tcW w:w="4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Delaware</w:t>
            </w:r>
          </w:p>
        </w:tc>
        <w:tc>
          <w:tcPr>
            <w:tcW w:w="4920" w:type="dxa"/>
            <w:vAlign w:val="bottom"/>
          </w:tcPr>
          <w:p>
            <w:pPr>
              <w:jc w:val="right"/>
              <w:ind w:right="1952"/>
              <w:spacing w:after="0"/>
              <w:rPr>
                <w:sz w:val="20"/>
                <w:szCs w:val="20"/>
                <w:color w:val="auto"/>
              </w:rPr>
            </w:pPr>
            <w:r>
              <w:rPr>
                <w:rFonts w:ascii="Arial" w:cs="Arial" w:eastAsia="Arial" w:hAnsi="Arial"/>
                <w:sz w:val="18"/>
                <w:szCs w:val="18"/>
                <w:b w:val="1"/>
                <w:bCs w:val="1"/>
                <w:color w:val="auto"/>
              </w:rPr>
              <w:t>98-1605615</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1"/>
        </w:trPr>
        <w:tc>
          <w:tcPr>
            <w:tcW w:w="4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437"/>
        </w:trPr>
        <w:tc>
          <w:tcPr>
            <w:tcW w:w="4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41 Discovery</w:t>
            </w:r>
          </w:p>
        </w:tc>
        <w:tc>
          <w:tcPr>
            <w:tcW w:w="4920" w:type="dxa"/>
            <w:vAlign w:val="bottom"/>
          </w:tcPr>
          <w:p>
            <w:pPr>
              <w:spacing w:after="0"/>
              <w:rPr>
                <w:sz w:val="24"/>
                <w:szCs w:val="24"/>
                <w:color w:val="auto"/>
              </w:rPr>
            </w:pPr>
          </w:p>
        </w:tc>
      </w:tr>
      <w:tr>
        <w:trPr>
          <w:trHeight w:val="292"/>
        </w:trPr>
        <w:tc>
          <w:tcPr>
            <w:tcW w:w="4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Irvine, California</w:t>
            </w:r>
          </w:p>
        </w:tc>
        <w:tc>
          <w:tcPr>
            <w:tcW w:w="4920" w:type="dxa"/>
            <w:vAlign w:val="bottom"/>
          </w:tcPr>
          <w:p>
            <w:pPr>
              <w:jc w:val="right"/>
              <w:ind w:right="2152"/>
              <w:spacing w:after="0"/>
              <w:rPr>
                <w:sz w:val="20"/>
                <w:szCs w:val="20"/>
                <w:color w:val="auto"/>
              </w:rPr>
            </w:pPr>
            <w:r>
              <w:rPr>
                <w:rFonts w:ascii="Arial" w:cs="Arial" w:eastAsia="Arial" w:hAnsi="Arial"/>
                <w:sz w:val="18"/>
                <w:szCs w:val="18"/>
                <w:b w:val="1"/>
                <w:bCs w:val="1"/>
                <w:color w:val="auto"/>
              </w:rPr>
              <w:t>92618</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1"/>
        </w:trPr>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(Address of Principal Executive Offices)</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 2021 Equity Incentive Plan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 2021 Employee Stock Purchase Plan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Brian Camire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58" w:lineRule="exact"/>
        <w:rPr>
          <w:sz w:val="24"/>
          <w:szCs w:val="24"/>
          <w:color w:val="auto"/>
        </w:rPr>
      </w:pPr>
    </w:p>
    <w:p>
      <w:pPr>
        <w:ind w:left="5360" w:hanging="219"/>
        <w:spacing w:after="0"/>
        <w:tabs>
          <w:tab w:leader="none" w:pos="5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58" w:lineRule="exact"/>
        <w:rPr>
          <w:rFonts w:ascii="Arial" w:cs="Arial" w:eastAsia="Arial" w:hAnsi="Arial"/>
          <w:sz w:val="18"/>
          <w:szCs w:val="18"/>
          <w:b w:val="1"/>
          <w:bCs w:val="1"/>
          <w:color w:val="auto"/>
        </w:rPr>
      </w:pPr>
    </w:p>
    <w:p>
      <w:pPr>
        <w:ind w:left="4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Irvine, California 92618</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(844) 933-3627</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154305</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Dave Peinsipp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Kristin VanderPas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Byrne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Embarcadero Center, 20th Floor</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(415) 693-2000</w:t>
      </w:r>
    </w:p>
    <w:p>
      <w:pPr>
        <w:spacing w:after="0" w:line="23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3"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1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6"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5"/>
          <w:szCs w:val="15"/>
          <w:color w:val="auto"/>
        </w:rPr>
        <w:t>WM Technology, Inc. (the “Registrant”) is filing this registration statement on Form S-8 (the “Registration Statement”) with the Securities and Exchange Commission (the “Commission”) to register the offering of an additional 7,870,782 shares of Class A Common Stock, par value $0.0001 per share (“Class A Common Stock”), of the Registrant. The 7,870,782 shares of Class A Common Stock being registered herein include (i) 6,558,985 shares of Class A Common Stock issuable pursuant to the WM Technology, Inc. 2021 Equity Incentive Plan (the “2021 EIP”) and (ii) 1,311,797 shares of Class A Common Stock issuable pursuant to the WM Technology, Inc. 2021 Employee Stock Purchase Plan (the “2021 ESPP”). These additional shares of Class A Common Stock are securities of the same class as other securities for which an original registration statement on Form S-8 (File No. 333-259072) was filed with the Commission on August 26, 2021 (the “Prior Registration Statement”). Accordingly, the contents of the Prior Registration Statement are incorporated by reference into this Registration Statement pursuant to General Instruction E of Form S-8. These additional shares of Class A Common Stock have become reserved for issuance as a result of the operation of the “evergreen” provisions in each of the 2021 EIP and 2021 ESPP, which provide that the total number of shares subject to such plan may be increased each year pursuant to a specified formula.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95" w:lineRule="exact"/>
        <w:rPr>
          <w:sz w:val="20"/>
          <w:szCs w:val="20"/>
          <w:color w:val="auto"/>
        </w:rPr>
      </w:pPr>
    </w:p>
    <w:p>
      <w:pPr>
        <w:ind w:left="1020" w:hanging="378"/>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registrant’s annual report on Form 10-K for the fiscal year ended December 31, 2021 filed with the Commission on February 25, 2022;</w:t>
      </w:r>
    </w:p>
    <w:p>
      <w:pPr>
        <w:spacing w:after="0" w:line="370" w:lineRule="exact"/>
        <w:rPr>
          <w:rFonts w:ascii="Arial" w:cs="Arial" w:eastAsia="Arial" w:hAnsi="Arial"/>
          <w:sz w:val="15"/>
          <w:szCs w:val="15"/>
          <w:color w:val="auto"/>
        </w:rPr>
      </w:pPr>
    </w:p>
    <w:p>
      <w:pPr>
        <w:jc w:val="both"/>
        <w:ind w:left="960" w:hanging="318"/>
        <w:spacing w:after="0" w:line="239" w:lineRule="auto"/>
        <w:tabs>
          <w:tab w:leader="none" w:pos="10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the registrant’s annual report on Form 10-K for the year ended December 31, 2021 from the registrant’s definitive proxy statement on Schedule 14A related to the registrant’s 2022 annual meeting of stockholders, filed with the SEC on April 29, 2022;</w:t>
      </w:r>
    </w:p>
    <w:p>
      <w:pPr>
        <w:spacing w:after="0" w:line="322" w:lineRule="exact"/>
        <w:rPr>
          <w:rFonts w:ascii="Arial" w:cs="Arial" w:eastAsia="Arial" w:hAnsi="Arial"/>
          <w:sz w:val="18"/>
          <w:szCs w:val="18"/>
          <w:color w:val="auto"/>
        </w:rPr>
      </w:pPr>
    </w:p>
    <w:p>
      <w:pPr>
        <w:ind w:left="960" w:hanging="318"/>
        <w:spacing w:after="0" w:line="237" w:lineRule="auto"/>
        <w:tabs>
          <w:tab w:leader="none" w:pos="10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reports on Form 10-Q for the quarter ended March 31, 2022, filed with the Commission on May 6, 2022, and for the quarter ended June 30, 2022, filed with the Commission on August 9, 2022;</w:t>
      </w:r>
    </w:p>
    <w:p>
      <w:pPr>
        <w:spacing w:after="0" w:line="319" w:lineRule="exact"/>
        <w:rPr>
          <w:rFonts w:ascii="Arial" w:cs="Arial" w:eastAsia="Arial" w:hAnsi="Arial"/>
          <w:sz w:val="18"/>
          <w:szCs w:val="18"/>
          <w:color w:val="auto"/>
        </w:rPr>
      </w:pPr>
    </w:p>
    <w:p>
      <w:pPr>
        <w:ind w:left="960" w:right="20" w:hanging="318"/>
        <w:spacing w:after="0" w:line="249" w:lineRule="auto"/>
        <w:tabs>
          <w:tab w:leader="none" w:pos="10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March 11, 2022, June 27, 2022 and August 9, 2022 to the extent the information in such reports is filed and not furnished; and</w:t>
      </w:r>
    </w:p>
    <w:p>
      <w:pPr>
        <w:spacing w:after="0" w:line="312" w:lineRule="exact"/>
        <w:rPr>
          <w:rFonts w:ascii="Arial" w:cs="Arial" w:eastAsia="Arial" w:hAnsi="Arial"/>
          <w:sz w:val="18"/>
          <w:szCs w:val="18"/>
          <w:color w:val="auto"/>
        </w:rPr>
      </w:pPr>
    </w:p>
    <w:p>
      <w:pPr>
        <w:jc w:val="both"/>
        <w:ind w:left="960" w:hanging="318"/>
        <w:spacing w:after="0" w:line="239" w:lineRule="auto"/>
        <w:tabs>
          <w:tab w:leader="none" w:pos="108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Class A Common Stock contained in Exhibit 4.5 to the registrant’s annual report on Form 10-K for the fiscal year ended December 31, 2021, filed with the Commission on February 25, 2022, including any amendment or report filed for the purpose of updating such description.</w:t>
      </w:r>
    </w:p>
    <w:p>
      <w:pPr>
        <w:spacing w:after="0" w:line="269"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5"/>
          <w:szCs w:val="15"/>
          <w:color w:val="auto"/>
        </w:rPr>
        <w:t>All reports and other documents filed by the registrant pursuant to Section 13(a), 13(c), 14 or 15(d) of the Securities Exchange Act of 1934, as amended, other than current reports furnished under Item 2.02 and Item 7.01 of Form 8-K and any exhibits furnished on such form that relate to such items, after the date of this registration statement, and prior to the filing of a post-effective amendment that indicates that all securities offered hereby have been sold or that deregisters all securities then remaining unsold, shall be deemed to be incorporated by reference herein and to be a part of this registration statement from the date of filing of such reports and documents. Any statement contained in a document incorporated or deemed to be incorporated herein by reference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ectPr>
          <w:pgSz w:w="11900" w:h="16838" w:orient="portrait"/>
          <w:cols w:equalWidth="0" w:num="1">
            <w:col w:w="11240"/>
          </w:cols>
          <w:pgMar w:left="320" w:top="982" w:right="339" w:bottom="1440" w:gutter="0" w:footer="0" w:header="0"/>
        </w:sectPr>
      </w:pPr>
    </w:p>
    <w:bookmarkStart w:id="2" w:name="page3"/>
    <w:bookmarkEnd w:id="2"/>
    <w:p>
      <w:pPr>
        <w:jc w:val="both"/>
        <w:ind w:firstLine="636"/>
        <w:spacing w:after="0" w:line="288" w:lineRule="auto"/>
        <w:rPr>
          <w:sz w:val="20"/>
          <w:szCs w:val="20"/>
          <w:color w:val="auto"/>
        </w:rPr>
      </w:pPr>
      <w:r>
        <w:rPr>
          <w:rFonts w:ascii="Arial" w:cs="Arial" w:eastAsia="Arial" w:hAnsi="Arial"/>
          <w:sz w:val="15"/>
          <w:szCs w:val="15"/>
          <w:color w:val="auto"/>
        </w:rPr>
        <w:t>Section 145(a) of the Delaware General Corporation Law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8" w:lineRule="exact"/>
        <w:rPr>
          <w:sz w:val="20"/>
          <w:szCs w:val="20"/>
          <w:color w:val="auto"/>
        </w:rPr>
      </w:pPr>
    </w:p>
    <w:p>
      <w:pPr>
        <w:jc w:val="both"/>
        <w:ind w:firstLine="636"/>
        <w:spacing w:after="0" w:line="285" w:lineRule="auto"/>
        <w:rPr>
          <w:sz w:val="20"/>
          <w:szCs w:val="20"/>
          <w:color w:val="auto"/>
        </w:rPr>
      </w:pPr>
      <w:r>
        <w:rPr>
          <w:rFonts w:ascii="Arial" w:cs="Arial" w:eastAsia="Arial" w:hAnsi="Arial"/>
          <w:sz w:val="15"/>
          <w:szCs w:val="15"/>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4"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14" w:lineRule="exact"/>
        <w:rPr>
          <w:sz w:val="20"/>
          <w:szCs w:val="20"/>
          <w:color w:val="auto"/>
        </w:rPr>
      </w:pPr>
    </w:p>
    <w:p>
      <w:pPr>
        <w:jc w:val="both"/>
        <w:ind w:firstLine="636"/>
        <w:spacing w:after="0" w:line="347" w:lineRule="auto"/>
        <w:rPr>
          <w:sz w:val="20"/>
          <w:szCs w:val="20"/>
          <w:color w:val="auto"/>
        </w:rPr>
      </w:pPr>
      <w:r>
        <w:rPr>
          <w:rFonts w:ascii="Arial" w:cs="Arial" w:eastAsia="Arial" w:hAnsi="Arial"/>
          <w:sz w:val="15"/>
          <w:szCs w:val="15"/>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37"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5" w:lineRule="exact"/>
        <w:rPr>
          <w:rFonts w:ascii="Arial" w:cs="Arial" w:eastAsia="Arial" w:hAnsi="Arial"/>
          <w:sz w:val="18"/>
          <w:szCs w:val="18"/>
          <w:color w:val="auto"/>
        </w:rPr>
      </w:pPr>
    </w:p>
    <w:p>
      <w:pPr>
        <w:ind w:left="640" w:hanging="316"/>
        <w:spacing w:after="0" w:line="23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ind w:left="640" w:hanging="316"/>
        <w:spacing w:after="0" w:line="23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16"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20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We entered into indemnification agreements with substantially all of our directors and executive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03" w:lineRule="exact"/>
        <w:rPr>
          <w:sz w:val="20"/>
          <w:szCs w:val="20"/>
          <w:color w:val="auto"/>
        </w:rPr>
      </w:pPr>
    </w:p>
    <w:p>
      <w:pPr>
        <w:jc w:val="both"/>
        <w:ind w:right="20" w:firstLine="636"/>
        <w:spacing w:after="0" w:line="24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75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8. Exhibits.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2"/>
        </w:trPr>
        <w:tc>
          <w:tcPr>
            <w:tcW w:w="300" w:type="dxa"/>
            <w:vAlign w:val="bottom"/>
          </w:tcPr>
          <w:p>
            <w:pPr>
              <w:spacing w:after="0"/>
              <w:rPr>
                <w:sz w:val="24"/>
                <w:szCs w:val="24"/>
                <w:color w:val="auto"/>
              </w:rPr>
            </w:pPr>
          </w:p>
        </w:tc>
        <w:tc>
          <w:tcPr>
            <w:tcW w:w="112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gridSpan w:val="6"/>
          </w:tcPr>
          <w:p>
            <w:pPr>
              <w:ind w:left="1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280" w:type="dxa"/>
            <w:vAlign w:val="bottom"/>
            <w:gridSpan w:val="2"/>
            <w:vMerge w:val="restart"/>
            <w:shd w:val="clear" w:color="auto" w:fill="CCEEFF"/>
          </w:tcPr>
          <w:p>
            <w:pPr>
              <w:spacing w:after="0"/>
              <w:rPr>
                <w:rFonts w:ascii="Arial" w:cs="Arial" w:eastAsia="Arial" w:hAnsi="Arial"/>
                <w:sz w:val="18"/>
                <w:szCs w:val="18"/>
                <w:color w:val="0000FF"/>
              </w:rPr>
            </w:pPr>
            <w:hyperlink r:id="rId1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520" w:type="dxa"/>
            <w:vAlign w:val="bottom"/>
            <w:gridSpan w:val="14"/>
            <w:shd w:val="clear" w:color="auto" w:fill="CCEEFF"/>
          </w:tcPr>
          <w:p>
            <w:pPr>
              <w:spacing w:after="0" w:line="179"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Certificate of Incorporation of the Company, dated June 15, 2021 (incorporated by reference to Exhibit 3.1 to the Current Report on</w:t>
              </w:r>
            </w:hyperlink>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280" w:type="dxa"/>
            <w:vAlign w:val="bottom"/>
            <w:tcBorders>
              <w:top w:val="single" w:sz="8" w:color="CCEEFF"/>
            </w:tcBorders>
            <w:gridSpan w:val="2"/>
            <w:vMerge w:val="continue"/>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300" w:type="dxa"/>
            <w:vAlign w:val="bottom"/>
            <w:tcBorders>
              <w:top w:val="single" w:sz="8" w:color="0000FF"/>
            </w:tcBorders>
            <w:gridSpan w:val="9"/>
            <w:shd w:val="clear" w:color="auto" w:fill="CCEEFF"/>
          </w:tcPr>
          <w:p>
            <w:pPr>
              <w:spacing w:after="0" w:line="179" w:lineRule="exact"/>
              <w:rPr>
                <w:rFonts w:ascii="Arial" w:cs="Arial" w:eastAsia="Arial" w:hAnsi="Arial"/>
                <w:sz w:val="18"/>
                <w:szCs w:val="18"/>
                <w:color w:val="0000FF"/>
              </w:rPr>
            </w:pPr>
            <w:hyperlink r:id="rId11">
              <w:r>
                <w:rPr>
                  <w:rFonts w:ascii="Arial" w:cs="Arial" w:eastAsia="Arial" w:hAnsi="Arial"/>
                  <w:sz w:val="18"/>
                  <w:szCs w:val="18"/>
                  <w:color w:val="0000FF"/>
                </w:rPr>
                <w:t>Form 8-K filed on June 22, 2021).</w:t>
              </w:r>
            </w:hyperlink>
          </w:p>
        </w:tc>
        <w:tc>
          <w:tcPr>
            <w:tcW w:w="22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00" w:type="dxa"/>
            <w:vAlign w:val="bottom"/>
            <w:vMerge w:val="restart"/>
          </w:tcPr>
          <w:p>
            <w:pPr>
              <w:spacing w:after="0"/>
              <w:rPr>
                <w:sz w:val="16"/>
                <w:szCs w:val="16"/>
                <w:color w:val="auto"/>
              </w:rPr>
            </w:pPr>
          </w:p>
        </w:tc>
        <w:tc>
          <w:tcPr>
            <w:tcW w:w="280" w:type="dxa"/>
            <w:vAlign w:val="bottom"/>
            <w:gridSpan w:val="2"/>
            <w:vMerge w:val="restart"/>
          </w:tcPr>
          <w:p>
            <w:pPr>
              <w:spacing w:after="0"/>
              <w:rPr>
                <w:rFonts w:ascii="Arial" w:cs="Arial" w:eastAsia="Arial" w:hAnsi="Arial"/>
                <w:sz w:val="18"/>
                <w:szCs w:val="18"/>
                <w:color w:val="0000FF"/>
              </w:rPr>
            </w:pPr>
            <w:hyperlink r:id="rId12">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60" w:type="dxa"/>
            <w:vAlign w:val="bottom"/>
            <w:tcBorders>
              <w:bottom w:val="single" w:sz="8" w:color="0000FF"/>
            </w:tcBorders>
            <w:gridSpan w:val="10"/>
          </w:tcPr>
          <w:p>
            <w:pPr>
              <w:spacing w:after="0" w:line="186" w:lineRule="exact"/>
              <w:rPr>
                <w:rFonts w:ascii="Arial" w:cs="Arial" w:eastAsia="Arial" w:hAnsi="Arial"/>
                <w:sz w:val="18"/>
                <w:szCs w:val="18"/>
                <w:color w:val="0000FF"/>
                <w:w w:val="88"/>
              </w:rPr>
            </w:pPr>
            <w:hyperlink r:id="rId12">
              <w:r>
                <w:rPr>
                  <w:rFonts w:ascii="Arial" w:cs="Arial" w:eastAsia="Arial" w:hAnsi="Arial"/>
                  <w:sz w:val="18"/>
                  <w:szCs w:val="18"/>
                  <w:color w:val="0000FF"/>
                  <w:w w:val="88"/>
                </w:rPr>
                <w:t>Amended and Restated Bylaws of the Company, dated June 16, 2021 (incorporated by reference to Exhibit 3.2 to the Current Report</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gridSpan w:val="14"/>
          </w:tcPr>
          <w:p>
            <w:pPr>
              <w:spacing w:after="0" w:line="179" w:lineRule="exact"/>
              <w:rPr>
                <w:rFonts w:ascii="Arial" w:cs="Arial" w:eastAsia="Arial" w:hAnsi="Arial"/>
                <w:sz w:val="18"/>
                <w:szCs w:val="18"/>
                <w:color w:val="0000FF"/>
              </w:rPr>
            </w:pPr>
            <w:hyperlink r:id="rId12">
              <w:r>
                <w:rPr>
                  <w:rFonts w:ascii="Arial" w:cs="Arial" w:eastAsia="Arial" w:hAnsi="Arial"/>
                  <w:sz w:val="18"/>
                  <w:szCs w:val="18"/>
                  <w:color w:val="0000FF"/>
                </w:rPr>
                <w:t>on Form 8-K filed on June 22, 2021).</w:t>
              </w:r>
            </w:hyperlink>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1</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4"/>
            <w:shd w:val="clear" w:color="auto" w:fill="CCEEFF"/>
          </w:tcPr>
          <w:p>
            <w:pPr>
              <w:spacing w:after="0" w:line="199" w:lineRule="exact"/>
              <w:rPr>
                <w:sz w:val="20"/>
                <w:szCs w:val="20"/>
                <w:color w:val="auto"/>
              </w:rPr>
            </w:pPr>
            <w:r>
              <w:rPr>
                <w:rFonts w:ascii="Arial" w:cs="Arial" w:eastAsia="Arial" w:hAnsi="Arial"/>
                <w:sz w:val="18"/>
                <w:szCs w:val="18"/>
                <w:color w:val="0000FF"/>
              </w:rPr>
              <w:t>Opinion of Cooley LLP.</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040" w:type="dxa"/>
            <w:vAlign w:val="bottom"/>
            <w:gridSpan w:val="4"/>
          </w:tcPr>
          <w:p>
            <w:pPr>
              <w:spacing w:after="0" w:line="199" w:lineRule="exact"/>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14"/>
          </w:tcPr>
          <w:p>
            <w:pPr>
              <w:spacing w:after="0" w:line="199" w:lineRule="exact"/>
              <w:rPr>
                <w:sz w:val="20"/>
                <w:szCs w:val="20"/>
                <w:color w:val="auto"/>
              </w:rPr>
            </w:pPr>
            <w:r>
              <w:rPr>
                <w:rFonts w:ascii="Arial" w:cs="Arial" w:eastAsia="Arial" w:hAnsi="Arial"/>
                <w:sz w:val="18"/>
                <w:szCs w:val="18"/>
                <w:color w:val="0000FF"/>
              </w:rPr>
              <w:t>Consent of Baker Tilly US, LLP</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237"/>
        </w:trPr>
        <w:tc>
          <w:tcPr>
            <w:tcW w:w="1340" w:type="dxa"/>
            <w:vAlign w:val="bottom"/>
            <w:gridSpan w:val="5"/>
          </w:tcPr>
          <w:p>
            <w:pPr>
              <w:ind w:left="3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14"/>
          </w:tcPr>
          <w:p>
            <w:pPr>
              <w:spacing w:after="0"/>
              <w:rPr>
                <w:sz w:val="20"/>
                <w:szCs w:val="20"/>
                <w:color w:val="auto"/>
              </w:rPr>
            </w:pPr>
            <w:r>
              <w:rPr>
                <w:rFonts w:ascii="Arial" w:cs="Arial" w:eastAsia="Arial" w:hAnsi="Arial"/>
                <w:sz w:val="18"/>
                <w:szCs w:val="18"/>
                <w:color w:val="auto"/>
              </w:rPr>
              <w:t>Power of Attorney (contained on the signature page hereto).</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4"/>
            <w:shd w:val="clear" w:color="auto" w:fill="CCEEFF"/>
          </w:tcPr>
          <w:p>
            <w:pPr>
              <w:spacing w:after="0" w:line="199"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WM Technology, Inc. 2021 Equity Incentive Plan (incorporated by reference to Exhibit 99.1 to the Registration Statement on Form S-</w:t>
              </w:r>
            </w:hyperlink>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20" w:type="dxa"/>
            <w:vAlign w:val="bottom"/>
            <w:tcBorders>
              <w:top w:val="single" w:sz="8" w:color="CCEEFF"/>
              <w:bottom w:val="single" w:sz="8" w:color="0000FF"/>
            </w:tcBorders>
            <w:gridSpan w:val="3"/>
            <w:shd w:val="clear" w:color="auto" w:fill="CCEEFF"/>
          </w:tcPr>
          <w:p>
            <w:pPr>
              <w:spacing w:after="0" w:line="192" w:lineRule="exact"/>
              <w:rPr>
                <w:rFonts w:ascii="Arial" w:cs="Arial" w:eastAsia="Arial" w:hAnsi="Arial"/>
                <w:sz w:val="18"/>
                <w:szCs w:val="18"/>
                <w:color w:val="0000FF"/>
                <w:w w:val="85"/>
              </w:rPr>
            </w:pPr>
            <w:hyperlink r:id="rId13">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0000FF"/>
              <w:bottom w:val="single" w:sz="8" w:color="0000FF"/>
            </w:tcBorders>
            <w:gridSpan w:val="5"/>
            <w:shd w:val="clear" w:color="auto" w:fill="CCEEFF"/>
          </w:tcPr>
          <w:p>
            <w:pPr>
              <w:spacing w:after="0" w:line="192"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8 filed on August 26, 2021).</w:t>
              </w:r>
            </w:hyperlink>
          </w:p>
        </w:tc>
        <w:tc>
          <w:tcPr>
            <w:tcW w:w="7480" w:type="dxa"/>
            <w:vAlign w:val="bottom"/>
            <w:tcBorders>
              <w:top w:val="single" w:sz="8" w:color="0000FF"/>
              <w:bottom w:val="single" w:sz="8" w:color="CCEEFF"/>
            </w:tcBorders>
            <w:gridSpan w:val="7"/>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14"/>
          </w:tcPr>
          <w:p>
            <w:pPr>
              <w:spacing w:after="0" w:line="199"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WM Technology, Inc. 2021 Employee Stock Purchase Plan (incorporated by reference to Exhibit 10.8 to the Current Report on Form</w:t>
              </w:r>
            </w:hyperlink>
          </w:p>
        </w:tc>
        <w:tc>
          <w:tcPr>
            <w:tcW w:w="0" w:type="dxa"/>
            <w:vAlign w:val="bottom"/>
          </w:tcPr>
          <w:p>
            <w:pPr>
              <w:spacing w:after="0"/>
              <w:rPr>
                <w:sz w:val="1"/>
                <w:szCs w:val="1"/>
                <w:color w:val="auto"/>
              </w:rPr>
            </w:pPr>
          </w:p>
        </w:tc>
      </w:tr>
      <w:tr>
        <w:trPr>
          <w:trHeight w:val="192"/>
        </w:trPr>
        <w:tc>
          <w:tcPr>
            <w:tcW w:w="1340" w:type="dxa"/>
            <w:vAlign w:val="bottom"/>
            <w:gridSpan w:val="5"/>
          </w:tcPr>
          <w:p>
            <w:pPr>
              <w:ind w:left="300"/>
              <w:spacing w:after="0" w:line="192" w:lineRule="exact"/>
              <w:rPr>
                <w:rFonts w:ascii="Arial" w:cs="Arial" w:eastAsia="Arial" w:hAnsi="Arial"/>
                <w:sz w:val="18"/>
                <w:szCs w:val="18"/>
                <w:color w:val="0000FF"/>
              </w:rPr>
            </w:pPr>
            <w:hyperlink r:id="rId14">
              <w:r>
                <w:rPr>
                  <w:rFonts w:ascii="Arial" w:cs="Arial" w:eastAsia="Arial" w:hAnsi="Arial"/>
                  <w:sz w:val="18"/>
                  <w:szCs w:val="18"/>
                  <w:color w:val="0000FF"/>
                </w:rPr>
                <w:t>99.</w:t>
              </w:r>
              <w:r>
                <w:rPr>
                  <w:rFonts w:ascii="Arial" w:cs="Arial" w:eastAsia="Arial" w:hAnsi="Arial"/>
                  <w:sz w:val="18"/>
                  <w:szCs w:val="18"/>
                  <w:u w:val="single" w:color="auto"/>
                  <w:color w:val="0000FF"/>
                </w:rPr>
                <w:t>2</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tcBorders>
              <w:top w:val="single" w:sz="8" w:color="0000FF"/>
            </w:tcBorders>
            <w:gridSpan w:val="12"/>
          </w:tcPr>
          <w:p>
            <w:pPr>
              <w:spacing w:after="0" w:line="192" w:lineRule="exact"/>
              <w:rPr>
                <w:rFonts w:ascii="Arial" w:cs="Arial" w:eastAsia="Arial" w:hAnsi="Arial"/>
                <w:sz w:val="18"/>
                <w:szCs w:val="18"/>
                <w:color w:val="0000FF"/>
              </w:rPr>
            </w:pPr>
            <w:hyperlink r:id="rId14">
              <w:r>
                <w:rPr>
                  <w:rFonts w:ascii="Arial" w:cs="Arial" w:eastAsia="Arial" w:hAnsi="Arial"/>
                  <w:sz w:val="18"/>
                  <w:szCs w:val="18"/>
                  <w:color w:val="0000FF"/>
                </w:rPr>
                <w:t>8-K filed on June 22, 2021).</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320" w:type="dxa"/>
            <w:vAlign w:val="bottom"/>
            <w:tcBorders>
              <w:bottom w:val="single" w:sz="8" w:color="CCEEFF"/>
            </w:tcBorders>
            <w:gridSpan w:val="3"/>
            <w:vMerge w:val="restart"/>
            <w:shd w:val="clear" w:color="auto" w:fill="CCEEFF"/>
          </w:tcPr>
          <w:p>
            <w:pPr>
              <w:spacing w:after="0"/>
              <w:rPr>
                <w:rFonts w:ascii="Arial" w:cs="Arial" w:eastAsia="Arial" w:hAnsi="Arial"/>
                <w:sz w:val="18"/>
                <w:szCs w:val="18"/>
                <w:color w:val="0000FF"/>
                <w:w w:val="85"/>
              </w:rPr>
            </w:pPr>
            <w:hyperlink r:id="rId1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3</w:t>
              </w:r>
            </w:hyperlink>
          </w:p>
        </w:tc>
        <w:tc>
          <w:tcPr>
            <w:tcW w:w="720" w:type="dxa"/>
            <w:vAlign w:val="bottom"/>
            <w:tcBorders>
              <w:bottom w:val="single" w:sz="8" w:color="CCEEFF"/>
            </w:tcBorders>
            <w:vMerge w:val="restart"/>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60" w:type="dxa"/>
            <w:vAlign w:val="bottom"/>
            <w:tcBorders>
              <w:bottom w:val="single" w:sz="8" w:color="0000FF"/>
            </w:tcBorders>
            <w:gridSpan w:val="11"/>
            <w:shd w:val="clear" w:color="auto" w:fill="CCEEFF"/>
          </w:tcPr>
          <w:p>
            <w:pPr>
              <w:spacing w:after="0" w:line="186" w:lineRule="exact"/>
              <w:rPr>
                <w:rFonts w:ascii="Arial" w:cs="Arial" w:eastAsia="Arial" w:hAnsi="Arial"/>
                <w:sz w:val="18"/>
                <w:szCs w:val="18"/>
                <w:color w:val="0000FF"/>
                <w:w w:val="89"/>
              </w:rPr>
            </w:pPr>
            <w:hyperlink r:id="rId15">
              <w:r>
                <w:rPr>
                  <w:rFonts w:ascii="Arial" w:cs="Arial" w:eastAsia="Arial" w:hAnsi="Arial"/>
                  <w:sz w:val="18"/>
                  <w:szCs w:val="18"/>
                  <w:color w:val="0000FF"/>
                  <w:w w:val="89"/>
                </w:rPr>
                <w:t>Form of Stock Option Grant Notice (incorporated by reference to Exhibit 10.7(a) to the Current Report on Form 8-K filed on June 22,</w:t>
              </w:r>
            </w:hyperlink>
          </w:p>
        </w:tc>
        <w:tc>
          <w:tcPr>
            <w:tcW w:w="60" w:type="dxa"/>
            <w:vAlign w:val="bottom"/>
            <w:tcBorders>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0"/>
              <w:spacing w:after="0" w:line="179" w:lineRule="exact"/>
              <w:rPr>
                <w:rFonts w:ascii="Arial" w:cs="Arial" w:eastAsia="Arial" w:hAnsi="Arial"/>
                <w:sz w:val="18"/>
                <w:szCs w:val="18"/>
                <w:color w:val="0000FF"/>
                <w:w w:val="86"/>
              </w:rPr>
            </w:pPr>
            <w:hyperlink r:id="rId15">
              <w:r>
                <w:rPr>
                  <w:rFonts w:ascii="Arial" w:cs="Arial" w:eastAsia="Arial" w:hAnsi="Arial"/>
                  <w:sz w:val="18"/>
                  <w:szCs w:val="18"/>
                  <w:color w:val="0000FF"/>
                  <w:w w:val="86"/>
                </w:rPr>
                <w:t>2021).</w:t>
              </w:r>
            </w:hyperlink>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0" w:type="dxa"/>
            <w:vAlign w:val="bottom"/>
            <w:vMerge w:val="restart"/>
          </w:tcPr>
          <w:p>
            <w:pPr>
              <w:spacing w:after="0"/>
              <w:rPr>
                <w:sz w:val="16"/>
                <w:szCs w:val="16"/>
                <w:color w:val="auto"/>
              </w:rPr>
            </w:pPr>
          </w:p>
        </w:tc>
        <w:tc>
          <w:tcPr>
            <w:tcW w:w="320" w:type="dxa"/>
            <w:vAlign w:val="bottom"/>
            <w:gridSpan w:val="3"/>
            <w:vMerge w:val="restart"/>
          </w:tcPr>
          <w:p>
            <w:pPr>
              <w:spacing w:after="0"/>
              <w:rPr>
                <w:rFonts w:ascii="Arial" w:cs="Arial" w:eastAsia="Arial" w:hAnsi="Arial"/>
                <w:sz w:val="18"/>
                <w:szCs w:val="18"/>
                <w:color w:val="0000FF"/>
                <w:w w:val="85"/>
              </w:rPr>
            </w:pPr>
            <w:hyperlink r:id="rId16">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4</w:t>
              </w:r>
            </w:hyperlink>
          </w:p>
        </w:tc>
        <w:tc>
          <w:tcPr>
            <w:tcW w:w="7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00" w:type="dxa"/>
            <w:vAlign w:val="bottom"/>
            <w:tcBorders>
              <w:bottom w:val="single" w:sz="8" w:color="0000FF"/>
            </w:tcBorders>
            <w:gridSpan w:val="13"/>
          </w:tcPr>
          <w:p>
            <w:pPr>
              <w:spacing w:after="0" w:line="186" w:lineRule="exact"/>
              <w:rPr>
                <w:rFonts w:ascii="Arial" w:cs="Arial" w:eastAsia="Arial" w:hAnsi="Arial"/>
                <w:sz w:val="18"/>
                <w:szCs w:val="18"/>
                <w:color w:val="0000FF"/>
                <w:w w:val="94"/>
              </w:rPr>
            </w:pPr>
            <w:hyperlink r:id="rId16">
              <w:r>
                <w:rPr>
                  <w:rFonts w:ascii="Arial" w:cs="Arial" w:eastAsia="Arial" w:hAnsi="Arial"/>
                  <w:sz w:val="18"/>
                  <w:szCs w:val="18"/>
                  <w:color w:val="0000FF"/>
                  <w:w w:val="94"/>
                </w:rPr>
                <w:t>Form of RSU Award Grant Notice (incorporated by reference to Exhibit 99.4 to the Registration Statement on Form S-8 filed 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gridSpan w:val="14"/>
          </w:tcPr>
          <w:p>
            <w:pPr>
              <w:spacing w:after="0" w:line="179" w:lineRule="exact"/>
              <w:rPr>
                <w:rFonts w:ascii="Arial" w:cs="Arial" w:eastAsia="Arial" w:hAnsi="Arial"/>
                <w:sz w:val="18"/>
                <w:szCs w:val="18"/>
                <w:color w:val="0000FF"/>
              </w:rPr>
            </w:pPr>
            <w:hyperlink r:id="rId16">
              <w:r>
                <w:rPr>
                  <w:rFonts w:ascii="Arial" w:cs="Arial" w:eastAsia="Arial" w:hAnsi="Arial"/>
                  <w:sz w:val="18"/>
                  <w:szCs w:val="18"/>
                  <w:color w:val="0000FF"/>
                </w:rPr>
                <w:t>August 26, 2021).</w:t>
              </w:r>
            </w:hyperlink>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20" w:type="dxa"/>
            <w:vAlign w:val="bottom"/>
            <w:gridSpan w:val="3"/>
            <w:shd w:val="clear" w:color="auto" w:fill="CCEEFF"/>
          </w:tcPr>
          <w:p>
            <w:pPr>
              <w:spacing w:after="0" w:line="199" w:lineRule="exact"/>
              <w:rPr>
                <w:sz w:val="20"/>
                <w:szCs w:val="20"/>
                <w:color w:val="auto"/>
              </w:rPr>
            </w:pPr>
            <w:r>
              <w:rPr>
                <w:rFonts w:ascii="Arial" w:cs="Arial" w:eastAsia="Arial" w:hAnsi="Arial"/>
                <w:sz w:val="18"/>
                <w:szCs w:val="18"/>
                <w:color w:val="0000FF"/>
                <w:w w:val="99"/>
              </w:rPr>
              <w:t>107</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4"/>
            <w:shd w:val="clear" w:color="auto" w:fill="CCEEFF"/>
          </w:tcPr>
          <w:p>
            <w:pPr>
              <w:spacing w:after="0" w:line="199" w:lineRule="exact"/>
              <w:rPr>
                <w:sz w:val="20"/>
                <w:szCs w:val="20"/>
                <w:color w:val="auto"/>
              </w:rPr>
            </w:pPr>
            <w:r>
              <w:rPr>
                <w:rFonts w:ascii="Arial" w:cs="Arial" w:eastAsia="Arial" w:hAnsi="Arial"/>
                <w:sz w:val="18"/>
                <w:szCs w:val="18"/>
                <w:color w:val="0000FF"/>
              </w:rPr>
              <w:t>Filing Fee Table</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36"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70" w:lineRule="exact"/>
        <w:rPr>
          <w:rFonts w:ascii="Arial" w:cs="Arial" w:eastAsia="Arial" w:hAnsi="Arial"/>
          <w:sz w:val="18"/>
          <w:szCs w:val="18"/>
          <w:color w:val="auto"/>
        </w:rPr>
      </w:pPr>
    </w:p>
    <w:p>
      <w:pPr>
        <w:ind w:left="1900" w:hanging="304"/>
        <w:spacing w:after="0"/>
        <w:tabs>
          <w:tab w:leader="none" w:pos="1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94" w:lineRule="exact"/>
        <w:rPr>
          <w:rFonts w:ascii="Arial" w:cs="Arial" w:eastAsia="Arial" w:hAnsi="Arial"/>
          <w:sz w:val="17"/>
          <w:szCs w:val="17"/>
          <w:color w:val="auto"/>
        </w:rPr>
      </w:pPr>
    </w:p>
    <w:p>
      <w:pPr>
        <w:ind w:left="2220" w:hanging="306"/>
        <w:spacing w:after="0"/>
        <w:tabs>
          <w:tab w:leader="none" w:pos="22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0" w:lineRule="exact"/>
        <w:rPr>
          <w:rFonts w:ascii="Arial" w:cs="Arial" w:eastAsia="Arial" w:hAnsi="Arial"/>
          <w:sz w:val="18"/>
          <w:szCs w:val="18"/>
          <w:color w:val="auto"/>
        </w:rPr>
      </w:pPr>
    </w:p>
    <w:p>
      <w:pPr>
        <w:jc w:val="both"/>
        <w:ind w:left="2240" w:hanging="326"/>
        <w:spacing w:after="0" w:line="234" w:lineRule="auto"/>
        <w:tabs>
          <w:tab w:leader="none" w:pos="223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14" w:lineRule="exact"/>
        <w:rPr>
          <w:rFonts w:ascii="Arial" w:cs="Arial" w:eastAsia="Arial" w:hAnsi="Arial"/>
          <w:sz w:val="18"/>
          <w:szCs w:val="18"/>
          <w:color w:val="auto"/>
        </w:rPr>
      </w:pPr>
    </w:p>
    <w:p>
      <w:pPr>
        <w:ind w:left="2240" w:hanging="326"/>
        <w:spacing w:after="0" w:line="249" w:lineRule="auto"/>
        <w:tabs>
          <w:tab w:leader="none" w:pos="2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93" w:lineRule="exact"/>
        <w:rPr>
          <w:sz w:val="20"/>
          <w:szCs w:val="20"/>
          <w:color w:val="auto"/>
        </w:rPr>
      </w:pPr>
    </w:p>
    <w:p>
      <w:pPr>
        <w:jc w:val="both"/>
        <w:ind w:left="1920"/>
        <w:spacing w:after="0" w:line="237"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269" w:lineRule="exact"/>
        <w:rPr>
          <w:sz w:val="20"/>
          <w:szCs w:val="20"/>
          <w:color w:val="auto"/>
        </w:rPr>
      </w:pPr>
    </w:p>
    <w:p>
      <w:pPr>
        <w:jc w:val="both"/>
        <w:ind w:left="1920" w:hanging="324"/>
        <w:spacing w:after="0" w:line="239" w:lineRule="auto"/>
        <w:tabs>
          <w:tab w:leader="none" w:pos="19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69" w:lineRule="exact"/>
        <w:rPr>
          <w:rFonts w:ascii="Arial" w:cs="Arial" w:eastAsia="Arial" w:hAnsi="Arial"/>
          <w:sz w:val="18"/>
          <w:szCs w:val="18"/>
          <w:color w:val="auto"/>
        </w:rPr>
      </w:pPr>
    </w:p>
    <w:p>
      <w:pPr>
        <w:ind w:left="1920" w:hanging="324"/>
        <w:spacing w:after="0" w:line="249" w:lineRule="auto"/>
        <w:tabs>
          <w:tab w:leader="none" w:pos="19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240"/>
          </w:cols>
          <w:pgMar w:left="320" w:top="982" w:right="339" w:bottom="1440" w:gutter="0" w:footer="0" w:header="0"/>
        </w:sectPr>
      </w:pPr>
    </w:p>
    <w:bookmarkStart w:id="4" w:name="page5"/>
    <w:bookmarkEnd w:id="4"/>
    <w:p>
      <w:pPr>
        <w:jc w:val="both"/>
        <w:ind w:left="316" w:hanging="316"/>
        <w:spacing w:after="0" w:line="236"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rFonts w:ascii="Arial" w:cs="Arial" w:eastAsia="Arial" w:hAnsi="Arial"/>
          <w:sz w:val="18"/>
          <w:szCs w:val="18"/>
          <w:color w:val="auto"/>
        </w:rPr>
      </w:pPr>
    </w:p>
    <w:p>
      <w:pPr>
        <w:jc w:val="both"/>
        <w:ind w:left="316" w:hanging="316"/>
        <w:spacing w:after="0" w:line="246" w:lineRule="auto"/>
        <w:tabs>
          <w:tab w:leader="none" w:pos="313"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16"/>
          </w:cols>
          <w:pgMar w:left="644" w:top="75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3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October 5, 2022.</w:t>
      </w:r>
    </w:p>
    <w:p>
      <w:pPr>
        <w:spacing w:after="0" w:line="277"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WM TECHNOLOGY, INC.</w:t>
      </w:r>
    </w:p>
    <w:p>
      <w:pPr>
        <w:spacing w:after="0" w:line="32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27940</wp:posOffset>
            </wp:positionV>
            <wp:extent cx="23679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5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Name: Christopher Beals</w:t>
      </w:r>
    </w:p>
    <w:p>
      <w:pPr>
        <w:spacing w:after="0" w:line="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Title: Chief Executive Officer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6"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Christopher Beals and Arden Lee, and each of them, his true and lawful attorneys-in-fact and agents, each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might or could do in person, hereby ratifying and confirming all that each of said attorneys-in-fact and agents, or his substitute or substitutes may lawfully do or cause to be done by virtue hereof.</w:t>
      </w:r>
    </w:p>
    <w:p>
      <w:pPr>
        <w:spacing w:after="0" w:line="181"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1240"/>
          </w:cols>
          <w:pgMar w:left="320" w:top="99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9"/>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0" w:type="dxa"/>
            <w:vAlign w:val="bottom"/>
          </w:tcPr>
          <w:p>
            <w:pPr>
              <w:spacing w:after="0"/>
              <w:rPr>
                <w:sz w:val="19"/>
                <w:szCs w:val="19"/>
                <w:color w:val="auto"/>
              </w:rPr>
            </w:pPr>
          </w:p>
        </w:tc>
        <w:tc>
          <w:tcPr>
            <w:tcW w:w="5360" w:type="dxa"/>
            <w:vAlign w:val="bottom"/>
            <w:gridSpan w:val="2"/>
          </w:tcPr>
          <w:p>
            <w:pPr>
              <w:ind w:left="2460"/>
              <w:spacing w:after="0"/>
              <w:rPr>
                <w:sz w:val="20"/>
                <w:szCs w:val="20"/>
                <w:color w:val="auto"/>
              </w:rPr>
            </w:pPr>
            <w:r>
              <w:rPr>
                <w:rFonts w:ascii="Arial" w:cs="Arial" w:eastAsia="Arial" w:hAnsi="Arial"/>
                <w:sz w:val="18"/>
                <w:szCs w:val="18"/>
                <w:b w:val="1"/>
                <w:bCs w:val="1"/>
                <w:color w:val="auto"/>
              </w:rPr>
              <w:t>Title</w:t>
            </w:r>
          </w:p>
        </w:tc>
        <w:tc>
          <w:tcPr>
            <w:tcW w:w="1980" w:type="dxa"/>
            <w:vAlign w:val="bottom"/>
          </w:tcPr>
          <w:p>
            <w:pPr>
              <w:jc w:val="right"/>
              <w:ind w:right="732"/>
              <w:spacing w:after="0"/>
              <w:rPr>
                <w:sz w:val="20"/>
                <w:szCs w:val="20"/>
                <w:color w:val="auto"/>
              </w:rPr>
            </w:pPr>
            <w:r>
              <w:rPr>
                <w:rFonts w:ascii="Arial" w:cs="Arial" w:eastAsia="Arial" w:hAnsi="Arial"/>
                <w:sz w:val="18"/>
                <w:szCs w:val="18"/>
                <w:b w:val="1"/>
                <w:bCs w:val="1"/>
                <w:color w:val="auto"/>
              </w:rPr>
              <w:t>Date</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69"/>
        </w:trPr>
        <w:tc>
          <w:tcPr>
            <w:tcW w:w="3420" w:type="dxa"/>
            <w:vAlign w:val="bottom"/>
          </w:tcPr>
          <w:p>
            <w:pPr>
              <w:jc w:val="center"/>
              <w:spacing w:after="0"/>
              <w:rPr>
                <w:sz w:val="20"/>
                <w:szCs w:val="20"/>
                <w:color w:val="auto"/>
              </w:rPr>
            </w:pPr>
            <w:r>
              <w:rPr>
                <w:rFonts w:ascii="Arial" w:cs="Arial" w:eastAsia="Arial" w:hAnsi="Arial"/>
                <w:sz w:val="18"/>
                <w:szCs w:val="18"/>
                <w:color w:val="auto"/>
                <w:w w:val="88"/>
              </w:rPr>
              <w:t>/s/ Christopher Beals</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8"/>
              </w:rPr>
              <w:t>Christopher Beals</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9"/>
              </w:rPr>
              <w:t>/s/ Arden Lee</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9"/>
              </w:rPr>
              <w:t>Arden Lee</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92"/>
              </w:rPr>
              <w:t>/s/ Tony Aquila</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92"/>
              </w:rPr>
              <w:t>Tony Aquila</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91"/>
              </w:rPr>
              <w:t>/s/ Anthony Bay</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92"/>
              </w:rPr>
              <w:t>Anthony Bay</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8"/>
              </w:rPr>
              <w:t>/s/ Douglas Francis</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7"/>
              </w:rPr>
              <w:t>Douglas Francis</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6"/>
              </w:rPr>
              <w:t>/s/ Brenda Freeman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7"/>
              </w:rPr>
              <w:t>Brenda Freeman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8"/>
              </w:rPr>
              <w:t>/s/ Olga Gonzalez</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8"/>
              </w:rPr>
              <w:t>Olga Gonzalez</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9"/>
              </w:rPr>
              <w:t>/s/ Scott Gordon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8"/>
              </w:rPr>
              <w:t>Scott Gordon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90"/>
              </w:rPr>
              <w:t>/s/ Justin Hartfield</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92"/>
              </w:rPr>
              <w:t>Justin Hartfield</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7"/>
              </w:rPr>
              <w:t>/s/ Fiona Tan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right"/>
              <w:ind w:right="732"/>
              <w:spacing w:after="0"/>
              <w:rPr>
                <w:sz w:val="20"/>
                <w:szCs w:val="20"/>
                <w:color w:val="auto"/>
              </w:rPr>
            </w:pPr>
            <w:r>
              <w:rPr>
                <w:rFonts w:ascii="Arial" w:cs="Arial" w:eastAsia="Arial" w:hAnsi="Arial"/>
                <w:sz w:val="18"/>
                <w:szCs w:val="18"/>
                <w:color w:val="auto"/>
                <w:w w:val="88"/>
              </w:rPr>
              <w:t>October 5, 2022</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6"/>
              </w:rPr>
              <w:t>Fiona Tan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0860"/>
          </w:cols>
          <w:pgMar w:left="640" w:top="810" w:right="399" w:bottom="1440" w:gutter="0" w:footer="0" w:header="0"/>
        </w:sectPr>
      </w:pPr>
    </w:p>
    <w:bookmarkStart w:id="7" w:name="page8"/>
    <w:bookmarkEnd w:id="7"/>
    <w:p>
      <w:pPr>
        <w:ind w:left="1026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967740" cy="319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David G. Peinsipp</w:t>
      </w:r>
    </w:p>
    <w:p>
      <w:pPr>
        <w:spacing w:after="0" w:line="5" w:lineRule="exact"/>
        <w:rPr>
          <w:sz w:val="20"/>
          <w:szCs w:val="20"/>
          <w:color w:val="auto"/>
        </w:rPr>
      </w:pPr>
    </w:p>
    <w:p>
      <w:pPr>
        <w:ind w:right="9420" w:firstLine="6"/>
        <w:spacing w:after="0" w:line="280" w:lineRule="auto"/>
        <w:tabs>
          <w:tab w:leader="none" w:pos="186" w:val="left"/>
        </w:tabs>
        <w:numPr>
          <w:ilvl w:val="0"/>
          <w:numId w:val="7"/>
        </w:numPr>
        <w:rPr>
          <w:rFonts w:ascii="Arial" w:cs="Arial" w:eastAsia="Arial" w:hAnsi="Arial"/>
          <w:sz w:val="17"/>
          <w:szCs w:val="17"/>
          <w:color w:val="auto"/>
        </w:rPr>
      </w:pPr>
      <w:r>
        <w:rPr>
          <w:rFonts w:ascii="Arial" w:cs="Arial" w:eastAsia="Arial" w:hAnsi="Arial"/>
          <w:sz w:val="17"/>
          <w:szCs w:val="17"/>
          <w:color w:val="auto"/>
        </w:rPr>
        <w:t>+1 415-693-2177 dpeinsipp@cooley.com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October 5,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230" w:lineRule="auto"/>
        <w:rPr>
          <w:sz w:val="20"/>
          <w:szCs w:val="20"/>
          <w:color w:val="auto"/>
        </w:rPr>
      </w:pPr>
      <w:r>
        <w:rPr>
          <w:rFonts w:ascii="Arial" w:cs="Arial" w:eastAsia="Arial" w:hAnsi="Arial"/>
          <w:sz w:val="18"/>
          <w:szCs w:val="18"/>
          <w:color w:val="auto"/>
        </w:rPr>
        <w:t>41 Discovery</w:t>
      </w:r>
    </w:p>
    <w:p>
      <w:pPr>
        <w:spacing w:after="0"/>
        <w:rPr>
          <w:sz w:val="20"/>
          <w:szCs w:val="20"/>
          <w:color w:val="auto"/>
        </w:rPr>
      </w:pPr>
      <w:r>
        <w:rPr>
          <w:rFonts w:ascii="Arial" w:cs="Arial" w:eastAsia="Arial" w:hAnsi="Arial"/>
          <w:sz w:val="18"/>
          <w:szCs w:val="18"/>
          <w:color w:val="auto"/>
        </w:rPr>
        <w:t>Irvine, California 92618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on Form 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acted as counsel to WM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covering the offering of up to 7,870,782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Class A common stock, par value $0.0001 per share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consisting of (i)</w:t>
      </w:r>
    </w:p>
    <w:p>
      <w:pPr>
        <w:spacing w:after="0" w:line="215" w:lineRule="auto"/>
        <w:rPr>
          <w:sz w:val="20"/>
          <w:szCs w:val="20"/>
          <w:color w:val="auto"/>
        </w:rPr>
      </w:pPr>
      <w:r>
        <w:rPr>
          <w:rFonts w:ascii="Arial" w:cs="Arial" w:eastAsia="Arial" w:hAnsi="Arial"/>
          <w:sz w:val="18"/>
          <w:szCs w:val="18"/>
          <w:color w:val="auto"/>
        </w:rPr>
        <w:t>6,558,985 shares of Class A Common Stock issuable pursuant to the Company’s 2021 Equity Incentive 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and (ii)</w:t>
      </w:r>
    </w:p>
    <w:p>
      <w:pPr>
        <w:spacing w:after="0"/>
        <w:rPr>
          <w:sz w:val="20"/>
          <w:szCs w:val="20"/>
          <w:color w:val="auto"/>
        </w:rPr>
      </w:pPr>
      <w:r>
        <w:rPr>
          <w:rFonts w:ascii="Arial" w:cs="Arial" w:eastAsia="Arial" w:hAnsi="Arial"/>
          <w:sz w:val="17"/>
          <w:szCs w:val="17"/>
          <w:color w:val="auto"/>
        </w:rPr>
        <w:t>1,311,797 shares of Class A Common Stock issuable pursuant to the Company’s 2021 Employee Stock Purchase Plan (together with the 2021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Amended and Restated Bylaws, each as currently in effect, (c) the Plans,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note that the Company was initially incorporated under the laws of the Cayman Islands and was domesticated (the “</w:t>
      </w:r>
      <w:r>
        <w:rPr>
          <w:rFonts w:ascii="Arial" w:cs="Arial" w:eastAsia="Arial" w:hAnsi="Arial"/>
          <w:sz w:val="17"/>
          <w:szCs w:val="17"/>
          <w:b w:val="1"/>
          <w:bCs w:val="1"/>
          <w:i w:val="1"/>
          <w:iCs w:val="1"/>
          <w:color w:val="auto"/>
        </w:rPr>
        <w:t>Domestication</w:t>
      </w:r>
      <w:r>
        <w:rPr>
          <w:rFonts w:ascii="Arial" w:cs="Arial" w:eastAsia="Arial" w:hAnsi="Arial"/>
          <w:sz w:val="17"/>
          <w:szCs w:val="17"/>
          <w:color w:val="auto"/>
        </w:rPr>
        <w:t>”) as a corporation in the State of Delaware in accordance with Section 388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We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have assumed all matters determinable under the laws of the Cayman Islands, including without limitation that (i) immediately prior to the Domestication, the Company was duly organized, validly existing and in good standing under the laws of the Cayman Islands, (ii) the Company</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had full power, authority and legal right to domesticate in the State of Delaware pursuant to Section 388, (iii) the laws of the Cayman Islands permitted the Company to domesticate in the State of Delaware pursuant to Section 388, (iv) the discontinuation of the Company from the Cayman Islands was duly authorized by all necessary corporate action as provided in its governing documents and was duly effected in accordance with Cayman Islands law, (v) any and all consents, approvals and authorizations from applicable Cayman Island governmental authorities required to authorize and permit the Company to domesticate in the State of Delaware pursuant to Section 388 were obtained, and</w:t>
      </w:r>
    </w:p>
    <w:p>
      <w:pPr>
        <w:ind w:firstLine="6"/>
        <w:spacing w:after="0" w:line="238" w:lineRule="auto"/>
        <w:tabs>
          <w:tab w:leader="none" w:pos="3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the Plans by the board and shareholders of the Company as a Cayman Islands exempted company prior to the Domestication were done in accordance with the applicable governing documents of the Company and the laws of the Cayman Islands.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7"/>
          <w:szCs w:val="7"/>
          <w:color w:val="auto"/>
        </w:rPr>
        <w:t>COOLEY LLP 3 EMBARCADERO CTR, 20TH FLOOR SAN FRANCISCO, CALIFORNIA 94111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7"/>
          <w:szCs w:val="7"/>
          <w:color w:val="auto"/>
        </w:rPr>
        <w:t>T: (415) 693-2000 F: (415) 693-2222 COOLEY.COM</w:t>
      </w:r>
    </w:p>
    <w:p>
      <w:pPr>
        <w:sectPr>
          <w:pgSz w:w="11900" w:h="16838" w:orient="portrait"/>
          <w:cols w:equalWidth="0" w:num="1">
            <w:col w:w="11240"/>
          </w:cols>
          <w:pgMar w:left="320" w:top="118"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967740" cy="319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spacing w:after="0" w:line="3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G. Peinsipp</w:t>
      </w:r>
    </w:p>
    <w:p>
      <w:pPr>
        <w:spacing w:after="0"/>
        <w:rPr>
          <w:sz w:val="20"/>
          <w:szCs w:val="20"/>
          <w:color w:val="auto"/>
        </w:rPr>
      </w:pPr>
      <w:r>
        <w:rPr>
          <w:rFonts w:ascii="Arial" w:cs="Arial" w:eastAsia="Arial" w:hAnsi="Arial"/>
          <w:sz w:val="18"/>
          <w:szCs w:val="18"/>
          <w:color w:val="auto"/>
        </w:rPr>
        <w:t>David G. Peinsipp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7"/>
          <w:szCs w:val="7"/>
          <w:color w:val="auto"/>
        </w:rPr>
        <w:t>COOLEY LLP 3 EMBARCADERO CTR, 20TH FLOOR SAN FRANCISCO, CALIFORNIA 94111</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7"/>
          <w:szCs w:val="7"/>
          <w:color w:val="auto"/>
        </w:rPr>
        <w:t>T: (415) 693-2000 F: (415) 693-2222 COOLEY.COM</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consent to the incorporation by reference in this Registration Statement on Form S-8 of WM Technology, Inc. of our report dated February 25, 2022, relating to the consolidated financial statements of WM Technology, Inc., appearing in the Annual Report on Form 10-K of WM Technology, Inc. for the year ended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/s/ Baker Tilly US, LLP</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Irvine,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October 5, 2022</w:t>
      </w:r>
    </w:p>
    <w:p>
      <w:pPr>
        <w:sectPr>
          <w:pgSz w:w="11900" w:h="16838" w:orient="portrait"/>
          <w:cols w:equalWidth="0" w:num="1">
            <w:col w:w="11240"/>
          </w:cols>
          <w:pgMar w:left="320" w:top="1389"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CALCULATION OF REGISTRATION FEE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Securities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spacing w:after="0"/>
        <w:rPr>
          <w:sz w:val="20"/>
          <w:szCs w:val="20"/>
          <w:color w:val="auto"/>
        </w:rPr>
      </w:pPr>
      <w:r>
        <w:rPr>
          <w:rFonts w:ascii="Arial" w:cs="Arial" w:eastAsia="Arial" w:hAnsi="Arial"/>
          <w:sz w:val="19"/>
          <w:szCs w:val="19"/>
          <w:b w:val="1"/>
          <w:bCs w:val="1"/>
          <w:color w:val="auto"/>
        </w:rPr>
        <w:t>Title of Securities to be Registered</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2021 Equity Incentive Plan</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(Class A Common Stock, par value $0.0001 per share)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2021 Employee Stock Purchase Plan</w:t>
      </w:r>
    </w:p>
    <w:p>
      <w:pPr>
        <w:ind w:firstLine="97"/>
        <w:spacing w:after="0" w:line="319" w:lineRule="auto"/>
        <w:rPr>
          <w:sz w:val="20"/>
          <w:szCs w:val="20"/>
          <w:color w:val="auto"/>
        </w:rPr>
      </w:pPr>
      <w:r>
        <w:rPr>
          <w:rFonts w:ascii="Arial" w:cs="Arial" w:eastAsia="Arial" w:hAnsi="Arial"/>
          <w:sz w:val="19"/>
          <w:szCs w:val="19"/>
          <w:color w:val="auto"/>
        </w:rPr>
        <w:t xml:space="preserve">(Class A Common Stock, par value $0.0001 per share) </w:t>
      </w:r>
      <w:r>
        <w:rPr>
          <w:rFonts w:ascii="Arial" w:cs="Arial" w:eastAsia="Arial" w:hAnsi="Arial"/>
          <w:sz w:val="19"/>
          <w:szCs w:val="19"/>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43"/>
              <w:spacing w:after="0"/>
              <w:rPr>
                <w:sz w:val="20"/>
                <w:szCs w:val="20"/>
                <w:color w:val="auto"/>
              </w:rPr>
            </w:pPr>
            <w:r>
              <w:rPr>
                <w:rFonts w:ascii="Arial" w:cs="Arial" w:eastAsia="Arial" w:hAnsi="Arial"/>
                <w:sz w:val="19"/>
                <w:szCs w:val="19"/>
                <w:b w:val="1"/>
                <w:bCs w:val="1"/>
                <w:color w:val="auto"/>
                <w:w w:val="88"/>
              </w:rPr>
              <w:t>Proposed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9"/>
                <w:szCs w:val="19"/>
                <w:b w:val="1"/>
                <w:bCs w:val="1"/>
                <w:color w:val="auto"/>
                <w:w w:val="86"/>
              </w:rPr>
              <w:t>Proposed</w:t>
            </w:r>
          </w:p>
        </w:tc>
        <w:tc>
          <w:tcPr>
            <w:tcW w:w="160" w:type="dxa"/>
            <w:vAlign w:val="bottom"/>
          </w:tcPr>
          <w:p>
            <w:pPr>
              <w:spacing w:after="0"/>
              <w:rPr>
                <w:sz w:val="18"/>
                <w:szCs w:val="18"/>
                <w:color w:val="auto"/>
              </w:rPr>
            </w:pPr>
          </w:p>
        </w:tc>
        <w:tc>
          <w:tcPr>
            <w:tcW w:w="1220" w:type="dxa"/>
            <w:vAlign w:val="bottom"/>
            <w:vMerge w:val="restart"/>
          </w:tcPr>
          <w:p>
            <w:pPr>
              <w:jc w:val="center"/>
              <w:ind w:right="63"/>
              <w:spacing w:after="0"/>
              <w:rPr>
                <w:sz w:val="20"/>
                <w:szCs w:val="20"/>
                <w:color w:val="auto"/>
              </w:rPr>
            </w:pPr>
            <w:r>
              <w:rPr>
                <w:rFonts w:ascii="Arial" w:cs="Arial" w:eastAsia="Arial" w:hAnsi="Arial"/>
                <w:sz w:val="19"/>
                <w:szCs w:val="19"/>
                <w:b w:val="1"/>
                <w:bCs w:val="1"/>
                <w:color w:val="auto"/>
                <w:w w:val="94"/>
              </w:rPr>
              <w:t>Amount of</w:t>
            </w:r>
          </w:p>
        </w:tc>
        <w:tc>
          <w:tcPr>
            <w:tcW w:w="0" w:type="dxa"/>
            <w:vAlign w:val="bottom"/>
          </w:tcPr>
          <w:p>
            <w:pPr>
              <w:spacing w:after="0"/>
              <w:rPr>
                <w:sz w:val="1"/>
                <w:szCs w:val="1"/>
                <w:color w:val="auto"/>
              </w:rPr>
            </w:pPr>
          </w:p>
        </w:tc>
      </w:tr>
      <w:tr>
        <w:trPr>
          <w:trHeight w:val="199"/>
        </w:trPr>
        <w:tc>
          <w:tcPr>
            <w:tcW w:w="138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Amount to be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23"/>
              <w:spacing w:after="0" w:line="199" w:lineRule="exact"/>
              <w:rPr>
                <w:sz w:val="20"/>
                <w:szCs w:val="20"/>
                <w:color w:val="auto"/>
              </w:rPr>
            </w:pPr>
            <w:r>
              <w:rPr>
                <w:rFonts w:ascii="Arial" w:cs="Arial" w:eastAsia="Arial" w:hAnsi="Arial"/>
                <w:sz w:val="19"/>
                <w:szCs w:val="19"/>
                <w:b w:val="1"/>
                <w:bCs w:val="1"/>
                <w:color w:val="auto"/>
                <w:w w:val="94"/>
              </w:rPr>
              <w:t>maximum</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center"/>
              <w:ind w:right="360"/>
              <w:spacing w:after="0" w:line="199" w:lineRule="exact"/>
              <w:rPr>
                <w:sz w:val="20"/>
                <w:szCs w:val="20"/>
                <w:color w:val="auto"/>
              </w:rPr>
            </w:pPr>
            <w:r>
              <w:rPr>
                <w:rFonts w:ascii="Arial" w:cs="Arial" w:eastAsia="Arial" w:hAnsi="Arial"/>
                <w:sz w:val="19"/>
                <w:szCs w:val="19"/>
                <w:b w:val="1"/>
                <w:bCs w:val="1"/>
                <w:color w:val="auto"/>
                <w:w w:val="94"/>
              </w:rPr>
              <w:t>maximum</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spacing w:after="0" w:line="195" w:lineRule="exact"/>
              <w:rPr>
                <w:sz w:val="20"/>
                <w:szCs w:val="20"/>
                <w:color w:val="auto"/>
              </w:rPr>
            </w:pPr>
            <w:r>
              <w:rPr>
                <w:rFonts w:ascii="Arial" w:cs="Arial" w:eastAsia="Arial" w:hAnsi="Arial"/>
                <w:sz w:val="19"/>
                <w:szCs w:val="19"/>
                <w:b w:val="1"/>
                <w:bCs w:val="1"/>
                <w:color w:val="auto"/>
                <w:w w:val="93"/>
              </w:rPr>
              <w:t>offering price</w:t>
            </w:r>
          </w:p>
        </w:tc>
        <w:tc>
          <w:tcPr>
            <w:tcW w:w="100" w:type="dxa"/>
            <w:vAlign w:val="bottom"/>
          </w:tcPr>
          <w:p>
            <w:pPr>
              <w:spacing w:after="0"/>
              <w:rPr>
                <w:sz w:val="16"/>
                <w:szCs w:val="16"/>
                <w:color w:val="auto"/>
              </w:rPr>
            </w:pPr>
          </w:p>
        </w:tc>
        <w:tc>
          <w:tcPr>
            <w:tcW w:w="1780" w:type="dxa"/>
            <w:vAlign w:val="bottom"/>
            <w:gridSpan w:val="3"/>
          </w:tcPr>
          <w:p>
            <w:pPr>
              <w:jc w:val="center"/>
              <w:ind w:right="100"/>
              <w:spacing w:after="0" w:line="195" w:lineRule="exact"/>
              <w:rPr>
                <w:sz w:val="20"/>
                <w:szCs w:val="20"/>
                <w:color w:val="auto"/>
              </w:rPr>
            </w:pPr>
            <w:r>
              <w:rPr>
                <w:rFonts w:ascii="Arial" w:cs="Arial" w:eastAsia="Arial" w:hAnsi="Arial"/>
                <w:sz w:val="19"/>
                <w:szCs w:val="19"/>
                <w:b w:val="1"/>
                <w:bCs w:val="1"/>
                <w:color w:val="auto"/>
                <w:w w:val="91"/>
              </w:rPr>
              <w:t>aggregate offering</w:t>
            </w:r>
          </w:p>
        </w:tc>
        <w:tc>
          <w:tcPr>
            <w:tcW w:w="160" w:type="dxa"/>
            <w:vAlign w:val="bottom"/>
          </w:tcPr>
          <w:p>
            <w:pPr>
              <w:spacing w:after="0"/>
              <w:rPr>
                <w:sz w:val="16"/>
                <w:szCs w:val="16"/>
                <w:color w:val="auto"/>
              </w:rPr>
            </w:pPr>
          </w:p>
        </w:tc>
        <w:tc>
          <w:tcPr>
            <w:tcW w:w="1220" w:type="dxa"/>
            <w:vAlign w:val="bottom"/>
          </w:tcPr>
          <w:p>
            <w:pPr>
              <w:jc w:val="center"/>
              <w:ind w:right="63"/>
              <w:spacing w:after="0" w:line="195" w:lineRule="exact"/>
              <w:rPr>
                <w:sz w:val="20"/>
                <w:szCs w:val="20"/>
                <w:color w:val="auto"/>
              </w:rPr>
            </w:pPr>
            <w:r>
              <w:rPr>
                <w:rFonts w:ascii="Arial" w:cs="Arial" w:eastAsia="Arial" w:hAnsi="Arial"/>
                <w:sz w:val="19"/>
                <w:szCs w:val="19"/>
                <w:b w:val="1"/>
                <w:bCs w:val="1"/>
                <w:color w:val="auto"/>
                <w:w w:val="93"/>
              </w:rPr>
              <w:t>registration</w:t>
            </w:r>
          </w:p>
        </w:tc>
        <w:tc>
          <w:tcPr>
            <w:tcW w:w="0" w:type="dxa"/>
            <w:vAlign w:val="bottom"/>
          </w:tcPr>
          <w:p>
            <w:pPr>
              <w:spacing w:after="0"/>
              <w:rPr>
                <w:sz w:val="1"/>
                <w:szCs w:val="1"/>
                <w:color w:val="auto"/>
              </w:rPr>
            </w:pPr>
          </w:p>
        </w:tc>
      </w:tr>
      <w:tr>
        <w:trPr>
          <w:trHeight w:val="252"/>
        </w:trPr>
        <w:tc>
          <w:tcPr>
            <w:tcW w:w="1380" w:type="dxa"/>
            <w:vAlign w:val="bottom"/>
            <w:tcBorders>
              <w:bottom w:val="single" w:sz="8" w:color="auto"/>
            </w:tcBorders>
          </w:tcPr>
          <w:p>
            <w:pPr>
              <w:jc w:val="right"/>
              <w:ind w:right="103"/>
              <w:spacing w:after="0" w:line="252" w:lineRule="exact"/>
              <w:rPr>
                <w:sz w:val="20"/>
                <w:szCs w:val="20"/>
                <w:color w:val="auto"/>
              </w:rPr>
            </w:pPr>
            <w:r>
              <w:rPr>
                <w:rFonts w:ascii="Arial" w:cs="Arial" w:eastAsia="Arial" w:hAnsi="Arial"/>
                <w:sz w:val="19"/>
                <w:szCs w:val="19"/>
                <w:b w:val="1"/>
                <w:bCs w:val="1"/>
                <w:color w:val="auto"/>
              </w:rPr>
              <w:t>registered</w:t>
            </w:r>
            <w:r>
              <w:rPr>
                <w:rFonts w:ascii="Arial" w:cs="Arial" w:eastAsia="Arial" w:hAnsi="Arial"/>
                <w:sz w:val="25"/>
                <w:szCs w:val="25"/>
                <w:b w:val="1"/>
                <w:bCs w:val="1"/>
                <w:color w:val="auto"/>
                <w:vertAlign w:val="superscript"/>
              </w:rPr>
              <w:t>(1)</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3"/>
              <w:spacing w:after="0" w:line="252" w:lineRule="exact"/>
              <w:rPr>
                <w:sz w:val="20"/>
                <w:szCs w:val="20"/>
                <w:color w:val="auto"/>
              </w:rPr>
            </w:pPr>
            <w:r>
              <w:rPr>
                <w:rFonts w:ascii="Arial" w:cs="Arial" w:eastAsia="Arial" w:hAnsi="Arial"/>
                <w:sz w:val="19"/>
                <w:szCs w:val="19"/>
                <w:b w:val="1"/>
                <w:bCs w:val="1"/>
                <w:color w:val="auto"/>
                <w:w w:val="86"/>
              </w:rPr>
              <w:t>per share</w:t>
            </w:r>
            <w:r>
              <w:rPr>
                <w:rFonts w:ascii="Arial" w:cs="Arial" w:eastAsia="Arial" w:hAnsi="Arial"/>
                <w:sz w:val="25"/>
                <w:szCs w:val="25"/>
                <w:b w:val="1"/>
                <w:bCs w:val="1"/>
                <w:color w:val="auto"/>
                <w:w w:val="86"/>
                <w:vertAlign w:val="superscript"/>
              </w:rPr>
              <w:t>(2)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83"/>
              <w:spacing w:after="0" w:line="252" w:lineRule="exact"/>
              <w:rPr>
                <w:sz w:val="20"/>
                <w:szCs w:val="20"/>
                <w:color w:val="auto"/>
              </w:rPr>
            </w:pPr>
            <w:r>
              <w:rPr>
                <w:rFonts w:ascii="Arial" w:cs="Arial" w:eastAsia="Arial" w:hAnsi="Arial"/>
                <w:sz w:val="19"/>
                <w:szCs w:val="19"/>
                <w:b w:val="1"/>
                <w:bCs w:val="1"/>
                <w:color w:val="auto"/>
                <w:w w:val="85"/>
              </w:rPr>
              <w:t>price</w:t>
            </w:r>
            <w:r>
              <w:rPr>
                <w:rFonts w:ascii="Arial" w:cs="Arial" w:eastAsia="Arial" w:hAnsi="Arial"/>
                <w:sz w:val="25"/>
                <w:szCs w:val="25"/>
                <w:b w:val="1"/>
                <w:bCs w:val="1"/>
                <w:color w:val="auto"/>
                <w:w w:val="85"/>
                <w:vertAlign w:val="superscript"/>
              </w:rPr>
              <w:t>(2)</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63"/>
              <w:spacing w:after="0" w:line="252" w:lineRule="exact"/>
              <w:rPr>
                <w:sz w:val="20"/>
                <w:szCs w:val="20"/>
                <w:color w:val="auto"/>
              </w:rPr>
            </w:pPr>
            <w:r>
              <w:rPr>
                <w:rFonts w:ascii="Arial" w:cs="Arial" w:eastAsia="Arial" w:hAnsi="Arial"/>
                <w:sz w:val="19"/>
                <w:szCs w:val="19"/>
                <w:b w:val="1"/>
                <w:bCs w:val="1"/>
                <w:color w:val="auto"/>
                <w:w w:val="79"/>
              </w:rPr>
              <w:t>fee</w:t>
            </w:r>
            <w:r>
              <w:rPr>
                <w:rFonts w:ascii="Arial" w:cs="Arial" w:eastAsia="Arial" w:hAnsi="Arial"/>
                <w:sz w:val="25"/>
                <w:szCs w:val="25"/>
                <w:b w:val="1"/>
                <w:bCs w:val="1"/>
                <w:color w:val="auto"/>
                <w:w w:val="79"/>
                <w:vertAlign w:val="superscript"/>
              </w:rPr>
              <w:t>(2)</w:t>
            </w:r>
          </w:p>
        </w:tc>
        <w:tc>
          <w:tcPr>
            <w:tcW w:w="0" w:type="dxa"/>
            <w:vAlign w:val="bottom"/>
          </w:tcPr>
          <w:p>
            <w:pPr>
              <w:spacing w:after="0"/>
              <w:rPr>
                <w:sz w:val="1"/>
                <w:szCs w:val="1"/>
                <w:color w:val="auto"/>
              </w:rPr>
            </w:pPr>
          </w:p>
        </w:tc>
      </w:tr>
      <w:tr>
        <w:trPr>
          <w:trHeight w:val="422"/>
        </w:trPr>
        <w:tc>
          <w:tcPr>
            <w:tcW w:w="1380" w:type="dxa"/>
            <w:vAlign w:val="bottom"/>
          </w:tcPr>
          <w:p>
            <w:pPr>
              <w:jc w:val="right"/>
              <w:spacing w:after="0"/>
              <w:rPr>
                <w:sz w:val="20"/>
                <w:szCs w:val="20"/>
                <w:color w:val="auto"/>
              </w:rPr>
            </w:pPr>
            <w:r>
              <w:rPr>
                <w:rFonts w:ascii="Arial" w:cs="Arial" w:eastAsia="Arial" w:hAnsi="Arial"/>
                <w:sz w:val="19"/>
                <w:szCs w:val="19"/>
                <w:color w:val="auto"/>
              </w:rPr>
              <w:t>6,558,985</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1.66</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10,887,915.10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1,199.85</w:t>
            </w:r>
          </w:p>
        </w:tc>
        <w:tc>
          <w:tcPr>
            <w:tcW w:w="0" w:type="dxa"/>
            <w:vAlign w:val="bottom"/>
          </w:tcPr>
          <w:p>
            <w:pPr>
              <w:spacing w:after="0"/>
              <w:rPr>
                <w:sz w:val="1"/>
                <w:szCs w:val="1"/>
                <w:color w:val="auto"/>
              </w:rPr>
            </w:pPr>
          </w:p>
        </w:tc>
      </w:tr>
      <w:tr>
        <w:trPr>
          <w:trHeight w:val="441"/>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1,311,797</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1.42</w:t>
            </w:r>
          </w:p>
        </w:tc>
        <w:tc>
          <w:tcPr>
            <w:tcW w:w="3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1,862,751.74</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205.28</w:t>
            </w:r>
          </w:p>
        </w:tc>
        <w:tc>
          <w:tcPr>
            <w:tcW w:w="0" w:type="dxa"/>
            <w:vAlign w:val="bottom"/>
          </w:tcPr>
          <w:p>
            <w:pPr>
              <w:spacing w:after="0"/>
              <w:rPr>
                <w:sz w:val="1"/>
                <w:szCs w:val="1"/>
                <w:color w:val="auto"/>
              </w:rPr>
            </w:pPr>
          </w:p>
        </w:tc>
      </w:tr>
      <w:tr>
        <w:trPr>
          <w:trHeight w:val="247"/>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7,870,782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12,750,666.84</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1,405.13</w:t>
            </w:r>
          </w:p>
        </w:tc>
        <w:tc>
          <w:tcPr>
            <w:tcW w:w="0" w:type="dxa"/>
            <w:vAlign w:val="bottom"/>
          </w:tcPr>
          <w:p>
            <w:pPr>
              <w:spacing w:after="0"/>
              <w:rPr>
                <w:sz w:val="1"/>
                <w:szCs w:val="1"/>
                <w:color w:val="auto"/>
              </w:rPr>
            </w:pPr>
          </w:p>
        </w:tc>
      </w:tr>
      <w:tr>
        <w:trPr>
          <w:trHeight w:val="22"/>
        </w:trPr>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-201295</wp:posOffset>
            </wp:positionV>
            <wp:extent cx="7134860" cy="185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4860" cy="185420"/>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-765175</wp:posOffset>
            </wp:positionV>
            <wp:extent cx="7134860" cy="285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360" w:space="680"/>
            <w:col w:w="6180"/>
          </w:cols>
          <w:pgMar w:left="340" w:top="121" w:right="339" w:bottom="1440" w:gutter="0" w:footer="0" w:header="0"/>
          <w:type w:val="continuous"/>
        </w:sectPr>
      </w:pPr>
    </w:p>
    <w:p>
      <w:pPr>
        <w:spacing w:after="0" w:line="131" w:lineRule="exact"/>
        <w:rPr>
          <w:sz w:val="20"/>
          <w:szCs w:val="20"/>
          <w:color w:val="auto"/>
        </w:rPr>
      </w:pPr>
    </w:p>
    <w:p>
      <w:pPr>
        <w:jc w:val="both"/>
        <w:ind w:left="620" w:hanging="316"/>
        <w:spacing w:after="0" w:line="248" w:lineRule="auto"/>
        <w:tabs>
          <w:tab w:leader="none" w:pos="608" w:val="left"/>
        </w:tabs>
        <w:numPr>
          <w:ilvl w:val="0"/>
          <w:numId w:val="9"/>
        </w:numPr>
        <w:rPr>
          <w:rFonts w:ascii="Arial" w:cs="Arial" w:eastAsia="Arial" w:hAnsi="Arial"/>
          <w:sz w:val="19"/>
          <w:szCs w:val="19"/>
          <w:color w:val="auto"/>
        </w:rPr>
      </w:pPr>
      <w:r>
        <w:rPr>
          <w:rFonts w:ascii="Arial" w:cs="Arial" w:eastAsia="Arial" w:hAnsi="Arial"/>
          <w:sz w:val="19"/>
          <w:szCs w:val="19"/>
          <w:color w:val="auto"/>
        </w:rPr>
        <w:t>Pursuant to Rule 416(a) under the Securities Act of 1933, as amended (the “Securities Act”), this registration statement also covers an indeterminate number of additional shares that may be issued to adjust the number of shares issued pursuant to the plans described herein in the event of a stock dividend, stock split, reverse stock split, extraordinary dividend, extraordinary distribution, recapitalization, reorganization, merger, combination, consolidation, split-up, spin-off, combination, exchange of shares, rights offering, separation, reorganization, liquidation or similar event.</w:t>
      </w:r>
    </w:p>
    <w:p>
      <w:pPr>
        <w:spacing w:after="0" w:line="302" w:lineRule="exact"/>
        <w:rPr>
          <w:rFonts w:ascii="Arial" w:cs="Arial" w:eastAsia="Arial" w:hAnsi="Arial"/>
          <w:sz w:val="19"/>
          <w:szCs w:val="19"/>
          <w:color w:val="auto"/>
        </w:rPr>
      </w:pPr>
    </w:p>
    <w:p>
      <w:pPr>
        <w:jc w:val="both"/>
        <w:ind w:left="620" w:hanging="316"/>
        <w:spacing w:after="0" w:line="276"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Estimated pursuant to Rules 457(c) and 457(h) under the Securities Act, solely for the purposes of calculating the registration fee and based on the average of the high and low prices of the registrant’s Class A Common Stock as reported on the Nasdaq Global Select Market on September 30, 2022, which date is within five business days prior to the filing of this registration statement.</w:t>
      </w:r>
    </w:p>
    <w:p>
      <w:pPr>
        <w:spacing w:after="0" w:line="279" w:lineRule="exact"/>
        <w:rPr>
          <w:rFonts w:ascii="Arial" w:cs="Arial" w:eastAsia="Arial" w:hAnsi="Arial"/>
          <w:sz w:val="18"/>
          <w:szCs w:val="18"/>
          <w:color w:val="auto"/>
        </w:rPr>
      </w:pPr>
    </w:p>
    <w:p>
      <w:pPr>
        <w:ind w:left="620" w:hanging="316"/>
        <w:spacing w:after="0" w:line="307" w:lineRule="auto"/>
        <w:tabs>
          <w:tab w:leader="none" w:pos="60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of Class A Common Stock that were added to the shares authorized for issuance under the WM Technology, Inc. 2021 Equity Incentive Plan (the “2021 EIP”) on January 1, 2022, pursuant to an “evergreen” provision contained in the 2021 EIP.</w:t>
      </w:r>
    </w:p>
    <w:p>
      <w:pPr>
        <w:spacing w:after="0" w:line="252" w:lineRule="exact"/>
        <w:rPr>
          <w:rFonts w:ascii="Arial" w:cs="Arial" w:eastAsia="Arial" w:hAnsi="Arial"/>
          <w:sz w:val="18"/>
          <w:szCs w:val="18"/>
          <w:color w:val="auto"/>
        </w:rPr>
      </w:pPr>
    </w:p>
    <w:p>
      <w:pPr>
        <w:jc w:val="both"/>
        <w:ind w:left="620" w:hanging="316"/>
        <w:spacing w:after="0" w:line="255" w:lineRule="auto"/>
        <w:tabs>
          <w:tab w:leader="none" w:pos="608" w:val="left"/>
        </w:tabs>
        <w:numPr>
          <w:ilvl w:val="0"/>
          <w:numId w:val="9"/>
        </w:numPr>
        <w:rPr>
          <w:rFonts w:ascii="Arial" w:cs="Arial" w:eastAsia="Arial" w:hAnsi="Arial"/>
          <w:sz w:val="19"/>
          <w:szCs w:val="19"/>
          <w:color w:val="auto"/>
        </w:rPr>
      </w:pPr>
      <w:r>
        <w:rPr>
          <w:rFonts w:ascii="Arial" w:cs="Arial" w:eastAsia="Arial" w:hAnsi="Arial"/>
          <w:sz w:val="19"/>
          <w:szCs w:val="19"/>
          <w:color w:val="auto"/>
        </w:rPr>
        <w:t>Represents shares of Class A Common Stock that were added to the shares authorized for issuance under the WM Technology, Inc. 2021 Employee Stock Purchase Plan (the “2021 ESPP”) on January 1, 2022, pursuant to an “evergreen” provision contained in the 2021 ESPP.</w:t>
      </w:r>
    </w:p>
    <w:sectPr>
      <w:pgSz w:w="11900" w:h="16838" w:orient="portrait"/>
      <w:cols w:equalWidth="0" w:num="1">
        <w:col w:w="11220"/>
      </w:cols>
      <w:pgMar w:left="34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upperLetter"/>
      <w:start w:val="20"/>
    </w:lvl>
  </w:abstractNum>
  <w:abstractNum w:abstractNumId="7">
    <w:nsid w:val="515F007C"/>
    <w:multiLevelType w:val="hybridMultilevel"/>
    <w:lvl w:ilvl="0">
      <w:lvlJc w:val="left"/>
      <w:lvlText w:val="(%1)"/>
      <w:numFmt w:val="lowerRoman"/>
      <w:start w:val="6"/>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png"/><Relationship Id="rId21" Type="http://schemas.openxmlformats.org/officeDocument/2006/relationships/image" Target="media/image8.png"/><Relationship Id="rId11" Type="http://schemas.openxmlformats.org/officeDocument/2006/relationships/hyperlink" Target="https://www.sec.gov/Archives/edgar/data/1779474/000114036121021785/brhc10025756_ex3-1.htm" TargetMode="External"/><Relationship Id="rId12" Type="http://schemas.openxmlformats.org/officeDocument/2006/relationships/hyperlink" Target="https://www.sec.gov/Archives/edgar/data/1779474/000114036121021785/brhc10025756_ex3-2.htm" TargetMode="External"/><Relationship Id="rId13" Type="http://schemas.openxmlformats.org/officeDocument/2006/relationships/hyperlink" Target="https://www.sec.gov/Archives/edgar/data/1779474/000177947421000023/exhibit991-2021plan.htm" TargetMode="External"/><Relationship Id="rId14" Type="http://schemas.openxmlformats.org/officeDocument/2006/relationships/hyperlink" Target="https://www.sec.gov/Archives/edgar/data/1779474/000114036121021785/brhc10025756_ex10-8.htm" TargetMode="External"/><Relationship Id="rId15" Type="http://schemas.openxmlformats.org/officeDocument/2006/relationships/hyperlink" Target="https://www.sec.gov/Archives/edgar/data/1779474/000114036121021785/brhc10025756_ex10-7a.htm" TargetMode="External"/><Relationship Id="rId16" Type="http://schemas.openxmlformats.org/officeDocument/2006/relationships/hyperlink" Target="https://www.sec.gov/Archives/edgar/data/1779474/000177947421000023/exhibit994-formofrsugrant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2022-10-05T05:16:22Z</dcterms:created>
  <dcterms:modified xsi:type="dcterms:W3CDTF">2022-10-05T05:16:22Z</dcterms:modified>
</cp:coreProperties>
</file>