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0"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6"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sectPr>
      </w:pPr>
    </w:p>
    <w:p>
      <w:pPr>
        <w:spacing w:after="0" w:line="81"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37" w:right="539" w:bottom="1054"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304165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w:t>
        <w:tab/>
        <w:t>Results of Operations and Financial Condition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7, 2025, WM Technology, Inc. (the "Company") announced its financial results for the second quarter ended June 30, 2025. The full text of the press release issued in connection with the announcement is furnished as Exhibit 99.1 to this Current Report on Form 8-K and is incorporated by reference.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9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August 7, 2025</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2025</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88265</wp:posOffset>
            </wp:positionV>
            <wp:extent cx="214312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 Reports Financial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Second Quarter 2025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Adjusted EBITDA was $11.7 million, an increase of 16% year-over-year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Net Income was $2.2 million, an increase of 81% year-over-year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Cash Rises to $59 million</w:t>
      </w:r>
    </w:p>
    <w:p>
      <w:pPr>
        <w:spacing w:after="0" w:line="200" w:lineRule="exact"/>
        <w:rPr>
          <w:sz w:val="20"/>
          <w:szCs w:val="20"/>
          <w:color w:val="auto"/>
        </w:rPr>
      </w:pPr>
    </w:p>
    <w:p>
      <w:pPr>
        <w:spacing w:after="0" w:line="2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Irvine, Calif.--(BUSINESS WIRE)--August 7, 2025-- </w:t>
      </w:r>
      <w:r>
        <w:rPr>
          <w:rFonts w:ascii="Times New Roman" w:cs="Times New Roman" w:eastAsia="Times New Roman" w:hAnsi="Times New Roman"/>
          <w:sz w:val="18"/>
          <w:szCs w:val="18"/>
          <w:color w:val="auto"/>
        </w:rPr>
        <w:t>WM Technology, Inc. (“WM Technology” or the “Company”) (Nasdaq: MAPS),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marketplace and technology solutions provider to the cannabis industry, today announced its financial results for the second quarter ended June 30, 2025.</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delivered a solid quarter, generating strong cash flow and maintaining operational discipline in what continues to be a difficult operating environment,” said Doug Francis, CEO of WM Technology. “While cannabis markets in our core states remain under pressure, we’re encouraged by the progress we’re seeing with new clients in certain emerging markets. Broader industry challenges persist, but we remain committed to execution and to positioning the business for long-term growth.”</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remain in a strong financial position, with cash growth, no debt on the balance sheet, and solid Adjusted EBITDA performance,” said Susan Echard, CFO of WM Technology. “Our strategic approach to managing capital allows us to pursue ongoing investment in the business while maintaining the flexibility to navigate a dynamic market environment.”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Highlights</w:t>
      </w:r>
    </w:p>
    <w:p>
      <w:pPr>
        <w:spacing w:after="0" w:line="162" w:lineRule="exact"/>
        <w:rPr>
          <w:sz w:val="20"/>
          <w:szCs w:val="20"/>
          <w:color w:val="auto"/>
        </w:rPr>
      </w:pPr>
    </w:p>
    <w:p>
      <w:pPr>
        <w:jc w:val="both"/>
        <w:ind w:left="660" w:hanging="328"/>
        <w:spacing w:after="0" w:line="239"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Revenues for the second quarter ended June 30, 2025 were $44.8 million as compared to $45.9 million in the prior year period. The decrease from the prior year period was due to decreases in revenues from our Weedmaps for Business solution and our featured and deal listings, partially offset by an increase in revenues from other ad solutions.</w:t>
      </w:r>
    </w:p>
    <w:p>
      <w:pPr>
        <w:spacing w:after="0" w:line="78" w:lineRule="exact"/>
        <w:rPr>
          <w:rFonts w:ascii="Times New Roman" w:cs="Times New Roman" w:eastAsia="Times New Roman" w:hAnsi="Times New Roman"/>
          <w:sz w:val="22"/>
          <w:szCs w:val="22"/>
          <w:color w:val="auto"/>
        </w:rPr>
      </w:pPr>
    </w:p>
    <w:p>
      <w:pPr>
        <w:ind w:left="1300" w:hanging="320"/>
        <w:spacing w:after="0" w:line="229" w:lineRule="auto"/>
        <w:tabs>
          <w:tab w:leader="none" w:pos="1309"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5,241 was up from 5,045 from the prior year period, largely due to new client acquisitions across certain developing markets, partially offset by a churn in more established markets.</w:t>
      </w:r>
    </w:p>
    <w:p>
      <w:pPr>
        <w:spacing w:after="0" w:line="76" w:lineRule="exact"/>
        <w:rPr>
          <w:rFonts w:ascii="Arial" w:cs="Arial" w:eastAsia="Arial" w:hAnsi="Arial"/>
          <w:sz w:val="22"/>
          <w:szCs w:val="22"/>
          <w:color w:val="auto"/>
        </w:rPr>
      </w:pPr>
    </w:p>
    <w:p>
      <w:pPr>
        <w:jc w:val="both"/>
        <w:ind w:left="1300" w:hanging="320"/>
        <w:spacing w:after="0"/>
        <w:tabs>
          <w:tab w:leader="none" w:pos="1323"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Average monthly revenues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decreased to $2,852 from $3,033 in the prior year period, due to spend declines in established markets driven by continued industry challenges, such as price deflation and ongoing consolidation. In addition, new clients acquired across certain markets had lower levels of average spend.</w:t>
      </w:r>
    </w:p>
    <w:p>
      <w:pPr>
        <w:spacing w:after="0" w:line="3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to $2.2 million as compared to $1.2 million in the prior year period.</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increased to $11.7 million from $10.1 million in the prior year period.</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shares outstanding across Class A and Class V Common Stock were 156.5 million as of June 30, 2025.</w:t>
      </w:r>
    </w:p>
    <w:p>
      <w:pPr>
        <w:spacing w:after="0" w:line="4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increased to $59.0 million as of June 30, 2025, as compared to $52.0 million as of December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GAAP to non-GAAP financial measures have been provided in the tables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7"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revenues per paying client is defined as the average monthly revenues for any particular period divided by the average monthly paying clients in the same respective period. Average monthly revenues per paying client is calculated in the same manner as our previously-reported “Average monthly net revenue per paying client,” and the description of the metric is being updated solely because we changed the reporting line item from “Net revenues” to “Revenue”. For additional information, see “Basis of Presentation” and “Revenue Recognition” of Note 2. “Summary of Significant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35"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4"/>
          <w:szCs w:val="14"/>
          <w:color w:val="auto"/>
        </w:rPr>
        <w:t>Accounting Policies,” of our consolidated financial statements included in our Annual Report on Form 10-K for the year ended December 31, 2024 filed with the SEC on March 13, 2025.</w:t>
      </w:r>
    </w:p>
    <w:p>
      <w:pPr>
        <w:spacing w:after="0" w:line="27" w:lineRule="exact"/>
        <w:rPr>
          <w:sz w:val="20"/>
          <w:szCs w:val="20"/>
          <w:color w:val="auto"/>
        </w:rPr>
      </w:pPr>
    </w:p>
    <w:p>
      <w:pPr>
        <w:ind w:left="340" w:hanging="332"/>
        <w:spacing w:after="0" w:line="283"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their use and a reconciliation of EBITDA and Adjusted EBITDA to net income (loss), see “Reconciliation of Net Income (Loss) to EBITDA and Adjusted EBITDA”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information available as of August 7, 2025, WM Technology is issuing guidance for the third quarter of 2025 as follows:</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is estimated to be approximately $41 million - $43 million.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Non-GAAP 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is estimated to be approximately $5 million - $7 million.</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guidance provided above is only an estimate of what we believe is realizable as of the date of this release. We are not readily able to provide a reconciliation of projected Non-GAAP Adjusted EBITDA to projected net income without unreasonable effort.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host a conference call and webcast today, Thursday, August 7, 2025, at 2:00 p.m. Pacific Time (5:00 p.m. Eastern Time) at https://edge.media-server.com/mmc/p/pxbr4i9v. A webcast replay will also be archived at ir.weedmaps.com.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used, and intend to continue to use, the investor relations portion of its website as a means of disclosing material non-public information and for complying with disclosure obligations under Regulation FD.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 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16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committed to advocating for full U.S. legalization, industry-wide social equity, and continued education about the plant through key partnerships and cannabis subject matter experts.</w:t>
      </w:r>
    </w:p>
    <w:p>
      <w:pPr>
        <w:spacing w:after="0" w:line="54" w:lineRule="exact"/>
        <w:rPr>
          <w:sz w:val="20"/>
          <w:szCs w:val="20"/>
          <w:color w:val="auto"/>
        </w:rPr>
      </w:pPr>
    </w:p>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Headquartered in Irvine, California, WM Technology supports remote and hybrid work for eligible employees. Visit us at www.weedmaps.com.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Company’s ability to obtain funding for its future operations; the impact of the material weaknesses in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35"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color w:val="auto"/>
        </w:rPr>
        <w:t>Company’s internal controls and ability to remediate these material weaknesses in the timing the Company anticipates, or at all; the Company’s ability to maintain its listing on the Nasdaq Stock Market LLC; the impact of the restatement on our reputation and investor confidence in us and the increased possibility of legal proceedings and regulatory inquiries;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Reports on Form 10-K, Quarterly Reports on Form 10-Q and Current Reports on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including net income, are prepared in accordance with principles generally accepted in the United States of America (“GAAP”).</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asset impairment charges, change in the TRA liability and other non-cash, unusual and/or infrequent costs in the case of Adjusted EBITDA. Below we have provided a reconciliation of net income (the most directly comparable GAAP financial measure) to EBITDA; and from EBITDA to Adjusted EBITDA.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and our other GAAP results.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69,512</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188,066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7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liability, current</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30,433</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26,601</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non-current</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61,799</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June 30, 2025 and December 31, 2024</w:t>
            </w:r>
          </w:p>
        </w:tc>
        <w:tc>
          <w:tcPr>
            <w:tcW w:w="28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107,226,460</w:t>
            </w: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4"/>
        </w:trPr>
        <w:tc>
          <w:tcPr>
            <w:tcW w:w="720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June 30, 2025 and 99,033,110 shares issued and outstanding</w:t>
            </w:r>
          </w:p>
        </w:tc>
        <w:tc>
          <w:tcPr>
            <w:tcW w:w="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3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December 31, 2024</w:t>
            </w: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7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49,319,542 shares</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June 30, 2025 and 54,319,542 shares issued and outstanding at</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92,941</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(56,879)</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83,990</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120,067</w:t>
            </w:r>
          </w:p>
        </w:tc>
      </w:tr>
      <w:tr>
        <w:trPr>
          <w:trHeight w:val="223"/>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188,066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r>
      <w:tr>
        <w:trPr>
          <w:trHeight w:val="21"/>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3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r>
      <w:tr>
        <w:trPr>
          <w:trHeight w:val="257"/>
        </w:trPr>
        <w:tc>
          <w:tcPr>
            <w:tcW w:w="5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6"/>
        </w:trPr>
        <w:tc>
          <w:tcPr>
            <w:tcW w:w="5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35,055</w:t>
            </w:r>
          </w:p>
        </w:tc>
      </w:tr>
      <w:tr>
        <w:trPr>
          <w:trHeight w:val="229"/>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23"/>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9"/>
        </w:trPr>
        <w:tc>
          <w:tcPr>
            <w:tcW w:w="5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48"/>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WM Technology,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57"/>
        </w:trPr>
        <w:tc>
          <w:tcPr>
            <w:tcW w:w="5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105,744,266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104,897,467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95,023,380</w:t>
            </w: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107,922,354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107,347,113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96,647,173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-4173855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-4173855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3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8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contingency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20,054</w:t>
            </w:r>
          </w:p>
        </w:tc>
      </w:tr>
      <w:tr>
        <w:trPr>
          <w:trHeight w:val="250"/>
        </w:trPr>
        <w:tc>
          <w:tcPr>
            <w:tcW w:w="7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50"/>
        </w:trPr>
        <w:tc>
          <w:tcPr>
            <w:tcW w:w="7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r>
      <w:tr>
        <w:trPr>
          <w:trHeight w:val="250"/>
        </w:trPr>
        <w:tc>
          <w:tcPr>
            <w:tcW w:w="7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34,350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end of period</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41,292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-5245735</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3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420" w:type="dxa"/>
            <w:vAlign w:val="bottom"/>
          </w:tcPr>
          <w:p>
            <w:pPr>
              <w:spacing w:after="0"/>
              <w:rPr>
                <w:sz w:val="23"/>
                <w:szCs w:val="23"/>
                <w:color w:val="auto"/>
              </w:rPr>
            </w:pPr>
          </w:p>
        </w:tc>
        <w:tc>
          <w:tcPr>
            <w:tcW w:w="346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Pr>
          <w:p>
            <w:pPr>
              <w:spacing w:after="0"/>
              <w:rPr>
                <w:sz w:val="23"/>
                <w:szCs w:val="23"/>
                <w:color w:val="auto"/>
              </w:rPr>
            </w:pPr>
          </w:p>
        </w:tc>
        <w:tc>
          <w:tcPr>
            <w:tcW w:w="28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9"/>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29"/>
        </w:trPr>
        <w:tc>
          <w:tcPr>
            <w:tcW w:w="4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r>
      <w:tr>
        <w:trPr>
          <w:trHeight w:val="229"/>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r>
      <w:tr>
        <w:trPr>
          <w:trHeight w:val="230"/>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44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Legal settlements and other legal costs</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29"/>
        </w:trPr>
        <w:tc>
          <w:tcPr>
            <w:tcW w:w="44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Reduction in force expense</w:t>
            </w:r>
            <w:r>
              <w:rPr>
                <w:rFonts w:ascii="Times New Roman" w:cs="Times New Roman" w:eastAsia="Times New Roman" w:hAnsi="Times New Roman"/>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Loss contingency</w:t>
            </w:r>
            <w:r>
              <w:rPr>
                <w:rFonts w:ascii="Times New Roman" w:cs="Times New Roman" w:eastAsia="Times New Roman" w:hAnsi="Times New Roman"/>
                <w:sz w:val="23"/>
                <w:szCs w:val="23"/>
                <w:color w:val="auto"/>
                <w:vertAlign w:val="superscript"/>
              </w:rPr>
              <w:t>(3)</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left="80" w:hanging="80"/>
        <w:spacing w:after="0" w:line="236"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As of June 30, 2025, represents legal and advisory fees related to ongoing litigation related to shareholder derivative actions, and as of June 30, 2024, represents legal and advisory fees related to the SEC enforcement matter and SEC settlement. See Note 5, “Commitments and Contingencies” of the condensed consolidated financial statements included in our Quarterly Report on Form 10-Q for the period ended June 30, 2025 filed with the SEC for additional information</w:t>
      </w:r>
    </w:p>
    <w:p>
      <w:pPr>
        <w:spacing w:after="0" w:line="46" w:lineRule="exact"/>
        <w:rPr>
          <w:sz w:val="20"/>
          <w:szCs w:val="20"/>
          <w:color w:val="auto"/>
        </w:rPr>
      </w:pPr>
    </w:p>
    <w:p>
      <w:pPr>
        <w:jc w:val="both"/>
        <w:ind w:left="80" w:hanging="72"/>
        <w:spacing w:after="0" w:line="256" w:lineRule="auto"/>
        <w:tabs>
          <w:tab w:leader="none" w:pos="7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the first quarter of 2025, we incurred severance charges included in general and administrative expense in the condensed consolidated statement of operations, related to certain reduction in force actions taken by our management. These reduction in force actions are designed to enhance operational efficiency and align resources with strategic priorities in its corporate technology and marketing divisions.</w:t>
      </w:r>
    </w:p>
    <w:p>
      <w:pPr>
        <w:spacing w:after="0" w:line="21" w:lineRule="exact"/>
        <w:rPr>
          <w:sz w:val="20"/>
          <w:szCs w:val="20"/>
          <w:color w:val="auto"/>
        </w:rPr>
      </w:pPr>
    </w:p>
    <w:p>
      <w:pPr>
        <w:jc w:val="both"/>
        <w:ind w:left="80" w:hanging="72"/>
        <w:spacing w:after="0" w:line="258" w:lineRule="auto"/>
        <w:tabs>
          <w:tab w:leader="none" w:pos="7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identified a purchase obligation shortfall related to the AWS Enterprise, (“AWS”), minimum commitment obligation that is not probable of being recovered through usage or other means, and as such recorded a loss contingency in the second quarter 2025 of $2.3 million, included in general and administrative expense in the condensed consolidated statement of operations. See Note 5, “Commitments and Contingencies” of the condensed consolidated financial statements included in our Quarterly Report on Form 10-Q for the period ended June 30, 2025 filed with the SEC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investors@weedmaps.com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Contract: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press@weedmaps.com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2025-08-07T15:48:00Z</dcterms:created>
  <dcterms:modified xsi:type="dcterms:W3CDTF">2025-08-07T15:48:00Z</dcterms:modified>
</cp:coreProperties>
</file>