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5805805</wp:posOffset>
            </wp:positionH>
            <wp:positionV relativeFrom="page">
              <wp:posOffset>997585</wp:posOffset>
            </wp:positionV>
            <wp:extent cx="154305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283210"/>
                    </a:xfrm>
                    <a:prstGeom prst="rect">
                      <a:avLst/>
                    </a:prstGeom>
                    <a:noFill/>
                  </pic:spPr>
                </pic:pic>
              </a:graphicData>
            </a:graphic>
          </wp:anchor>
        </w:drawing>
      </w:r>
    </w:p>
    <w:p>
      <w:pPr>
        <w:ind w:left="8860"/>
        <w:spacing w:after="0"/>
        <w:rPr>
          <w:sz w:val="20"/>
          <w:szCs w:val="20"/>
          <w:color w:val="auto"/>
        </w:rPr>
      </w:pPr>
      <w:r>
        <w:rPr>
          <w:rFonts w:ascii="Times New Roman" w:cs="Times New Roman" w:eastAsia="Times New Roman" w:hAnsi="Times New Roman"/>
          <w:sz w:val="18"/>
          <w:szCs w:val="18"/>
          <w:color w:val="auto"/>
        </w:rPr>
        <w:t>Commission File Number</w:t>
      </w:r>
    </w:p>
    <w:p>
      <w:pPr>
        <w:ind w:left="8860"/>
        <w:spacing w:after="0"/>
        <w:rPr>
          <w:sz w:val="20"/>
          <w:szCs w:val="20"/>
          <w:color w:val="auto"/>
        </w:rPr>
      </w:pPr>
      <w:r>
        <w:rPr>
          <w:rFonts w:ascii="Times New Roman" w:cs="Times New Roman" w:eastAsia="Times New Roman" w:hAnsi="Times New Roman"/>
          <w:sz w:val="18"/>
          <w:szCs w:val="18"/>
          <w:color w:val="auto"/>
        </w:rPr>
        <w:t>001-39021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5602605</wp:posOffset>
            </wp:positionH>
            <wp:positionV relativeFrom="paragraph">
              <wp:posOffset>73025</wp:posOffset>
            </wp:positionV>
            <wp:extent cx="1543050" cy="282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282575"/>
                    </a:xfrm>
                    <a:prstGeom prst="rect">
                      <a:avLst/>
                    </a:prstGeom>
                    <a:noFill/>
                  </pic:spPr>
                </pic:pic>
              </a:graphicData>
            </a:graphic>
          </wp:anchor>
        </w:drawing>
      </w:r>
    </w:p>
    <w:p>
      <w:pPr>
        <w:spacing w:after="0" w:line="93" w:lineRule="exact"/>
        <w:rPr>
          <w:sz w:val="24"/>
          <w:szCs w:val="24"/>
          <w:color w:val="auto"/>
        </w:rPr>
      </w:pPr>
    </w:p>
    <w:p>
      <w:pPr>
        <w:ind w:left="8860"/>
        <w:spacing w:after="0"/>
        <w:rPr>
          <w:sz w:val="20"/>
          <w:szCs w:val="20"/>
          <w:color w:val="auto"/>
        </w:rPr>
      </w:pPr>
      <w:r>
        <w:rPr>
          <w:rFonts w:ascii="Times New Roman" w:cs="Times New Roman" w:eastAsia="Times New Roman" w:hAnsi="Times New Roman"/>
          <w:sz w:val="18"/>
          <w:szCs w:val="18"/>
          <w:color w:val="auto"/>
        </w:rPr>
        <w:t>CUSIP Number</w:t>
      </w:r>
    </w:p>
    <w:p>
      <w:pPr>
        <w:ind w:left="8860"/>
        <w:spacing w:after="0"/>
        <w:rPr>
          <w:sz w:val="20"/>
          <w:szCs w:val="20"/>
          <w:color w:val="auto"/>
        </w:rPr>
      </w:pPr>
      <w:r>
        <w:rPr>
          <w:rFonts w:ascii="Times New Roman" w:cs="Times New Roman" w:eastAsia="Times New Roman" w:hAnsi="Times New Roman"/>
          <w:sz w:val="18"/>
          <w:szCs w:val="18"/>
          <w:color w:val="auto"/>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12b-25</w:t>
      </w:r>
    </w:p>
    <w:p>
      <w:pPr>
        <w:spacing w:after="0" w:line="56"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238"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NOTIFICATION OF LATE FILING</w:t>
      </w:r>
    </w:p>
    <w:p>
      <w:pPr>
        <w:spacing w:after="0" w:line="45" w:lineRule="exact"/>
        <w:rPr>
          <w:sz w:val="24"/>
          <w:szCs w:val="24"/>
          <w:color w:val="auto"/>
        </w:rPr>
      </w:pPr>
    </w:p>
    <w:p>
      <w:pPr>
        <w:ind w:left="20"/>
        <w:spacing w:after="0" w:line="253" w:lineRule="exact"/>
        <w:tabs>
          <w:tab w:leader="none" w:pos="1660" w:val="left"/>
        </w:tabs>
        <w:rPr>
          <w:sz w:val="20"/>
          <w:szCs w:val="20"/>
          <w:color w:val="auto"/>
        </w:rPr>
      </w:pPr>
      <w:r>
        <w:rPr>
          <w:rFonts w:ascii="Times New Roman" w:cs="Times New Roman" w:eastAsia="Times New Roman" w:hAnsi="Times New Roman"/>
          <w:sz w:val="22"/>
          <w:szCs w:val="22"/>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20"/>
          <w:szCs w:val="20"/>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20"/>
          <w:szCs w:val="20"/>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20"/>
          <w:szCs w:val="20"/>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20"/>
          <w:szCs w:val="20"/>
          <w:color w:val="auto"/>
        </w:rPr>
        <w:t>Form 10-Q</w:t>
      </w:r>
    </w:p>
    <w:p>
      <w:pPr>
        <w:spacing w:after="0" w:line="216" w:lineRule="exact"/>
        <w:rPr>
          <w:sz w:val="24"/>
          <w:szCs w:val="24"/>
          <w:color w:val="auto"/>
        </w:rPr>
      </w:pPr>
    </w:p>
    <w:p>
      <w:pPr>
        <w:ind w:left="1840" w:hanging="208"/>
        <w:spacing w:after="0" w:line="253" w:lineRule="exact"/>
        <w:tabs>
          <w:tab w:leader="none" w:pos="1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 xml:space="preserve">Form 10-D </w:t>
      </w:r>
      <w:r>
        <w:rPr>
          <w:rFonts w:ascii="MS PGothic" w:cs="MS PGothic" w:eastAsia="MS PGothic" w:hAnsi="MS PGothic"/>
          <w:sz w:val="17"/>
          <w:szCs w:val="17"/>
          <w:color w:val="auto"/>
        </w:rPr>
        <w:t>☐</w:t>
      </w:r>
      <w:r>
        <w:rPr>
          <w:rFonts w:ascii="Times New Roman" w:cs="Times New Roman" w:eastAsia="Times New Roman" w:hAnsi="Times New Roman"/>
          <w:sz w:val="22"/>
          <w:szCs w:val="22"/>
          <w:color w:val="auto"/>
        </w:rPr>
        <w:t xml:space="preserve"> Form N-CSR</w:t>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Period Ended: December 31, 2023</w:t>
      </w:r>
    </w:p>
    <w:p>
      <w:pPr>
        <w:spacing w:after="0" w:line="16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10-K</w:t>
      </w:r>
    </w:p>
    <w:p>
      <w:pPr>
        <w:ind w:left="220" w:hanging="212"/>
        <w:spacing w:after="0" w:line="204"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20-F</w:t>
      </w:r>
    </w:p>
    <w:p>
      <w:pPr>
        <w:ind w:left="220" w:hanging="212"/>
        <w:spacing w:after="0" w:line="204"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11-K</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10-Q</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the Transaction Period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2343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23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Nothing in this form shall be construed to imply that the Commission has verified any information contained herein.</w:t>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If the notification relates to a portion of the filing checked above, identify the Item(s) to which the notification relates:</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 REGISTRANT INFORMATION</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u w:val="single" w:color="auto"/>
          <w:color w:val="auto"/>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1934845</wp:posOffset>
            </wp:positionH>
            <wp:positionV relativeFrom="paragraph">
              <wp:posOffset>-14605</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Full Name of Registrant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u w:val="single" w:color="auto"/>
          <w:color w:val="auto"/>
        </w:rPr>
        <w:t>41 Discovery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984885</wp:posOffset>
            </wp:positionH>
            <wp:positionV relativeFrom="paragraph">
              <wp:posOffset>-14605</wp:posOffset>
            </wp:positionV>
            <wp:extent cx="1508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Address of Principal Executive Office (Street and number)</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color w:val="auto"/>
        </w:rPr>
        <w:t>Irvine, California 92618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0518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181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City, State and Zip Code</w:t>
      </w:r>
    </w:p>
    <w:p>
      <w:pPr>
        <w:sectPr>
          <w:pgSz w:w="11900" w:h="16838" w:orient="portrait"/>
          <w:cols w:equalWidth="0" w:num="1">
            <w:col w:w="10960"/>
          </w:cols>
          <w:pgMar w:left="320" w:top="1440" w:right="619" w:bottom="1440" w:gutter="0" w:footer="0" w:header="0"/>
        </w:sectPr>
      </w:pPr>
    </w:p>
    <w:bookmarkStart w:id="1" w:name="page2"/>
    <w:bookmarkEnd w:id="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11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104" w:lineRule="exact"/>
        <w:rPr>
          <w:sz w:val="20"/>
          <w:szCs w:val="20"/>
          <w:color w:val="auto"/>
        </w:rPr>
      </w:pPr>
    </w:p>
    <w:tbl>
      <w:tblPr>
        <w:tblLayout w:type="fixed"/>
        <w:tblInd w:w="240" w:type="dxa"/>
        <w:tblCellMar>
          <w:top w:w="0" w:type="dxa"/>
          <w:left w:w="0" w:type="dxa"/>
          <w:bottom w:w="0" w:type="dxa"/>
          <w:right w:w="0" w:type="dxa"/>
        </w:tblCellMar>
      </w:tblPr>
      <w:tr>
        <w:trPr>
          <w:trHeight w:val="323"/>
        </w:trPr>
        <w:tc>
          <w:tcPr>
            <w:tcW w:w="4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w w:val="97"/>
              </w:rPr>
              <w:t>(a) The reason described in reasonable detail in Part III of this form could not be eliminated without unreasonable effort</w:t>
            </w:r>
          </w:p>
        </w:tc>
        <w:tc>
          <w:tcPr>
            <w:tcW w:w="0" w:type="dxa"/>
            <w:vAlign w:val="bottom"/>
          </w:tcPr>
          <w:p>
            <w:pPr>
              <w:spacing w:after="0"/>
              <w:rPr>
                <w:sz w:val="1"/>
                <w:szCs w:val="1"/>
                <w:color w:val="auto"/>
              </w:rPr>
            </w:pPr>
          </w:p>
        </w:tc>
      </w:tr>
      <w:tr>
        <w:trPr>
          <w:trHeight w:val="55"/>
        </w:trPr>
        <w:tc>
          <w:tcPr>
            <w:tcW w:w="400" w:type="dxa"/>
            <w:vAlign w:val="bottom"/>
            <w:tcBorders>
              <w:right w:val="single" w:sz="8" w:color="auto"/>
            </w:tcBorders>
          </w:tcPr>
          <w:p>
            <w:pPr>
              <w:spacing w:after="0"/>
              <w:rPr>
                <w:sz w:val="4"/>
                <w:szCs w:val="4"/>
                <w:color w:val="auto"/>
              </w:rPr>
            </w:pPr>
          </w:p>
        </w:tc>
        <w:tc>
          <w:tcPr>
            <w:tcW w:w="10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400" w:type="dxa"/>
            <w:vAlign w:val="bottom"/>
            <w:tcBorders>
              <w:right w:val="single" w:sz="8" w:color="auto"/>
            </w:tcBorders>
          </w:tcPr>
          <w:p>
            <w:pPr>
              <w:spacing w:after="0"/>
              <w:rPr>
                <w:sz w:val="24"/>
                <w:szCs w:val="24"/>
                <w:color w:val="auto"/>
              </w:rPr>
            </w:pPr>
          </w:p>
        </w:tc>
        <w:tc>
          <w:tcPr>
            <w:tcW w:w="10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or expense;</w:t>
            </w:r>
          </w:p>
        </w:tc>
        <w:tc>
          <w:tcPr>
            <w:tcW w:w="0" w:type="dxa"/>
            <w:vAlign w:val="bottom"/>
          </w:tcPr>
          <w:p>
            <w:pPr>
              <w:spacing w:after="0"/>
              <w:rPr>
                <w:sz w:val="1"/>
                <w:szCs w:val="1"/>
                <w:color w:val="auto"/>
              </w:rPr>
            </w:pPr>
          </w:p>
        </w:tc>
      </w:tr>
      <w:tr>
        <w:trPr>
          <w:trHeight w:val="393"/>
        </w:trPr>
        <w:tc>
          <w:tcPr>
            <w:tcW w:w="4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9"/>
              </w:rPr>
              <w:t>(b) The subject annual report, semi-annual report, transition report on Form 10-K, Form 20-F, Form 11-K or Form N-</w:t>
            </w:r>
          </w:p>
        </w:tc>
        <w:tc>
          <w:tcPr>
            <w:tcW w:w="0" w:type="dxa"/>
            <w:vAlign w:val="bottom"/>
          </w:tcPr>
          <w:p>
            <w:pPr>
              <w:spacing w:after="0"/>
              <w:rPr>
                <w:sz w:val="1"/>
                <w:szCs w:val="1"/>
                <w:color w:val="auto"/>
              </w:rPr>
            </w:pPr>
          </w:p>
        </w:tc>
      </w:tr>
      <w:tr>
        <w:trPr>
          <w:trHeight w:val="257"/>
        </w:trPr>
        <w:tc>
          <w:tcPr>
            <w:tcW w:w="400" w:type="dxa"/>
            <w:vAlign w:val="bottom"/>
            <w:tcBorders>
              <w:right w:val="single" w:sz="8" w:color="auto"/>
            </w:tcBorders>
          </w:tcPr>
          <w:p>
            <w:pPr>
              <w:spacing w:after="0"/>
              <w:rPr>
                <w:sz w:val="22"/>
                <w:szCs w:val="22"/>
                <w:color w:val="auto"/>
              </w:rPr>
            </w:pPr>
          </w:p>
        </w:tc>
        <w:tc>
          <w:tcPr>
            <w:tcW w:w="10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CSR, or portion thereof, will be filed on or before the fifteenth calendar day following the prescribed due date; or the</w:t>
            </w:r>
          </w:p>
        </w:tc>
        <w:tc>
          <w:tcPr>
            <w:tcW w:w="0" w:type="dxa"/>
            <w:vAlign w:val="bottom"/>
          </w:tcPr>
          <w:p>
            <w:pPr>
              <w:spacing w:after="0"/>
              <w:rPr>
                <w:sz w:val="1"/>
                <w:szCs w:val="1"/>
                <w:color w:val="auto"/>
              </w:rPr>
            </w:pPr>
          </w:p>
        </w:tc>
      </w:tr>
      <w:tr>
        <w:trPr>
          <w:trHeight w:val="256"/>
        </w:trPr>
        <w:tc>
          <w:tcPr>
            <w:tcW w:w="400" w:type="dxa"/>
            <w:vAlign w:val="bottom"/>
            <w:tcBorders>
              <w:right w:val="single" w:sz="8" w:color="auto"/>
            </w:tcBorders>
          </w:tcPr>
          <w:p>
            <w:pPr>
              <w:spacing w:after="0"/>
              <w:rPr>
                <w:sz w:val="22"/>
                <w:szCs w:val="22"/>
                <w:color w:val="auto"/>
              </w:rPr>
            </w:pPr>
          </w:p>
        </w:tc>
        <w:tc>
          <w:tcPr>
            <w:tcW w:w="10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subject quarterly report or transition report on Form 10-Q or subject distribution report on Form 10-D, or portion</w:t>
            </w:r>
          </w:p>
        </w:tc>
        <w:tc>
          <w:tcPr>
            <w:tcW w:w="0" w:type="dxa"/>
            <w:vAlign w:val="bottom"/>
          </w:tcPr>
          <w:p>
            <w:pPr>
              <w:spacing w:after="0"/>
              <w:rPr>
                <w:sz w:val="1"/>
                <w:szCs w:val="1"/>
                <w:color w:val="auto"/>
              </w:rPr>
            </w:pPr>
          </w:p>
        </w:tc>
      </w:tr>
      <w:tr>
        <w:trPr>
          <w:trHeight w:val="282"/>
        </w:trPr>
        <w:tc>
          <w:tcPr>
            <w:tcW w:w="400" w:type="dxa"/>
            <w:vAlign w:val="bottom"/>
            <w:tcBorders>
              <w:right w:val="single" w:sz="8" w:color="auto"/>
            </w:tcBorders>
          </w:tcPr>
          <w:p>
            <w:pPr>
              <w:spacing w:after="0"/>
              <w:rPr>
                <w:sz w:val="24"/>
                <w:szCs w:val="24"/>
                <w:color w:val="auto"/>
              </w:rPr>
            </w:pPr>
          </w:p>
        </w:tc>
        <w:tc>
          <w:tcPr>
            <w:tcW w:w="10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thereof, will be filed on or before the fifth calendar day following the prescribed due date; and</w:t>
            </w:r>
          </w:p>
        </w:tc>
        <w:tc>
          <w:tcPr>
            <w:tcW w:w="0" w:type="dxa"/>
            <w:vAlign w:val="bottom"/>
          </w:tcPr>
          <w:p>
            <w:pPr>
              <w:spacing w:after="0"/>
              <w:rPr>
                <w:sz w:val="1"/>
                <w:szCs w:val="1"/>
                <w:color w:val="auto"/>
              </w:rPr>
            </w:pPr>
          </w:p>
        </w:tc>
      </w:tr>
      <w:tr>
        <w:trPr>
          <w:trHeight w:val="432"/>
        </w:trPr>
        <w:tc>
          <w:tcPr>
            <w:tcW w:w="400" w:type="dxa"/>
            <w:vAlign w:val="bottom"/>
            <w:tcBorders>
              <w:right w:val="single" w:sz="8" w:color="auto"/>
            </w:tcBorders>
          </w:tcPr>
          <w:p>
            <w:pPr>
              <w:spacing w:after="0"/>
              <w:rPr>
                <w:sz w:val="24"/>
                <w:szCs w:val="24"/>
                <w:color w:val="auto"/>
              </w:rPr>
            </w:pPr>
          </w:p>
        </w:tc>
        <w:tc>
          <w:tcPr>
            <w:tcW w:w="10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 The accountant’s statement or other exhibit required by Rule 12b-25(c) has been attached if applicable.</w:t>
            </w:r>
          </w:p>
        </w:tc>
        <w:tc>
          <w:tcPr>
            <w:tcW w:w="0" w:type="dxa"/>
            <w:vAlign w:val="bottom"/>
          </w:tcPr>
          <w:p>
            <w:pPr>
              <w:spacing w:after="0"/>
              <w:rPr>
                <w:sz w:val="1"/>
                <w:szCs w:val="1"/>
                <w:color w:val="auto"/>
              </w:rPr>
            </w:pPr>
          </w:p>
        </w:tc>
      </w:tr>
      <w:tr>
        <w:trPr>
          <w:trHeight w:val="123"/>
        </w:trPr>
        <w:tc>
          <w:tcPr>
            <w:tcW w:w="400" w:type="dxa"/>
            <w:vAlign w:val="bottom"/>
            <w:tcBorders>
              <w:right w:val="single" w:sz="8" w:color="auto"/>
            </w:tcBorders>
          </w:tcPr>
          <w:p>
            <w:pPr>
              <w:spacing w:after="0"/>
              <w:rPr>
                <w:sz w:val="10"/>
                <w:szCs w:val="10"/>
                <w:color w:val="auto"/>
              </w:rPr>
            </w:pPr>
          </w:p>
        </w:tc>
        <w:tc>
          <w:tcPr>
            <w:tcW w:w="10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 NARRATIVE</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State below in reasonable detail the reasons why Forms 10-K, 20-F, 11-K, 10-Q, 10-D, N-CSR, or the transition report or portion thereof, could not be filed with the prescribed time period.</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WM Technology, Inc. (the “Company”) is filing this Notification of Late Filing on Form 12b-25 (this “Form 12b-25”) with respect to its Annual Report on Form 10-K for its fiscal year ended December 31, 2023 (the “2023 Form 10-K”).</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is unable to file the 2023 Form 10-K within the prescribed time period without unreasonable effort or expense primarily because the Company requires additional time to complete its financial statements due to recent management changes at the Company including the recent departure of its interim Chief Financial Officer; and the Company’s need to complete additional financial-closing procedures associated with one or more material weaknesses in internal control over financial reporting.</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a result of the foregoing, the Company needs additional time to complete its assessment over internal control over financial reporting and disclosure controls and procedures, which is ongoing, and to finalize its financial statements and related disclosures to be filed in the 2023 10-K. The Company expects to file its 2023 10-K within the 15 calendar day extension provided by Rule 12b-25, but can provide no assurance that it will be able to file by such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 - OTHER INFORMATION</w:t>
      </w:r>
    </w:p>
    <w:p>
      <w:pPr>
        <w:spacing w:after="0" w:line="116"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telephone number of person to contact in regard to this notification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Susan Echard</w:t>
            </w:r>
          </w:p>
        </w:tc>
        <w:tc>
          <w:tcPr>
            <w:tcW w:w="3540" w:type="dxa"/>
            <w:vAlign w:val="bottom"/>
            <w:tcBorders>
              <w:bottom w:val="single" w:sz="8" w:color="auto"/>
            </w:tcBorders>
          </w:tcPr>
          <w:p>
            <w:pPr>
              <w:jc w:val="right"/>
              <w:ind w:right="1352"/>
              <w:spacing w:after="0"/>
              <w:rPr>
                <w:sz w:val="20"/>
                <w:szCs w:val="20"/>
                <w:color w:val="auto"/>
              </w:rPr>
            </w:pPr>
            <w:r>
              <w:rPr>
                <w:rFonts w:ascii="Times New Roman" w:cs="Times New Roman" w:eastAsia="Times New Roman" w:hAnsi="Times New Roman"/>
                <w:sz w:val="22"/>
                <w:szCs w:val="22"/>
                <w:color w:val="auto"/>
              </w:rPr>
              <w:t>(844)</w:t>
            </w:r>
          </w:p>
        </w:tc>
        <w:tc>
          <w:tcPr>
            <w:tcW w:w="3940" w:type="dxa"/>
            <w:vAlign w:val="bottom"/>
            <w:tcBorders>
              <w:bottom w:val="single" w:sz="8" w:color="auto"/>
            </w:tcBorders>
          </w:tcPr>
          <w:p>
            <w:pPr>
              <w:jc w:val="right"/>
              <w:ind w:right="1352"/>
              <w:spacing w:after="0"/>
              <w:rPr>
                <w:sz w:val="20"/>
                <w:szCs w:val="20"/>
                <w:color w:val="auto"/>
              </w:rPr>
            </w:pPr>
            <w:r>
              <w:rPr>
                <w:rFonts w:ascii="Times New Roman" w:cs="Times New Roman" w:eastAsia="Times New Roman" w:hAnsi="Times New Roman"/>
                <w:sz w:val="22"/>
                <w:szCs w:val="22"/>
                <w:color w:val="auto"/>
              </w:rPr>
              <w:t>933-3627</w:t>
            </w:r>
          </w:p>
        </w:tc>
      </w:tr>
      <w:tr>
        <w:trPr>
          <w:trHeight w:val="277"/>
        </w:trPr>
        <w:tc>
          <w:tcPr>
            <w:tcW w:w="3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(Name)</w:t>
            </w:r>
          </w:p>
        </w:tc>
        <w:tc>
          <w:tcPr>
            <w:tcW w:w="35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6"/>
              </w:rPr>
              <w:t>(Area Code)</w:t>
            </w:r>
          </w:p>
        </w:tc>
        <w:tc>
          <w:tcPr>
            <w:tcW w:w="394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(Telephone Number)</w:t>
            </w:r>
          </w:p>
        </w:tc>
      </w:tr>
    </w:tbl>
    <w:p>
      <w:pPr>
        <w:spacing w:after="0" w:line="176" w:lineRule="exact"/>
        <w:rPr>
          <w:sz w:val="20"/>
          <w:szCs w:val="20"/>
          <w:color w:val="auto"/>
        </w:rPr>
      </w:pPr>
    </w:p>
    <w:p>
      <w:pPr>
        <w:ind w:left="660" w:hanging="652"/>
        <w:spacing w:after="0" w:line="271" w:lineRule="auto"/>
        <w:tabs>
          <w:tab w:leader="none" w:pos="5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all other periodic reports required under Section 13 or 15(d) of the Securities Exchange Act of 1934 or Section 30 of the Investment Company Act of 1940 during the</w:t>
      </w:r>
    </w:p>
    <w:p>
      <w:pPr>
        <w:sectPr>
          <w:pgSz w:w="11900" w:h="16838" w:orient="portrait"/>
          <w:cols w:equalWidth="0" w:num="1">
            <w:col w:w="11240"/>
          </w:cols>
          <w:pgMar w:left="320" w:top="1440" w:right="339" w:bottom="1440" w:gutter="0" w:footer="0" w:header="0"/>
        </w:sectPr>
      </w:pPr>
    </w:p>
    <w:bookmarkStart w:id="2" w:name="page3"/>
    <w:bookmarkEnd w:id="2"/>
    <w:p>
      <w:pPr>
        <w:spacing w:after="0" w:line="90" w:lineRule="exact"/>
        <w:rPr>
          <w:sz w:val="20"/>
          <w:szCs w:val="20"/>
          <w:color w:val="auto"/>
        </w:rPr>
      </w:pPr>
    </w:p>
    <w:p>
      <w:pPr>
        <w:ind w:left="660"/>
        <w:spacing w:after="0" w:line="285" w:lineRule="exact"/>
        <w:rPr>
          <w:sz w:val="20"/>
          <w:szCs w:val="20"/>
          <w:color w:val="auto"/>
        </w:rPr>
      </w:pPr>
      <w:r>
        <w:rPr>
          <w:rFonts w:ascii="Times New Roman" w:cs="Times New Roman" w:eastAsia="Times New Roman" w:hAnsi="Times New Roman"/>
          <w:sz w:val="22"/>
          <w:szCs w:val="22"/>
          <w:color w:val="auto"/>
        </w:rPr>
        <w:t xml:space="preserve">preceding 12 months or for such shorter period that the registrant was required to file such reports been filed? If answer is no, identify report(s).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52" w:lineRule="exact"/>
        <w:rPr>
          <w:sz w:val="20"/>
          <w:szCs w:val="20"/>
          <w:color w:val="auto"/>
        </w:rPr>
      </w:pPr>
    </w:p>
    <w:p>
      <w:pPr>
        <w:ind w:left="660" w:hanging="652"/>
        <w:spacing w:after="0" w:line="292" w:lineRule="exact"/>
        <w:tabs>
          <w:tab w:leader="none" w:pos="48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5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If so, attach an explanation of the anticipated change, both narratively and quantitatively, and, if appropriate, state the reasons why a reasonable estimate of the results cannot be made.</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is unable to provide a reasonable estimate of its results of operations without unreasonable effort or expense primarily because the Company requires additional time to complete its financial statements due to recent management changes at the Company including the recent departure of its interim Chief Financial Officer; and the Company’s need to complete additional financial-closing procedures associated with one or more material weaknesses in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WM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 of Registrant as Specified in Charter)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caused this notification to be signed on its behalf by the undersigned hereunto duly authorized.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Date:   March 18, 2024</w:t>
            </w:r>
          </w:p>
        </w:tc>
        <w:tc>
          <w:tcPr>
            <w:tcW w:w="302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Susan Echard</w:t>
            </w:r>
          </w:p>
        </w:tc>
      </w:tr>
      <w:tr>
        <w:trPr>
          <w:trHeight w:val="251"/>
        </w:trPr>
        <w:tc>
          <w:tcPr>
            <w:tcW w:w="4240" w:type="dxa"/>
            <w:vAlign w:val="bottom"/>
          </w:tcPr>
          <w:p>
            <w:pPr>
              <w:spacing w:after="0"/>
              <w:rPr>
                <w:sz w:val="21"/>
                <w:szCs w:val="21"/>
                <w:color w:val="auto"/>
              </w:rPr>
            </w:pPr>
          </w:p>
        </w:tc>
        <w:tc>
          <w:tcPr>
            <w:tcW w:w="3020" w:type="dxa"/>
            <w:vAlign w:val="bottom"/>
          </w:tcPr>
          <w:p>
            <w:pPr>
              <w:ind w:left="208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Susan Echard</w:t>
            </w:r>
          </w:p>
        </w:tc>
      </w:tr>
      <w:tr>
        <w:trPr>
          <w:trHeight w:val="282"/>
        </w:trPr>
        <w:tc>
          <w:tcPr>
            <w:tcW w:w="4240" w:type="dxa"/>
            <w:vAlign w:val="bottom"/>
          </w:tcPr>
          <w:p>
            <w:pPr>
              <w:spacing w:after="0"/>
              <w:rPr>
                <w:sz w:val="24"/>
                <w:szCs w:val="24"/>
                <w:color w:val="auto"/>
              </w:rPr>
            </w:pPr>
          </w:p>
        </w:tc>
        <w:tc>
          <w:tcPr>
            <w:tcW w:w="302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22"/>
                <w:szCs w:val="22"/>
                <w:color w:val="auto"/>
              </w:rPr>
              <w:t>Interim Chief Financial Officer</w:t>
            </w:r>
          </w:p>
        </w:tc>
      </w:tr>
    </w:tbl>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ATTENTION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Intentional misstatements or omissions of fact constitute Federal Criminal Violations (See 18 U.S.C. 1001).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2024-03-18T15:14:23Z</dcterms:created>
  <dcterms:modified xsi:type="dcterms:W3CDTF">2024-03-18T15:14:23Z</dcterms:modified>
</cp:coreProperties>
</file>